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pPr>
    </w:p>
    <w:p>
      <w:pPr>
        <w:jc w:val="center"/>
        <w:rPr>
          <w:rFonts w:hint="eastAsia" w:ascii="宋体" w:hAnsi="宋体" w:eastAsia="宋体"/>
          <w:bCs/>
          <w:kern w:val="0"/>
          <w:sz w:val="52"/>
          <w:szCs w:val="52"/>
          <w:lang w:eastAsia="zh-CN"/>
        </w:rPr>
      </w:pPr>
      <w:r>
        <w:rPr>
          <w:rFonts w:hint="eastAsia" w:ascii="宋体" w:hAnsi="宋体"/>
          <w:b/>
          <w:sz w:val="44"/>
          <w:szCs w:val="44"/>
          <w:lang w:eastAsia="zh-CN"/>
        </w:rPr>
        <w:t>南阳市中级人民法院警用装备采购项目</w:t>
      </w:r>
    </w:p>
    <w:p>
      <w:pPr>
        <w:pStyle w:val="11"/>
      </w:pPr>
    </w:p>
    <w:p>
      <w:pPr>
        <w:pStyle w:val="45"/>
      </w:pPr>
    </w:p>
    <w:p>
      <w:pPr>
        <w:pStyle w:val="45"/>
      </w:pPr>
    </w:p>
    <w:p>
      <w:pPr>
        <w:pStyle w:val="45"/>
        <w:ind w:left="0" w:leftChars="0" w:firstLine="0" w:firstLineChars="0"/>
      </w:pPr>
    </w:p>
    <w:p>
      <w:pPr>
        <w:pStyle w:val="45"/>
      </w:pPr>
    </w:p>
    <w:p>
      <w:pPr>
        <w:pStyle w:val="45"/>
      </w:pPr>
    </w:p>
    <w:p>
      <w:pPr>
        <w:pStyle w:val="45"/>
      </w:pPr>
    </w:p>
    <w:p>
      <w:pPr>
        <w:jc w:val="center"/>
      </w:pPr>
      <w:r>
        <w:rPr>
          <w:rFonts w:hint="eastAsia" w:ascii="宋体" w:hAnsi="宋体"/>
          <w:b/>
          <w:sz w:val="84"/>
          <w:szCs w:val="84"/>
        </w:rPr>
        <w:t>竞争性磋商文件</w:t>
      </w:r>
    </w:p>
    <w:p>
      <w:pPr>
        <w:widowControl/>
        <w:jc w:val="center"/>
        <w:rPr>
          <w:rFonts w:ascii="宋体" w:hAnsi="宋体" w:cs="宋体"/>
          <w:bCs/>
          <w:kern w:val="0"/>
          <w:sz w:val="32"/>
          <w:szCs w:val="32"/>
        </w:rPr>
      </w:pPr>
      <w:r>
        <w:rPr>
          <w:rFonts w:hint="eastAsia" w:ascii="宋体" w:hAnsi="宋体" w:cs="宋体"/>
          <w:bCs/>
          <w:kern w:val="0"/>
          <w:sz w:val="32"/>
          <w:szCs w:val="32"/>
        </w:rPr>
        <w:t xml:space="preserve">项目编号：HNZB[2021]NY035   </w:t>
      </w:r>
    </w:p>
    <w:p>
      <w:pPr>
        <w:pStyle w:val="45"/>
        <w:ind w:left="0" w:leftChars="0" w:firstLine="0" w:firstLineChars="0"/>
        <w:jc w:val="center"/>
      </w:pPr>
      <w:r>
        <w:rPr>
          <w:rFonts w:ascii="黑体" w:eastAsia="黑体"/>
          <w:bCs/>
          <w:kern w:val="0"/>
          <w:sz w:val="44"/>
          <w:szCs w:val="44"/>
        </w:rPr>
        <w:drawing>
          <wp:inline distT="0" distB="0" distL="114300" distR="114300">
            <wp:extent cx="2522855" cy="1576705"/>
            <wp:effectExtent l="0" t="0" r="6985" b="8255"/>
            <wp:docPr id="5" name="图片 1"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公司徽标"/>
                    <pic:cNvPicPr>
                      <a:picLocks noChangeAspect="1"/>
                    </pic:cNvPicPr>
                  </pic:nvPicPr>
                  <pic:blipFill>
                    <a:blip r:embed="rId8" cstate="print"/>
                    <a:srcRect l="12865" t="22536" r="9943"/>
                    <a:stretch>
                      <a:fillRect/>
                    </a:stretch>
                  </pic:blipFill>
                  <pic:spPr>
                    <a:xfrm>
                      <a:off x="0" y="0"/>
                      <a:ext cx="2522855" cy="1576705"/>
                    </a:xfrm>
                    <a:prstGeom prst="rect">
                      <a:avLst/>
                    </a:prstGeom>
                    <a:noFill/>
                    <a:ln>
                      <a:noFill/>
                    </a:ln>
                  </pic:spPr>
                </pic:pic>
              </a:graphicData>
            </a:graphic>
          </wp:inline>
        </w:drawing>
      </w:r>
    </w:p>
    <w:p/>
    <w:p/>
    <w:p/>
    <w:p/>
    <w:p/>
    <w:p/>
    <w:p>
      <w:pPr>
        <w:jc w:val="center"/>
      </w:pPr>
    </w:p>
    <w:p>
      <w:pPr>
        <w:pStyle w:val="20"/>
      </w:pPr>
    </w:p>
    <w:p/>
    <w:p>
      <w:pPr>
        <w:pStyle w:val="20"/>
      </w:pPr>
    </w:p>
    <w:p>
      <w:pPr>
        <w:pStyle w:val="20"/>
      </w:pPr>
    </w:p>
    <w:p/>
    <w:p>
      <w:pPr>
        <w:pStyle w:val="20"/>
      </w:pPr>
    </w:p>
    <w:p/>
    <w:p>
      <w:pPr>
        <w:pStyle w:val="52"/>
        <w:shd w:val="clear" w:color="auto" w:fill="FFFFFF"/>
        <w:snapToGrid w:val="0"/>
        <w:spacing w:before="0" w:beforeAutospacing="0" w:after="0" w:afterAutospacing="0" w:line="500" w:lineRule="exact"/>
        <w:ind w:firstLine="1606" w:firstLineChars="500"/>
        <w:rPr>
          <w:b/>
          <w:bCs/>
          <w:sz w:val="32"/>
          <w:szCs w:val="32"/>
        </w:rPr>
      </w:pPr>
      <w:r>
        <w:rPr>
          <w:rFonts w:hint="eastAsia"/>
          <w:b/>
          <w:sz w:val="32"/>
          <w:szCs w:val="32"/>
        </w:rPr>
        <w:t xml:space="preserve">采   购   人：河南省南阳市中级人民法院    </w:t>
      </w:r>
    </w:p>
    <w:p>
      <w:pPr>
        <w:snapToGrid w:val="0"/>
        <w:spacing w:line="500" w:lineRule="exact"/>
        <w:ind w:right="105" w:rightChars="50" w:firstLine="1606" w:firstLineChars="500"/>
        <w:rPr>
          <w:rFonts w:ascii="宋体" w:hAnsi="宋体" w:cs="宋体"/>
          <w:b/>
          <w:sz w:val="32"/>
          <w:szCs w:val="32"/>
        </w:rPr>
      </w:pPr>
      <w:r>
        <w:rPr>
          <w:rFonts w:hint="eastAsia" w:ascii="宋体" w:hAnsi="宋体" w:cs="宋体"/>
          <w:b/>
          <w:sz w:val="32"/>
          <w:szCs w:val="32"/>
        </w:rPr>
        <w:t xml:space="preserve">采购代理机构：河南招标采购服务有限公司         </w:t>
      </w:r>
    </w:p>
    <w:p>
      <w:pPr>
        <w:spacing w:line="500" w:lineRule="exact"/>
        <w:ind w:firstLine="1606" w:firstLineChars="500"/>
        <w:rPr>
          <w:rFonts w:ascii="宋体" w:hAnsi="宋体" w:cs="宋体"/>
          <w:b/>
          <w:sz w:val="32"/>
          <w:szCs w:val="32"/>
        </w:rPr>
      </w:pPr>
      <w:r>
        <w:rPr>
          <w:rFonts w:hint="eastAsia" w:ascii="宋体" w:hAnsi="宋体" w:cs="宋体"/>
          <w:b/>
          <w:sz w:val="32"/>
          <w:szCs w:val="32"/>
        </w:rPr>
        <w:t>日        期：2021年8月</w:t>
      </w:r>
    </w:p>
    <w:p>
      <w:pPr>
        <w:pStyle w:val="19"/>
        <w:sectPr>
          <w:pgSz w:w="11906" w:h="16838"/>
          <w:pgMar w:top="1418" w:right="1418" w:bottom="1361" w:left="1417" w:header="851" w:footer="1020" w:gutter="0"/>
          <w:pgNumType w:start="1"/>
          <w:cols w:space="720" w:num="1"/>
          <w:titlePg/>
          <w:docGrid w:linePitch="312" w:charSpace="0"/>
        </w:sectPr>
      </w:pP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目  录</w:t>
      </w:r>
    </w:p>
    <w:p>
      <w:pPr>
        <w:pStyle w:val="18"/>
        <w:tabs>
          <w:tab w:val="right" w:leader="dot" w:pos="9071"/>
          <w:tab w:val="clear" w:pos="8777"/>
        </w:tabs>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val="0"/>
          <w:sz w:val="24"/>
          <w:szCs w:val="24"/>
        </w:rPr>
        <w:fldChar w:fldCharType="begin"/>
      </w:r>
      <w:r>
        <w:rPr>
          <w:rFonts w:hint="eastAsia" w:asciiTheme="minorEastAsia" w:hAnsiTheme="minorEastAsia" w:eastAsiaTheme="minorEastAsia" w:cstheme="minorEastAsia"/>
          <w:b w:val="0"/>
          <w:sz w:val="24"/>
          <w:szCs w:val="24"/>
        </w:rPr>
        <w:instrText xml:space="preserve"> TOC \o "1-2" \h \z \u </w:instrText>
      </w:r>
      <w:r>
        <w:rPr>
          <w:rFonts w:hint="eastAsia" w:asciiTheme="minorEastAsia" w:hAnsiTheme="minorEastAsia" w:eastAsiaTheme="minorEastAsia" w:cstheme="minorEastAsia"/>
          <w:b w:val="0"/>
          <w:sz w:val="24"/>
          <w:szCs w:val="24"/>
        </w:rPr>
        <w:fldChar w:fldCharType="separate"/>
      </w:r>
      <w:r>
        <w:fldChar w:fldCharType="begin"/>
      </w:r>
      <w:r>
        <w:instrText xml:space="preserve"> HYPERLINK \l "_Toc32265" </w:instrText>
      </w:r>
      <w:r>
        <w:fldChar w:fldCharType="separate"/>
      </w:r>
      <w:r>
        <w:rPr>
          <w:rFonts w:hint="eastAsia" w:asciiTheme="minorEastAsia" w:hAnsiTheme="minorEastAsia" w:eastAsiaTheme="minorEastAsia" w:cstheme="minorEastAsia"/>
          <w:bCs/>
          <w:sz w:val="24"/>
          <w:szCs w:val="24"/>
        </w:rPr>
        <w:t>第一部分 竞争性磋商公告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_Toc32265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8"/>
        <w:tabs>
          <w:tab w:val="right" w:leader="dot" w:pos="9071"/>
          <w:tab w:val="clear" w:pos="8777"/>
        </w:tabs>
        <w:spacing w:line="360" w:lineRule="auto"/>
        <w:rPr>
          <w:rFonts w:asciiTheme="minorEastAsia" w:hAnsiTheme="minorEastAsia" w:eastAsiaTheme="minorEastAsia" w:cstheme="minorEastAsia"/>
          <w:sz w:val="24"/>
          <w:szCs w:val="24"/>
        </w:rPr>
      </w:pPr>
      <w:r>
        <w:fldChar w:fldCharType="begin"/>
      </w:r>
      <w:r>
        <w:instrText xml:space="preserve"> HYPERLINK \l "_Toc23725" </w:instrText>
      </w:r>
      <w:r>
        <w:fldChar w:fldCharType="separate"/>
      </w:r>
      <w:r>
        <w:rPr>
          <w:rFonts w:hint="eastAsia" w:asciiTheme="minorEastAsia" w:hAnsiTheme="minorEastAsia" w:eastAsiaTheme="minorEastAsia" w:cstheme="minorEastAsia"/>
          <w:bCs/>
          <w:sz w:val="24"/>
          <w:szCs w:val="24"/>
        </w:rPr>
        <w:t>第二部分 竞争性磋商须知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_Toc23725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8"/>
        <w:tabs>
          <w:tab w:val="right" w:leader="dot" w:pos="9071"/>
          <w:tab w:val="clear" w:pos="8777"/>
        </w:tabs>
        <w:spacing w:line="360" w:lineRule="auto"/>
        <w:rPr>
          <w:rFonts w:asciiTheme="minorEastAsia" w:hAnsiTheme="minorEastAsia" w:eastAsiaTheme="minorEastAsia" w:cstheme="minorEastAsia"/>
          <w:sz w:val="24"/>
          <w:szCs w:val="24"/>
        </w:rPr>
      </w:pPr>
      <w:r>
        <w:fldChar w:fldCharType="begin"/>
      </w:r>
      <w:r>
        <w:instrText xml:space="preserve"> HYPERLINK \l "_Toc11375" </w:instrText>
      </w:r>
      <w:r>
        <w:fldChar w:fldCharType="separate"/>
      </w:r>
      <w:r>
        <w:rPr>
          <w:rFonts w:hint="eastAsia" w:asciiTheme="minorEastAsia" w:hAnsiTheme="minorEastAsia" w:eastAsiaTheme="minorEastAsia" w:cstheme="minorEastAsia"/>
          <w:bCs/>
          <w:sz w:val="24"/>
          <w:szCs w:val="24"/>
        </w:rPr>
        <w:t>第三部分 合同条款及格式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_Toc11375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8"/>
        <w:tabs>
          <w:tab w:val="right" w:leader="dot" w:pos="9071"/>
          <w:tab w:val="clear" w:pos="8777"/>
        </w:tabs>
        <w:spacing w:line="360" w:lineRule="auto"/>
        <w:rPr>
          <w:rFonts w:asciiTheme="minorEastAsia" w:hAnsiTheme="minorEastAsia" w:eastAsiaTheme="minorEastAsia" w:cstheme="minorEastAsia"/>
          <w:sz w:val="24"/>
          <w:szCs w:val="24"/>
        </w:rPr>
      </w:pPr>
      <w:r>
        <w:fldChar w:fldCharType="begin"/>
      </w:r>
      <w:r>
        <w:instrText xml:space="preserve"> HYPERLINK \l "_Toc24300" </w:instrText>
      </w:r>
      <w:r>
        <w:fldChar w:fldCharType="separate"/>
      </w:r>
      <w:r>
        <w:rPr>
          <w:rFonts w:hint="eastAsia" w:asciiTheme="minorEastAsia" w:hAnsiTheme="minorEastAsia" w:eastAsiaTheme="minorEastAsia" w:cstheme="minorEastAsia"/>
          <w:sz w:val="24"/>
          <w:szCs w:val="24"/>
        </w:rPr>
        <w:t>第四部分 合同条款资料表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_Toc24300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8"/>
        <w:tabs>
          <w:tab w:val="right" w:leader="dot" w:pos="9071"/>
          <w:tab w:val="clear" w:pos="8777"/>
        </w:tabs>
        <w:spacing w:line="360" w:lineRule="auto"/>
        <w:rPr>
          <w:rFonts w:asciiTheme="minorEastAsia" w:hAnsiTheme="minorEastAsia" w:eastAsiaTheme="minorEastAsia" w:cstheme="minorEastAsia"/>
          <w:sz w:val="24"/>
          <w:szCs w:val="24"/>
        </w:rPr>
      </w:pPr>
      <w:r>
        <w:fldChar w:fldCharType="begin"/>
      </w:r>
      <w:r>
        <w:instrText xml:space="preserve"> HYPERLINK \l "_Toc9162" </w:instrText>
      </w:r>
      <w:r>
        <w:fldChar w:fldCharType="separate"/>
      </w:r>
      <w:r>
        <w:rPr>
          <w:rFonts w:hint="eastAsia" w:asciiTheme="minorEastAsia" w:hAnsiTheme="minorEastAsia" w:eastAsiaTheme="minorEastAsia" w:cstheme="minorEastAsia"/>
          <w:sz w:val="24"/>
          <w:szCs w:val="24"/>
        </w:rPr>
        <w:t>第五部分 磋商项目资料表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_Toc9162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8"/>
        <w:tabs>
          <w:tab w:val="right" w:leader="dot" w:pos="9071"/>
          <w:tab w:val="clear" w:pos="8777"/>
        </w:tabs>
        <w:spacing w:line="360" w:lineRule="auto"/>
        <w:rPr>
          <w:rFonts w:asciiTheme="minorEastAsia" w:hAnsiTheme="minorEastAsia" w:eastAsiaTheme="minorEastAsia" w:cstheme="minorEastAsia"/>
          <w:sz w:val="24"/>
          <w:szCs w:val="24"/>
        </w:rPr>
      </w:pPr>
      <w:r>
        <w:fldChar w:fldCharType="begin"/>
      </w:r>
      <w:r>
        <w:instrText xml:space="preserve"> HYPERLINK \l "_Toc20159" </w:instrText>
      </w:r>
      <w:r>
        <w:fldChar w:fldCharType="separate"/>
      </w:r>
      <w:r>
        <w:rPr>
          <w:rFonts w:hint="eastAsia" w:asciiTheme="minorEastAsia" w:hAnsiTheme="minorEastAsia" w:eastAsiaTheme="minorEastAsia" w:cstheme="minorEastAsia"/>
          <w:sz w:val="24"/>
          <w:szCs w:val="24"/>
        </w:rPr>
        <w:t>第六部分 磋商评审办法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_Toc20159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8"/>
        <w:tabs>
          <w:tab w:val="right" w:leader="dot" w:pos="9071"/>
          <w:tab w:val="clear" w:pos="8777"/>
        </w:tabs>
        <w:spacing w:line="360" w:lineRule="auto"/>
        <w:rPr>
          <w:rFonts w:asciiTheme="minorEastAsia" w:hAnsiTheme="minorEastAsia" w:eastAsiaTheme="minorEastAsia" w:cstheme="minorEastAsia"/>
          <w:sz w:val="24"/>
          <w:szCs w:val="24"/>
        </w:rPr>
      </w:pPr>
      <w:r>
        <w:fldChar w:fldCharType="begin"/>
      </w:r>
      <w:r>
        <w:instrText xml:space="preserve"> HYPERLINK \l "_Toc6238" </w:instrText>
      </w:r>
      <w:r>
        <w:fldChar w:fldCharType="separate"/>
      </w:r>
      <w:r>
        <w:rPr>
          <w:rFonts w:hint="eastAsia" w:asciiTheme="minorEastAsia" w:hAnsiTheme="minorEastAsia" w:eastAsiaTheme="minorEastAsia" w:cstheme="minorEastAsia"/>
          <w:sz w:val="24"/>
          <w:szCs w:val="24"/>
        </w:rPr>
        <w:t>第七部分 采购需求及要求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_Toc6238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8"/>
        <w:tabs>
          <w:tab w:val="right" w:leader="dot" w:pos="9071"/>
          <w:tab w:val="clear" w:pos="8777"/>
        </w:tabs>
        <w:spacing w:line="360" w:lineRule="auto"/>
        <w:rPr>
          <w:rFonts w:asciiTheme="minorEastAsia" w:hAnsiTheme="minorEastAsia" w:eastAsiaTheme="minorEastAsia" w:cstheme="minorEastAsia"/>
          <w:sz w:val="24"/>
          <w:szCs w:val="24"/>
        </w:rPr>
      </w:pPr>
      <w:r>
        <w:fldChar w:fldCharType="begin"/>
      </w:r>
      <w:r>
        <w:instrText xml:space="preserve"> HYPERLINK \l "_Toc28794" </w:instrText>
      </w:r>
      <w:r>
        <w:fldChar w:fldCharType="separate"/>
      </w:r>
      <w:r>
        <w:rPr>
          <w:rFonts w:hint="eastAsia" w:asciiTheme="minorEastAsia" w:hAnsiTheme="minorEastAsia" w:eastAsiaTheme="minorEastAsia" w:cstheme="minorEastAsia"/>
          <w:sz w:val="24"/>
          <w:szCs w:val="24"/>
        </w:rPr>
        <w:t>第八部分 磋商响应文件格式及内容</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_Toc28794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adjustRightInd w:val="0"/>
        <w:snapToGrid w:val="0"/>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end"/>
      </w:r>
    </w:p>
    <w:sdt>
      <w:sdtPr>
        <w:rPr>
          <w:rFonts w:ascii="宋体" w:hAnsi="宋体"/>
        </w:rPr>
        <w:id w:val="147474518"/>
        <w:docPartObj>
          <w:docPartGallery w:val="Table of Contents"/>
          <w:docPartUnique/>
        </w:docPartObj>
      </w:sdtPr>
      <w:sdtEndPr>
        <w:rPr>
          <w:rFonts w:hint="eastAsia" w:ascii="Times New Roman" w:hAnsi="Times New Roman"/>
          <w:b/>
        </w:rPr>
      </w:sdtEndPr>
      <w:sdtContent>
        <w:p>
          <w:pPr>
            <w:adjustRightInd w:val="0"/>
            <w:snapToGrid w:val="0"/>
            <w:spacing w:line="360" w:lineRule="auto"/>
            <w:jc w:val="center"/>
          </w:pPr>
        </w:p>
        <w:p>
          <w:pPr>
            <w:pStyle w:val="45"/>
            <w:spacing w:line="360" w:lineRule="auto"/>
            <w:ind w:firstLine="422"/>
          </w:pPr>
        </w:p>
      </w:sdtContent>
    </w:sdt>
    <w:p>
      <w:pPr>
        <w:pStyle w:val="3"/>
        <w:keepNext w:val="0"/>
        <w:widowControl w:val="0"/>
        <w:tabs>
          <w:tab w:val="left" w:pos="0"/>
          <w:tab w:val="clear" w:pos="432"/>
        </w:tabs>
        <w:spacing w:line="360" w:lineRule="auto"/>
        <w:ind w:left="0" w:firstLine="0"/>
        <w:rPr>
          <w:rFonts w:ascii="宋体" w:hAnsi="宋体" w:eastAsia="宋体"/>
          <w:b/>
          <w:bCs/>
          <w:sz w:val="28"/>
          <w:szCs w:val="36"/>
        </w:rPr>
      </w:pPr>
    </w:p>
    <w:p>
      <w:pPr>
        <w:pStyle w:val="3"/>
        <w:keepNext w:val="0"/>
        <w:widowControl w:val="0"/>
        <w:tabs>
          <w:tab w:val="left" w:pos="0"/>
          <w:tab w:val="clear" w:pos="432"/>
        </w:tabs>
        <w:spacing w:line="360" w:lineRule="auto"/>
        <w:ind w:left="0" w:firstLine="0"/>
        <w:rPr>
          <w:rFonts w:ascii="宋体" w:hAnsi="宋体" w:eastAsia="宋体"/>
          <w:b/>
          <w:bCs/>
          <w:sz w:val="28"/>
          <w:szCs w:val="36"/>
        </w:rPr>
      </w:pPr>
    </w:p>
    <w:p>
      <w:pPr>
        <w:pStyle w:val="3"/>
        <w:keepNext w:val="0"/>
        <w:widowControl w:val="0"/>
        <w:tabs>
          <w:tab w:val="left" w:pos="0"/>
          <w:tab w:val="clear" w:pos="432"/>
        </w:tabs>
        <w:spacing w:line="360" w:lineRule="auto"/>
        <w:ind w:left="0" w:firstLine="0"/>
        <w:rPr>
          <w:rFonts w:ascii="宋体" w:hAnsi="宋体" w:eastAsia="宋体"/>
          <w:b/>
          <w:bCs/>
          <w:sz w:val="28"/>
          <w:szCs w:val="36"/>
        </w:rPr>
      </w:pPr>
    </w:p>
    <w:p>
      <w:pPr>
        <w:pStyle w:val="3"/>
        <w:keepNext w:val="0"/>
        <w:widowControl w:val="0"/>
        <w:tabs>
          <w:tab w:val="left" w:pos="0"/>
          <w:tab w:val="clear" w:pos="432"/>
        </w:tabs>
        <w:spacing w:line="360" w:lineRule="auto"/>
        <w:ind w:left="0" w:firstLine="0"/>
        <w:rPr>
          <w:rFonts w:ascii="宋体" w:hAnsi="宋体" w:eastAsia="宋体"/>
          <w:b/>
          <w:bCs/>
          <w:sz w:val="28"/>
          <w:szCs w:val="36"/>
        </w:rPr>
      </w:pPr>
    </w:p>
    <w:p>
      <w:pPr>
        <w:pStyle w:val="3"/>
        <w:keepNext w:val="0"/>
        <w:widowControl w:val="0"/>
        <w:tabs>
          <w:tab w:val="left" w:pos="0"/>
          <w:tab w:val="clear" w:pos="432"/>
        </w:tabs>
        <w:spacing w:line="360" w:lineRule="auto"/>
        <w:ind w:left="0" w:firstLine="0"/>
        <w:rPr>
          <w:rFonts w:ascii="宋体" w:hAnsi="宋体" w:eastAsia="宋体"/>
          <w:b/>
          <w:bCs/>
          <w:sz w:val="28"/>
          <w:szCs w:val="36"/>
        </w:rPr>
      </w:pPr>
    </w:p>
    <w:p>
      <w:pPr>
        <w:pStyle w:val="3"/>
        <w:keepNext w:val="0"/>
        <w:widowControl w:val="0"/>
        <w:tabs>
          <w:tab w:val="left" w:pos="0"/>
          <w:tab w:val="clear" w:pos="432"/>
        </w:tabs>
        <w:spacing w:line="360" w:lineRule="auto"/>
        <w:ind w:left="0" w:firstLine="0"/>
        <w:rPr>
          <w:rFonts w:ascii="宋体" w:hAnsi="宋体" w:eastAsia="宋体"/>
          <w:b/>
          <w:bCs/>
          <w:sz w:val="28"/>
          <w:szCs w:val="36"/>
        </w:rPr>
      </w:pPr>
    </w:p>
    <w:p>
      <w:pPr>
        <w:pStyle w:val="3"/>
        <w:keepNext w:val="0"/>
        <w:widowControl w:val="0"/>
        <w:tabs>
          <w:tab w:val="left" w:pos="0"/>
          <w:tab w:val="clear" w:pos="432"/>
        </w:tabs>
        <w:spacing w:line="360" w:lineRule="auto"/>
        <w:ind w:left="0" w:firstLine="0"/>
        <w:rPr>
          <w:rFonts w:ascii="宋体" w:hAnsi="宋体" w:eastAsia="宋体"/>
          <w:b/>
          <w:bCs/>
          <w:sz w:val="28"/>
          <w:szCs w:val="36"/>
        </w:rPr>
      </w:pPr>
    </w:p>
    <w:p>
      <w:pPr>
        <w:pStyle w:val="3"/>
        <w:keepNext w:val="0"/>
        <w:widowControl w:val="0"/>
        <w:tabs>
          <w:tab w:val="left" w:pos="0"/>
          <w:tab w:val="clear" w:pos="432"/>
        </w:tabs>
        <w:spacing w:line="360" w:lineRule="auto"/>
        <w:ind w:left="0" w:firstLine="0"/>
        <w:rPr>
          <w:rFonts w:ascii="宋体" w:hAnsi="宋体" w:eastAsia="宋体"/>
          <w:b/>
          <w:bCs/>
          <w:sz w:val="28"/>
          <w:szCs w:val="36"/>
        </w:rPr>
      </w:pPr>
    </w:p>
    <w:p>
      <w:pPr>
        <w:pStyle w:val="3"/>
        <w:keepNext w:val="0"/>
        <w:widowControl w:val="0"/>
        <w:tabs>
          <w:tab w:val="left" w:pos="0"/>
          <w:tab w:val="clear" w:pos="432"/>
        </w:tabs>
        <w:spacing w:line="360" w:lineRule="auto"/>
        <w:ind w:left="0" w:firstLine="0"/>
        <w:rPr>
          <w:rFonts w:ascii="宋体" w:hAnsi="宋体" w:eastAsia="宋体"/>
          <w:b/>
          <w:bCs/>
          <w:sz w:val="28"/>
          <w:szCs w:val="36"/>
        </w:rPr>
      </w:pPr>
    </w:p>
    <w:p>
      <w:pPr>
        <w:pStyle w:val="3"/>
        <w:keepNext w:val="0"/>
        <w:widowControl w:val="0"/>
        <w:tabs>
          <w:tab w:val="left" w:pos="0"/>
          <w:tab w:val="clear" w:pos="432"/>
        </w:tabs>
        <w:spacing w:line="360" w:lineRule="auto"/>
        <w:ind w:left="0" w:firstLine="0"/>
        <w:rPr>
          <w:rFonts w:ascii="宋体" w:hAnsi="宋体" w:eastAsia="宋体"/>
          <w:b/>
          <w:bCs/>
          <w:sz w:val="28"/>
          <w:szCs w:val="36"/>
        </w:rPr>
      </w:pPr>
    </w:p>
    <w:p>
      <w:pPr>
        <w:widowControl/>
        <w:jc w:val="center"/>
        <w:outlineLvl w:val="0"/>
        <w:rPr>
          <w:rFonts w:ascii="宋体" w:hAnsi="宋体" w:cs="宋体"/>
          <w:b/>
          <w:color w:val="000000"/>
          <w:sz w:val="32"/>
          <w:szCs w:val="32"/>
        </w:rPr>
      </w:pPr>
      <w:bookmarkStart w:id="0" w:name="_Toc18435"/>
      <w:bookmarkStart w:id="1" w:name="_Toc145"/>
    </w:p>
    <w:p>
      <w:pPr>
        <w:widowControl/>
        <w:jc w:val="center"/>
        <w:outlineLvl w:val="0"/>
        <w:rPr>
          <w:rFonts w:ascii="宋体" w:hAnsi="宋体" w:cs="宋体"/>
          <w:b/>
          <w:color w:val="000000"/>
          <w:sz w:val="32"/>
          <w:szCs w:val="32"/>
        </w:rPr>
      </w:pPr>
    </w:p>
    <w:p>
      <w:pPr>
        <w:widowControl/>
        <w:jc w:val="center"/>
        <w:outlineLvl w:val="0"/>
        <w:rPr>
          <w:rFonts w:ascii="宋体" w:hAnsi="宋体" w:cs="宋体"/>
          <w:b/>
          <w:color w:val="000000"/>
          <w:sz w:val="32"/>
          <w:szCs w:val="32"/>
        </w:rPr>
      </w:pPr>
    </w:p>
    <w:p>
      <w:pPr>
        <w:widowControl/>
        <w:jc w:val="center"/>
        <w:outlineLvl w:val="0"/>
        <w:rPr>
          <w:rFonts w:ascii="宋体" w:hAnsi="宋体" w:cs="宋体"/>
          <w:b/>
          <w:color w:val="000000"/>
          <w:sz w:val="32"/>
          <w:szCs w:val="32"/>
        </w:rPr>
      </w:pPr>
    </w:p>
    <w:bookmarkEnd w:id="0"/>
    <w:bookmarkEnd w:id="1"/>
    <w:p>
      <w:pPr>
        <w:pStyle w:val="3"/>
        <w:keepNext w:val="0"/>
        <w:widowControl w:val="0"/>
        <w:tabs>
          <w:tab w:val="left" w:pos="0"/>
          <w:tab w:val="clear" w:pos="432"/>
        </w:tabs>
        <w:spacing w:line="360" w:lineRule="auto"/>
        <w:ind w:left="0" w:firstLine="0"/>
        <w:rPr>
          <w:rFonts w:ascii="宋体" w:hAnsi="宋体" w:eastAsia="宋体"/>
          <w:b/>
          <w:bCs/>
          <w:sz w:val="28"/>
          <w:szCs w:val="36"/>
        </w:rPr>
      </w:pPr>
      <w:r>
        <w:rPr>
          <w:rFonts w:hint="eastAsia" w:ascii="宋体" w:hAnsi="宋体"/>
          <w:sz w:val="32"/>
        </w:rPr>
        <w:br w:type="page"/>
      </w:r>
      <w:bookmarkStart w:id="2" w:name="_Toc121902684"/>
      <w:bookmarkStart w:id="3" w:name="_Toc32265"/>
      <w:bookmarkStart w:id="4" w:name="_Toc31207"/>
      <w:bookmarkStart w:id="5" w:name="_Toc44924370"/>
      <w:bookmarkStart w:id="6" w:name="_Toc23061"/>
      <w:r>
        <w:rPr>
          <w:rFonts w:hint="eastAsia" w:ascii="宋体" w:hAnsi="宋体" w:eastAsia="宋体"/>
          <w:b/>
          <w:bCs/>
          <w:sz w:val="32"/>
          <w:szCs w:val="40"/>
        </w:rPr>
        <w:t xml:space="preserve">第一部分   </w:t>
      </w:r>
      <w:bookmarkEnd w:id="2"/>
      <w:bookmarkStart w:id="7" w:name="_Toc376188785"/>
      <w:bookmarkStart w:id="8" w:name="_Toc90713330"/>
      <w:bookmarkStart w:id="9" w:name="_Toc90712511"/>
      <w:r>
        <w:rPr>
          <w:rFonts w:hint="eastAsia" w:ascii="宋体" w:hAnsi="宋体" w:eastAsia="宋体"/>
          <w:b/>
          <w:bCs/>
          <w:sz w:val="32"/>
          <w:szCs w:val="40"/>
        </w:rPr>
        <w:t>竞争性磋商公告</w:t>
      </w:r>
      <w:bookmarkEnd w:id="3"/>
      <w:bookmarkEnd w:id="4"/>
      <w:bookmarkEnd w:id="5"/>
      <w:bookmarkEnd w:id="6"/>
    </w:p>
    <w:bookmarkEnd w:id="7"/>
    <w:p>
      <w:pPr>
        <w:jc w:val="center"/>
        <w:outlineLvl w:val="0"/>
        <w:rPr>
          <w:rFonts w:hint="eastAsia" w:ascii="宋体" w:hAnsi="宋体" w:eastAsia="宋体"/>
          <w:b/>
          <w:sz w:val="28"/>
          <w:szCs w:val="28"/>
          <w:lang w:eastAsia="zh-CN"/>
        </w:rPr>
      </w:pPr>
      <w:bookmarkStart w:id="10" w:name="_Toc18358"/>
      <w:bookmarkStart w:id="11" w:name="_Toc25504"/>
      <w:bookmarkStart w:id="12" w:name="_Toc2915"/>
      <w:bookmarkStart w:id="13" w:name="_Toc44924371"/>
      <w:bookmarkStart w:id="14" w:name="_Toc6358"/>
      <w:bookmarkStart w:id="15" w:name="_Toc15007"/>
      <w:r>
        <w:rPr>
          <w:rFonts w:hint="eastAsia" w:ascii="宋体" w:hAnsi="宋体"/>
          <w:b/>
          <w:sz w:val="28"/>
          <w:szCs w:val="28"/>
          <w:lang w:eastAsia="zh-CN"/>
        </w:rPr>
        <w:t>南阳市中级人民法院警用装备采购项目</w:t>
      </w:r>
    </w:p>
    <w:p>
      <w:pPr>
        <w:jc w:val="center"/>
        <w:outlineLvl w:val="0"/>
        <w:rPr>
          <w:rFonts w:ascii="宋体" w:hAnsi="宋体"/>
          <w:b/>
          <w:sz w:val="28"/>
          <w:szCs w:val="28"/>
        </w:rPr>
      </w:pPr>
      <w:r>
        <w:rPr>
          <w:rFonts w:hint="eastAsia" w:ascii="宋体" w:hAnsi="宋体"/>
          <w:b/>
          <w:sz w:val="28"/>
          <w:szCs w:val="28"/>
        </w:rPr>
        <w:t>竞争性磋商公告</w:t>
      </w:r>
      <w:bookmarkEnd w:id="10"/>
      <w:bookmarkEnd w:id="11"/>
      <w:bookmarkEnd w:id="12"/>
    </w:p>
    <w:p>
      <w:pPr>
        <w:tabs>
          <w:tab w:val="left" w:pos="900"/>
        </w:tabs>
        <w:snapToGrid w:val="0"/>
        <w:spacing w:line="360" w:lineRule="auto"/>
        <w:outlineLvl w:val="0"/>
        <w:rPr>
          <w:rFonts w:ascii="宋体" w:hAnsi="宋体" w:cs="宋体"/>
          <w:b/>
          <w:bCs/>
          <w:kern w:val="0"/>
          <w:sz w:val="24"/>
        </w:rPr>
      </w:pPr>
      <w:bookmarkStart w:id="16" w:name="_Toc6852"/>
      <w:bookmarkStart w:id="17" w:name="_Toc6938"/>
      <w:bookmarkStart w:id="18" w:name="_Toc5810"/>
      <w:r>
        <w:rPr>
          <w:rFonts w:hint="eastAsia" w:ascii="宋体" w:hAnsi="宋体"/>
          <w:b/>
          <w:bCs/>
          <w:sz w:val="24"/>
        </w:rPr>
        <w:t>一、</w:t>
      </w:r>
      <w:r>
        <w:rPr>
          <w:rFonts w:hint="eastAsia" w:ascii="宋体" w:hAnsi="宋体" w:cs="宋体"/>
          <w:b/>
          <w:bCs/>
          <w:kern w:val="0"/>
          <w:sz w:val="24"/>
        </w:rPr>
        <w:t>项目基本情况</w:t>
      </w:r>
      <w:bookmarkEnd w:id="16"/>
      <w:bookmarkEnd w:id="17"/>
      <w:bookmarkEnd w:id="18"/>
    </w:p>
    <w:p>
      <w:pPr>
        <w:tabs>
          <w:tab w:val="left" w:pos="900"/>
        </w:tabs>
        <w:snapToGrid w:val="0"/>
        <w:spacing w:line="360" w:lineRule="auto"/>
        <w:ind w:firstLine="480" w:firstLineChars="200"/>
        <w:rPr>
          <w:rFonts w:ascii="宋体" w:hAnsi="宋体"/>
          <w:sz w:val="24"/>
          <w:highlight w:val="none"/>
        </w:rPr>
      </w:pPr>
      <w:r>
        <w:rPr>
          <w:rFonts w:hint="eastAsia" w:ascii="宋体" w:hAnsi="宋体"/>
          <w:sz w:val="24"/>
          <w:highlight w:val="none"/>
        </w:rPr>
        <w:t>1、</w:t>
      </w:r>
      <w:r>
        <w:rPr>
          <w:rFonts w:hint="eastAsia" w:ascii="宋体" w:hAnsi="宋体" w:cs="宋体"/>
          <w:bCs/>
          <w:kern w:val="0"/>
          <w:sz w:val="24"/>
          <w:highlight w:val="none"/>
        </w:rPr>
        <w:t>项目编号：HNZB[2021]NY035</w:t>
      </w:r>
      <w:r>
        <w:rPr>
          <w:rFonts w:hint="eastAsia" w:ascii="宋体" w:hAnsi="宋体"/>
          <w:color w:val="000000"/>
          <w:sz w:val="24"/>
          <w:highlight w:val="none"/>
        </w:rPr>
        <w:t xml:space="preserve"> </w:t>
      </w:r>
      <w:r>
        <w:rPr>
          <w:rFonts w:hint="eastAsia" w:ascii="宋体" w:hAnsi="宋体" w:cs="宋体"/>
          <w:bCs/>
          <w:kern w:val="0"/>
          <w:sz w:val="24"/>
          <w:highlight w:val="none"/>
        </w:rPr>
        <w:t xml:space="preserve"> </w:t>
      </w:r>
    </w:p>
    <w:p>
      <w:pPr>
        <w:tabs>
          <w:tab w:val="left" w:pos="900"/>
        </w:tabs>
        <w:snapToGrid w:val="0"/>
        <w:spacing w:line="360" w:lineRule="auto"/>
        <w:ind w:left="1919" w:leftChars="228" w:hanging="1440" w:hangingChars="600"/>
        <w:rPr>
          <w:rFonts w:hint="eastAsia" w:ascii="宋体" w:hAnsi="宋体" w:eastAsia="宋体" w:cs="宋体"/>
          <w:sz w:val="24"/>
          <w:highlight w:val="none"/>
          <w:lang w:eastAsia="zh-CN"/>
        </w:rPr>
      </w:pPr>
      <w:r>
        <w:rPr>
          <w:rFonts w:hint="eastAsia" w:ascii="宋体" w:hAnsi="宋体" w:cs="宋体"/>
          <w:sz w:val="24"/>
          <w:highlight w:val="none"/>
        </w:rPr>
        <w:t>2、项目名称：</w:t>
      </w:r>
      <w:r>
        <w:rPr>
          <w:rFonts w:hint="eastAsia" w:ascii="宋体" w:hAnsi="宋体" w:cs="宋体"/>
          <w:sz w:val="24"/>
          <w:highlight w:val="none"/>
          <w:lang w:eastAsia="zh-CN"/>
        </w:rPr>
        <w:t>南阳市中级人民法院警用装备采购项目</w:t>
      </w:r>
    </w:p>
    <w:p>
      <w:pPr>
        <w:tabs>
          <w:tab w:val="left" w:pos="900"/>
        </w:tabs>
        <w:snapToGrid w:val="0"/>
        <w:spacing w:line="360" w:lineRule="auto"/>
        <w:ind w:firstLine="480" w:firstLineChars="200"/>
        <w:rPr>
          <w:rFonts w:ascii="宋体" w:hAnsi="宋体"/>
          <w:sz w:val="24"/>
        </w:rPr>
      </w:pPr>
      <w:r>
        <w:rPr>
          <w:rFonts w:hint="eastAsia" w:ascii="宋体" w:hAnsi="宋体"/>
          <w:sz w:val="24"/>
        </w:rPr>
        <w:t>3、采购方式：竞争性磋商</w:t>
      </w:r>
    </w:p>
    <w:p>
      <w:pPr>
        <w:tabs>
          <w:tab w:val="left" w:pos="900"/>
        </w:tabs>
        <w:snapToGrid w:val="0"/>
        <w:spacing w:line="360" w:lineRule="auto"/>
        <w:ind w:firstLine="480" w:firstLineChars="200"/>
        <w:rPr>
          <w:rFonts w:ascii="宋体" w:hAnsi="宋体" w:cs="宋体"/>
          <w:bCs/>
          <w:kern w:val="0"/>
          <w:sz w:val="24"/>
        </w:rPr>
      </w:pPr>
      <w:r>
        <w:rPr>
          <w:rFonts w:hint="eastAsia" w:ascii="宋体" w:hAnsi="宋体" w:cs="宋体"/>
          <w:bCs/>
          <w:kern w:val="0"/>
          <w:sz w:val="24"/>
        </w:rPr>
        <w:t>4、预算金额：人民币223000.00元</w:t>
      </w:r>
    </w:p>
    <w:p>
      <w:pPr>
        <w:tabs>
          <w:tab w:val="left" w:pos="900"/>
        </w:tabs>
        <w:snapToGrid w:val="0"/>
        <w:spacing w:line="360" w:lineRule="auto"/>
        <w:ind w:firstLine="840" w:firstLineChars="350"/>
        <w:rPr>
          <w:rFonts w:ascii="宋体" w:hAnsi="宋体" w:cs="宋体"/>
          <w:bCs/>
          <w:kern w:val="0"/>
          <w:sz w:val="24"/>
        </w:rPr>
      </w:pPr>
      <w:r>
        <w:rPr>
          <w:rFonts w:hint="eastAsia" w:ascii="宋体" w:hAnsi="宋体"/>
          <w:bCs/>
          <w:sz w:val="24"/>
        </w:rPr>
        <w:t>最高限价：</w:t>
      </w:r>
      <w:r>
        <w:rPr>
          <w:rFonts w:hint="eastAsia" w:ascii="宋体" w:hAnsi="宋体" w:cs="宋体"/>
          <w:bCs/>
          <w:kern w:val="0"/>
          <w:sz w:val="24"/>
        </w:rPr>
        <w:t>人民币223000.00元</w:t>
      </w:r>
    </w:p>
    <w:p>
      <w:pPr>
        <w:numPr>
          <w:ilvl w:val="0"/>
          <w:numId w:val="2"/>
        </w:numPr>
        <w:tabs>
          <w:tab w:val="left" w:pos="900"/>
        </w:tabs>
        <w:snapToGrid w:val="0"/>
        <w:spacing w:line="360" w:lineRule="auto"/>
        <w:ind w:firstLine="480" w:firstLineChars="200"/>
      </w:pPr>
      <w:r>
        <w:rPr>
          <w:rFonts w:hint="eastAsia" w:ascii="宋体" w:hAnsi="宋体" w:cs="宋体"/>
          <w:bCs/>
          <w:kern w:val="0"/>
          <w:sz w:val="24"/>
        </w:rPr>
        <w:t>采购需求：</w:t>
      </w:r>
    </w:p>
    <w:tbl>
      <w:tblPr>
        <w:tblStyle w:val="27"/>
        <w:tblW w:w="9156"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338"/>
        <w:gridCol w:w="888"/>
        <w:gridCol w:w="840"/>
        <w:gridCol w:w="2220"/>
        <w:gridCol w:w="1327"/>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82" w:type="dxa"/>
            <w:vAlign w:val="center"/>
          </w:tcPr>
          <w:p>
            <w:pPr>
              <w:pStyle w:val="25"/>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包号</w:t>
            </w:r>
          </w:p>
        </w:tc>
        <w:tc>
          <w:tcPr>
            <w:tcW w:w="1338" w:type="dxa"/>
            <w:vAlign w:val="center"/>
          </w:tcPr>
          <w:p>
            <w:pPr>
              <w:pStyle w:val="25"/>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设备名称</w:t>
            </w:r>
          </w:p>
        </w:tc>
        <w:tc>
          <w:tcPr>
            <w:tcW w:w="888" w:type="dxa"/>
            <w:vAlign w:val="center"/>
          </w:tcPr>
          <w:p>
            <w:pPr>
              <w:pStyle w:val="25"/>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840" w:type="dxa"/>
            <w:vAlign w:val="center"/>
          </w:tcPr>
          <w:p>
            <w:pPr>
              <w:pStyle w:val="25"/>
              <w:ind w:left="-19" w:leftChars="-9" w:firstLine="19" w:firstLineChars="8"/>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2220" w:type="dxa"/>
            <w:vAlign w:val="center"/>
          </w:tcPr>
          <w:p>
            <w:pPr>
              <w:pStyle w:val="25"/>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交货期</w:t>
            </w:r>
          </w:p>
        </w:tc>
        <w:tc>
          <w:tcPr>
            <w:tcW w:w="1327" w:type="dxa"/>
            <w:vAlign w:val="center"/>
          </w:tcPr>
          <w:p>
            <w:pPr>
              <w:pStyle w:val="25"/>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质量要示</w:t>
            </w:r>
          </w:p>
        </w:tc>
        <w:tc>
          <w:tcPr>
            <w:tcW w:w="1661" w:type="dxa"/>
            <w:vAlign w:val="center"/>
          </w:tcPr>
          <w:p>
            <w:pPr>
              <w:pStyle w:val="25"/>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vAlign w:val="center"/>
          </w:tcPr>
          <w:p>
            <w:pPr>
              <w:pStyle w:val="25"/>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338" w:type="dxa"/>
            <w:vAlign w:val="center"/>
          </w:tcPr>
          <w:p>
            <w:pPr>
              <w:pStyle w:val="25"/>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警用装备</w:t>
            </w:r>
          </w:p>
        </w:tc>
        <w:tc>
          <w:tcPr>
            <w:tcW w:w="888" w:type="dxa"/>
            <w:vAlign w:val="center"/>
          </w:tcPr>
          <w:p>
            <w:pPr>
              <w:pStyle w:val="25"/>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840" w:type="dxa"/>
            <w:vAlign w:val="center"/>
          </w:tcPr>
          <w:p>
            <w:pPr>
              <w:pStyle w:val="25"/>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w:t>
            </w:r>
          </w:p>
        </w:tc>
        <w:tc>
          <w:tcPr>
            <w:tcW w:w="2220" w:type="dxa"/>
            <w:vAlign w:val="center"/>
          </w:tcPr>
          <w:p>
            <w:pPr>
              <w:pStyle w:val="25"/>
              <w:ind w:left="0" w:leftChars="0" w:firstLine="0" w:firstLineChars="0"/>
              <w:jc w:val="left"/>
              <w:rPr>
                <w:rFonts w:hint="eastAsia" w:ascii="宋体" w:hAnsi="宋体" w:eastAsia="宋体" w:cs="宋体"/>
                <w:sz w:val="24"/>
                <w:szCs w:val="24"/>
                <w:vertAlign w:val="baseline"/>
              </w:rPr>
            </w:pPr>
            <w:r>
              <w:rPr>
                <w:rFonts w:hint="eastAsia" w:ascii="宋体" w:hAnsi="宋体" w:eastAsia="宋体" w:cs="宋体"/>
                <w:sz w:val="24"/>
                <w:szCs w:val="24"/>
              </w:rPr>
              <w:t>合同签订后20日内验收合格并交付使用</w:t>
            </w:r>
          </w:p>
        </w:tc>
        <w:tc>
          <w:tcPr>
            <w:tcW w:w="1327" w:type="dxa"/>
            <w:vAlign w:val="center"/>
          </w:tcPr>
          <w:p>
            <w:pPr>
              <w:pStyle w:val="25"/>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符合国家质量标准</w:t>
            </w:r>
          </w:p>
        </w:tc>
        <w:tc>
          <w:tcPr>
            <w:tcW w:w="1661" w:type="dxa"/>
            <w:vAlign w:val="center"/>
          </w:tcPr>
          <w:p>
            <w:pPr>
              <w:pStyle w:val="25"/>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具体要求详见磋商文件</w:t>
            </w:r>
          </w:p>
        </w:tc>
      </w:tr>
    </w:tbl>
    <w:p>
      <w:pPr>
        <w:spacing w:line="480" w:lineRule="exact"/>
        <w:ind w:firstLine="480" w:firstLineChars="200"/>
        <w:jc w:val="left"/>
        <w:rPr>
          <w:rFonts w:ascii="宋体" w:hAnsi="宋体"/>
          <w:sz w:val="24"/>
        </w:rPr>
      </w:pPr>
      <w:r>
        <w:rPr>
          <w:rFonts w:hint="eastAsia" w:ascii="宋体" w:hAnsi="宋体"/>
          <w:sz w:val="24"/>
          <w:lang w:val="en-US" w:eastAsia="zh-CN"/>
        </w:rPr>
        <w:t>6</w:t>
      </w:r>
      <w:r>
        <w:rPr>
          <w:rFonts w:hint="eastAsia" w:ascii="宋体" w:hAnsi="宋体"/>
          <w:sz w:val="24"/>
        </w:rPr>
        <w:t>、合同履行期限：</w:t>
      </w:r>
      <w:r>
        <w:rPr>
          <w:rFonts w:hint="eastAsia" w:ascii="宋体" w:hAnsi="宋体" w:cs="宋体"/>
          <w:bCs/>
          <w:kern w:val="0"/>
          <w:sz w:val="24"/>
        </w:rPr>
        <w:t>与交货期一致</w:t>
      </w:r>
    </w:p>
    <w:p>
      <w:pPr>
        <w:spacing w:line="480" w:lineRule="exact"/>
        <w:ind w:firstLine="480" w:firstLineChars="200"/>
        <w:jc w:val="left"/>
        <w:rPr>
          <w:rFonts w:ascii="宋体" w:hAnsi="宋体"/>
          <w:sz w:val="24"/>
        </w:rPr>
      </w:pPr>
      <w:r>
        <w:rPr>
          <w:rFonts w:hint="eastAsia" w:ascii="宋体" w:hAnsi="宋体"/>
          <w:sz w:val="24"/>
          <w:lang w:val="en-US" w:eastAsia="zh-CN"/>
        </w:rPr>
        <w:t>7</w:t>
      </w:r>
      <w:r>
        <w:rPr>
          <w:rFonts w:hint="eastAsia" w:ascii="宋体" w:hAnsi="宋体"/>
          <w:sz w:val="24"/>
        </w:rPr>
        <w:t>、是否接受进口产品：否</w:t>
      </w:r>
    </w:p>
    <w:p>
      <w:pPr>
        <w:tabs>
          <w:tab w:val="left" w:pos="900"/>
        </w:tabs>
        <w:snapToGrid w:val="0"/>
        <w:spacing w:line="480" w:lineRule="exact"/>
        <w:outlineLvl w:val="0"/>
        <w:rPr>
          <w:rFonts w:ascii="宋体" w:hAnsi="宋体"/>
          <w:b/>
          <w:bCs/>
          <w:sz w:val="24"/>
        </w:rPr>
      </w:pPr>
      <w:bookmarkStart w:id="19" w:name="_Toc14259"/>
      <w:bookmarkStart w:id="20" w:name="_Toc28359080"/>
      <w:bookmarkStart w:id="21" w:name="_Toc35393791"/>
      <w:bookmarkStart w:id="22" w:name="_Toc28359003"/>
      <w:bookmarkStart w:id="23" w:name="_Toc35393622"/>
      <w:bookmarkStart w:id="24" w:name="_Toc2159"/>
      <w:bookmarkStart w:id="25" w:name="_Toc26848"/>
      <w:r>
        <w:rPr>
          <w:rFonts w:hint="eastAsia" w:ascii="宋体" w:hAnsi="宋体"/>
          <w:b/>
          <w:bCs/>
          <w:sz w:val="24"/>
        </w:rPr>
        <w:t>二、申请人资格要求：</w:t>
      </w:r>
      <w:bookmarkEnd w:id="19"/>
      <w:bookmarkEnd w:id="20"/>
      <w:bookmarkEnd w:id="21"/>
      <w:bookmarkEnd w:id="22"/>
      <w:bookmarkEnd w:id="23"/>
      <w:bookmarkEnd w:id="24"/>
      <w:bookmarkEnd w:id="25"/>
    </w:p>
    <w:p>
      <w:pPr>
        <w:spacing w:line="480" w:lineRule="exact"/>
        <w:ind w:firstLine="480" w:firstLineChars="200"/>
        <w:jc w:val="left"/>
        <w:rPr>
          <w:rFonts w:ascii="宋体" w:hAnsi="宋体"/>
          <w:sz w:val="24"/>
        </w:rPr>
      </w:pPr>
      <w:r>
        <w:rPr>
          <w:rFonts w:hint="eastAsia" w:ascii="宋体" w:hAnsi="宋体"/>
          <w:sz w:val="24"/>
        </w:rPr>
        <w:t>1、满足《中华人民共和国政府采购法》第二十二条规定；</w:t>
      </w:r>
    </w:p>
    <w:p>
      <w:pPr>
        <w:spacing w:line="480" w:lineRule="exact"/>
        <w:ind w:firstLine="480" w:firstLineChars="200"/>
        <w:jc w:val="left"/>
        <w:rPr>
          <w:rFonts w:ascii="宋体" w:hAnsi="宋体"/>
          <w:sz w:val="24"/>
        </w:rPr>
      </w:pPr>
      <w:r>
        <w:rPr>
          <w:rFonts w:hint="eastAsia" w:ascii="宋体" w:hAnsi="宋体"/>
          <w:sz w:val="24"/>
        </w:rPr>
        <w:t>2、落实政府采购政策满足的资格要求：无</w:t>
      </w:r>
    </w:p>
    <w:p>
      <w:pPr>
        <w:tabs>
          <w:tab w:val="left" w:pos="900"/>
        </w:tabs>
        <w:snapToGrid w:val="0"/>
        <w:spacing w:line="480" w:lineRule="exact"/>
        <w:ind w:firstLine="480" w:firstLineChars="200"/>
        <w:rPr>
          <w:rFonts w:ascii="宋体" w:hAnsi="宋体"/>
          <w:sz w:val="24"/>
        </w:rPr>
      </w:pPr>
      <w:r>
        <w:rPr>
          <w:rFonts w:hint="eastAsia" w:ascii="宋体" w:hAnsi="宋体"/>
          <w:sz w:val="24"/>
        </w:rPr>
        <w:t>3、本项目的特定资格要求：</w:t>
      </w:r>
    </w:p>
    <w:p>
      <w:pPr>
        <w:spacing w:line="480" w:lineRule="exact"/>
        <w:ind w:firstLine="480" w:firstLineChars="200"/>
        <w:rPr>
          <w:rFonts w:ascii="宋体" w:hAnsi="宋体"/>
          <w:sz w:val="24"/>
        </w:rPr>
      </w:pPr>
      <w:r>
        <w:rPr>
          <w:rFonts w:hint="eastAsia" w:ascii="宋体" w:hAnsi="宋体"/>
          <w:sz w:val="24"/>
        </w:rPr>
        <w:t>3.1符合《中华人民共和国政府采购法》第二十二条、《中华人民共和国政府采购法实施条例》第十七条规定，提供下列材料：</w:t>
      </w:r>
    </w:p>
    <w:p>
      <w:pPr>
        <w:spacing w:line="480" w:lineRule="exact"/>
        <w:ind w:firstLine="480" w:firstLineChars="200"/>
        <w:rPr>
          <w:rFonts w:ascii="宋体" w:hAnsi="宋体"/>
          <w:sz w:val="24"/>
        </w:rPr>
      </w:pPr>
      <w:r>
        <w:rPr>
          <w:rFonts w:hint="eastAsia" w:ascii="宋体" w:hAnsi="宋体"/>
          <w:sz w:val="24"/>
        </w:rPr>
        <w:t xml:space="preserve">（1）法人或者其他组织的营业执照等证明文件； </w:t>
      </w:r>
    </w:p>
    <w:p>
      <w:pPr>
        <w:spacing w:line="480" w:lineRule="exact"/>
        <w:ind w:firstLine="480" w:firstLineChars="200"/>
      </w:pPr>
      <w:r>
        <w:rPr>
          <w:rFonts w:hint="eastAsia" w:ascii="宋体" w:hAnsi="宋体"/>
          <w:sz w:val="24"/>
        </w:rPr>
        <w:t>（2）具有良好的商业信誉和健全的财务会计管理制度（提供2018年、2019年、2020年经审计的财务报告；如截止到开标时间投标人成立时间不足要求时限的，须提供近三个月内其基本开户银行出具的资信证明）；</w:t>
      </w:r>
    </w:p>
    <w:p>
      <w:pPr>
        <w:pStyle w:val="51"/>
        <w:spacing w:line="480" w:lineRule="exact"/>
        <w:ind w:firstLine="480"/>
        <w:rPr>
          <w:rFonts w:ascii="宋体" w:hAnsi="宋体"/>
          <w:sz w:val="24"/>
        </w:rPr>
      </w:pPr>
      <w:r>
        <w:rPr>
          <w:rFonts w:hint="eastAsia" w:ascii="宋体" w:hAnsi="宋体"/>
          <w:sz w:val="24"/>
        </w:rPr>
        <w:t>（3）具有履行合同所必须的设备和专业技术能力（提供</w:t>
      </w:r>
      <w:r>
        <w:rPr>
          <w:rFonts w:hint="eastAsia" w:ascii="宋体" w:hAnsi="宋体"/>
          <w:sz w:val="24"/>
          <w:lang w:eastAsia="zh-CN"/>
        </w:rPr>
        <w:t>承诺书</w:t>
      </w:r>
      <w:r>
        <w:rPr>
          <w:rFonts w:hint="eastAsia" w:ascii="宋体" w:hAnsi="宋体"/>
          <w:sz w:val="24"/>
        </w:rPr>
        <w:t>）；</w:t>
      </w:r>
    </w:p>
    <w:p>
      <w:pPr>
        <w:spacing w:line="480" w:lineRule="exact"/>
        <w:ind w:firstLine="480" w:firstLineChars="200"/>
        <w:rPr>
          <w:rFonts w:ascii="宋体" w:hAnsi="宋体"/>
          <w:sz w:val="24"/>
        </w:rPr>
      </w:pPr>
      <w:r>
        <w:rPr>
          <w:rFonts w:hint="eastAsia" w:ascii="宋体" w:hAnsi="宋体"/>
          <w:sz w:val="24"/>
        </w:rPr>
        <w:t>（4）有依法缴纳税收和社会保障资金的良好记录（提供2021年1月以来任意连续3个月纳税和社保证明材料</w:t>
      </w:r>
      <w:r>
        <w:rPr>
          <w:rFonts w:hint="eastAsia" w:ascii="宋体" w:hAnsi="宋体" w:cs="宋体"/>
          <w:bCs/>
          <w:iCs/>
          <w:color w:val="000000"/>
          <w:sz w:val="24"/>
        </w:rPr>
        <w:t>&lt;依法免税企业，应提供相关证明文件&gt;</w:t>
      </w:r>
      <w:r>
        <w:rPr>
          <w:rFonts w:hint="eastAsia" w:ascii="宋体" w:hAnsi="宋体"/>
          <w:sz w:val="24"/>
        </w:rPr>
        <w:t>）；</w:t>
      </w:r>
    </w:p>
    <w:p>
      <w:pPr>
        <w:spacing w:line="480" w:lineRule="exact"/>
        <w:ind w:firstLine="480" w:firstLineChars="200"/>
        <w:rPr>
          <w:rFonts w:ascii="宋体" w:hAnsi="宋体"/>
          <w:sz w:val="24"/>
        </w:rPr>
      </w:pPr>
      <w:r>
        <w:rPr>
          <w:rFonts w:hint="eastAsia" w:ascii="宋体" w:hAnsi="宋体"/>
          <w:sz w:val="24"/>
        </w:rPr>
        <w:t>（5）参加政府采购活动前三年内，在经营活动中没有重大违法记录（供应商需提供近三年无重大违法记录的书面声明）。</w:t>
      </w:r>
    </w:p>
    <w:p>
      <w:pPr>
        <w:spacing w:line="480" w:lineRule="exact"/>
        <w:ind w:firstLine="480" w:firstLineChars="200"/>
        <w:rPr>
          <w:rFonts w:ascii="宋体" w:hAnsi="宋体"/>
          <w:sz w:val="24"/>
        </w:rPr>
      </w:pPr>
      <w:r>
        <w:rPr>
          <w:rFonts w:hint="eastAsia" w:ascii="宋体" w:hAnsi="宋体"/>
          <w:sz w:val="24"/>
        </w:rPr>
        <w:t>（6）根据《关于在政府采购活动中查询及使用信用记录有关问题的通知》(财库[2016]125号)的规定，被列入“信用中国”网站（www.creditchina.gov.cn）的“失信被执行人”（查询渠道为“中国执行信息公开网”网站(zxgk.court.gov.cn/shixin/））、“重大税收违法案件当事人名单”或“中国政府采购网”网站（www.ccgp.gov.cn）的“政府采购严重违法失信行为记录名单”的投标人，不得参与本次招标活动。查询时间：本项目招标公告发布之后；</w:t>
      </w:r>
    </w:p>
    <w:p>
      <w:pPr>
        <w:spacing w:line="480" w:lineRule="exact"/>
        <w:ind w:firstLine="480" w:firstLineChars="200"/>
        <w:rPr>
          <w:rFonts w:ascii="宋体" w:hAnsi="宋体"/>
          <w:sz w:val="24"/>
        </w:rPr>
      </w:pPr>
      <w:r>
        <w:rPr>
          <w:rFonts w:hint="eastAsia" w:ascii="宋体" w:hAnsi="宋体"/>
          <w:sz w:val="24"/>
        </w:rPr>
        <w:t>（7）与采购人、采购人就本次采购项目委托的采购代理机构以及上述机构的附属机构没有行政或经济关联；</w:t>
      </w:r>
    </w:p>
    <w:p>
      <w:pPr>
        <w:spacing w:line="480" w:lineRule="exact"/>
        <w:ind w:firstLine="480" w:firstLineChars="200"/>
        <w:rPr>
          <w:rFonts w:ascii="宋体" w:hAnsi="宋体"/>
          <w:sz w:val="24"/>
        </w:rPr>
      </w:pPr>
      <w:r>
        <w:rPr>
          <w:rFonts w:hint="eastAsia" w:ascii="宋体" w:hAnsi="宋体"/>
          <w:sz w:val="24"/>
        </w:rPr>
        <w:t>3.2本次采购不接受联合体磋商，成交后不得分包与转包。</w:t>
      </w:r>
    </w:p>
    <w:p>
      <w:pPr>
        <w:spacing w:line="480" w:lineRule="exact"/>
        <w:ind w:firstLine="480" w:firstLineChars="200"/>
        <w:rPr>
          <w:rFonts w:ascii="宋体" w:hAnsi="宋体"/>
          <w:sz w:val="24"/>
        </w:rPr>
      </w:pPr>
      <w:r>
        <w:rPr>
          <w:rFonts w:hint="eastAsia" w:ascii="宋体" w:hAnsi="宋体"/>
          <w:sz w:val="24"/>
        </w:rPr>
        <w:t>3.3单位负责人为同一人或者存在直接控股、管理关系的不同供应商，不得参加同一合同项下的政府采购活动。</w:t>
      </w:r>
    </w:p>
    <w:p>
      <w:pPr>
        <w:widowControl/>
        <w:spacing w:line="480" w:lineRule="exact"/>
        <w:jc w:val="left"/>
        <w:outlineLvl w:val="0"/>
        <w:rPr>
          <w:rFonts w:ascii="宋体" w:hAnsi="宋体"/>
          <w:b/>
          <w:bCs/>
          <w:color w:val="000000"/>
          <w:sz w:val="24"/>
        </w:rPr>
      </w:pPr>
      <w:bookmarkStart w:id="26" w:name="_Toc16940"/>
      <w:bookmarkStart w:id="27" w:name="_Toc8678"/>
      <w:bookmarkStart w:id="28" w:name="_Toc17678"/>
      <w:r>
        <w:rPr>
          <w:rFonts w:hint="eastAsia" w:ascii="宋体" w:hAnsi="宋体"/>
          <w:b/>
          <w:bCs/>
          <w:color w:val="000000"/>
          <w:sz w:val="24"/>
        </w:rPr>
        <w:t>三、获取采购文件</w:t>
      </w:r>
      <w:bookmarkEnd w:id="26"/>
      <w:bookmarkEnd w:id="27"/>
      <w:bookmarkEnd w:id="28"/>
    </w:p>
    <w:p>
      <w:pPr>
        <w:pStyle w:val="9"/>
        <w:kinsoku w:val="0"/>
        <w:overflowPunct w:val="0"/>
        <w:autoSpaceDE w:val="0"/>
        <w:autoSpaceDN w:val="0"/>
        <w:adjustRightInd w:val="0"/>
        <w:spacing w:after="0" w:line="480" w:lineRule="exact"/>
        <w:ind w:firstLine="480" w:firstLineChars="200"/>
        <w:rPr>
          <w:sz w:val="24"/>
          <w:highlight w:val="none"/>
        </w:rPr>
      </w:pPr>
      <w:bookmarkStart w:id="29" w:name="_Toc21233"/>
      <w:bookmarkStart w:id="30" w:name="_Toc15674"/>
      <w:r>
        <w:rPr>
          <w:rFonts w:hint="eastAsia"/>
          <w:sz w:val="24"/>
        </w:rPr>
        <w:t>1、时间</w:t>
      </w:r>
      <w:r>
        <w:rPr>
          <w:rFonts w:hint="eastAsia" w:ascii="宋体" w:hAnsi="宋体" w:eastAsia="宋体" w:cs="宋体"/>
          <w:bCs/>
          <w:i w:val="0"/>
          <w:iCs w:val="0"/>
          <w:color w:val="000000"/>
          <w:kern w:val="0"/>
          <w:sz w:val="24"/>
          <w:szCs w:val="24"/>
          <w:highlight w:val="none"/>
          <w:shd w:val="clear" w:fill="FFFFFF"/>
          <w:lang w:val="en-US" w:eastAsia="zh-CN" w:bidi="ar"/>
        </w:rPr>
        <w:t>：2021年8月17日-2021年8月23日每天上午8:30-11:30、下午15:00-18:00</w:t>
      </w:r>
      <w:r>
        <w:rPr>
          <w:rFonts w:hint="eastAsia"/>
          <w:sz w:val="24"/>
          <w:highlight w:val="none"/>
        </w:rPr>
        <w:t>（北京时间，国家法定假日除外）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480" w:firstLineChars="200"/>
        <w:jc w:val="left"/>
        <w:rPr>
          <w:rFonts w:hint="eastAsia" w:ascii="宋体" w:hAnsi="宋体" w:eastAsia="宋体" w:cs="宋体"/>
          <w:bCs/>
          <w:i w:val="0"/>
          <w:iCs w:val="0"/>
          <w:color w:val="000000"/>
          <w:kern w:val="0"/>
          <w:sz w:val="24"/>
          <w:szCs w:val="24"/>
          <w:highlight w:val="none"/>
          <w:shd w:val="clear" w:fill="FFFFFF"/>
          <w:lang w:val="en-US" w:eastAsia="zh-CN" w:bidi="ar"/>
        </w:rPr>
      </w:pPr>
      <w:r>
        <w:rPr>
          <w:rFonts w:hint="eastAsia"/>
          <w:sz w:val="24"/>
          <w:highlight w:val="none"/>
        </w:rPr>
        <w:t>2、</w:t>
      </w:r>
      <w:r>
        <w:rPr>
          <w:rFonts w:hint="eastAsia" w:ascii="宋体" w:hAnsi="宋体" w:eastAsia="宋体" w:cs="宋体"/>
          <w:bCs/>
          <w:i w:val="0"/>
          <w:iCs w:val="0"/>
          <w:color w:val="000000"/>
          <w:kern w:val="0"/>
          <w:sz w:val="24"/>
          <w:szCs w:val="24"/>
          <w:highlight w:val="none"/>
          <w:shd w:val="clear" w:fill="FFFFFF"/>
          <w:lang w:val="en-US" w:eastAsia="zh-CN" w:bidi="ar"/>
        </w:rPr>
        <w:fldChar w:fldCharType="begin"/>
      </w:r>
      <w:r>
        <w:rPr>
          <w:rFonts w:hint="eastAsia" w:ascii="宋体" w:hAnsi="宋体" w:eastAsia="宋体" w:cs="宋体"/>
          <w:bCs/>
          <w:i w:val="0"/>
          <w:iCs w:val="0"/>
          <w:color w:val="000000"/>
          <w:kern w:val="0"/>
          <w:sz w:val="24"/>
          <w:szCs w:val="24"/>
          <w:highlight w:val="none"/>
          <w:shd w:val="clear" w:fill="FFFFFF"/>
          <w:lang w:val="en-US" w:eastAsia="zh-CN" w:bidi="ar"/>
        </w:rPr>
        <w:instrText xml:space="preserve"> HYPERLINK "mailto:采用网络邮箱购买方式，购买询价文件的把所需资料按顺序整理好并以PDF格式（材料加盖公司公章并进行彩色扫描为PDF格式，所有资料须放在一个PDF内）发至3506466122@qq.com邮箱内（请备注公司名称、项目名称、联系人及联系方式）。通过审核的单位，我公司将发送通过回执函。回执函内包括谈判文件的缴费信息，供应商根据回执函缴费内容进行缴费，我公司将根据文件费到账情况发送PDF版竞争性谈判文件；" </w:instrText>
      </w:r>
      <w:r>
        <w:rPr>
          <w:rFonts w:hint="eastAsia" w:ascii="宋体" w:hAnsi="宋体" w:eastAsia="宋体" w:cs="宋体"/>
          <w:bCs/>
          <w:i w:val="0"/>
          <w:iCs w:val="0"/>
          <w:color w:val="000000"/>
          <w:kern w:val="0"/>
          <w:sz w:val="24"/>
          <w:szCs w:val="24"/>
          <w:highlight w:val="none"/>
          <w:shd w:val="clear" w:fill="FFFFFF"/>
          <w:lang w:val="en-US" w:eastAsia="zh-CN" w:bidi="ar"/>
        </w:rPr>
        <w:fldChar w:fldCharType="separate"/>
      </w:r>
      <w:r>
        <w:rPr>
          <w:rFonts w:hint="eastAsia" w:ascii="宋体" w:hAnsi="宋体" w:eastAsia="宋体" w:cs="宋体"/>
          <w:bCs/>
          <w:i w:val="0"/>
          <w:iCs w:val="0"/>
          <w:color w:val="000000"/>
          <w:kern w:val="0"/>
          <w:sz w:val="24"/>
          <w:szCs w:val="24"/>
          <w:highlight w:val="none"/>
          <w:shd w:val="clear" w:fill="FFFFFF"/>
          <w:lang w:val="en-US" w:eastAsia="zh-CN" w:bidi="ar"/>
        </w:rPr>
        <w:t>采用网络邮箱获取方式，拟获取竞争性磋商文件的供应商把所需资料按顺序整理好并以PDF格式（材料加盖公司公章并进行彩色扫描为PDF格式，所有资料须放在一个PDF内）发至3506466122@qq.com邮箱内（请备注公司名称、项目名称、联系人及联系方式）。通过审核的单位，我公司将发送通过回执函。供应商根据回执函要求获取竞争性磋商文件；</w:t>
      </w:r>
      <w:r>
        <w:rPr>
          <w:rFonts w:hint="eastAsia" w:ascii="宋体" w:hAnsi="宋体" w:eastAsia="宋体" w:cs="宋体"/>
          <w:bCs/>
          <w:i w:val="0"/>
          <w:iCs w:val="0"/>
          <w:color w:val="000000"/>
          <w:kern w:val="0"/>
          <w:sz w:val="24"/>
          <w:szCs w:val="24"/>
          <w:highlight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480" w:firstLineChars="200"/>
        <w:jc w:val="left"/>
        <w:rPr>
          <w:i w:val="0"/>
          <w:iCs w:val="0"/>
          <w:highlight w:val="none"/>
        </w:rPr>
      </w:pPr>
      <w:r>
        <w:rPr>
          <w:rFonts w:hint="eastAsia" w:ascii="宋体" w:hAnsi="宋体" w:eastAsia="宋体" w:cs="宋体"/>
          <w:bCs/>
          <w:i w:val="0"/>
          <w:iCs w:val="0"/>
          <w:color w:val="000000"/>
          <w:kern w:val="0"/>
          <w:sz w:val="24"/>
          <w:szCs w:val="24"/>
          <w:highlight w:val="none"/>
          <w:shd w:val="clear" w:fill="FFFFFF"/>
          <w:lang w:val="en-US" w:eastAsia="zh-CN" w:bidi="ar"/>
        </w:rPr>
        <w:t>注：已提交获取</w:t>
      </w:r>
      <w:r>
        <w:rPr>
          <w:rFonts w:hint="eastAsia" w:ascii="宋体" w:hAnsi="宋体" w:cs="宋体"/>
          <w:bCs/>
          <w:i w:val="0"/>
          <w:iCs w:val="0"/>
          <w:color w:val="000000"/>
          <w:kern w:val="0"/>
          <w:sz w:val="24"/>
          <w:szCs w:val="24"/>
          <w:highlight w:val="none"/>
          <w:shd w:val="clear" w:fill="FFFFFF"/>
          <w:lang w:val="en-US" w:eastAsia="zh-CN" w:bidi="ar"/>
        </w:rPr>
        <w:t>磋商</w:t>
      </w:r>
      <w:r>
        <w:rPr>
          <w:rFonts w:hint="eastAsia" w:ascii="宋体" w:hAnsi="宋体" w:eastAsia="宋体" w:cs="宋体"/>
          <w:bCs/>
          <w:i w:val="0"/>
          <w:iCs w:val="0"/>
          <w:color w:val="000000"/>
          <w:kern w:val="0"/>
          <w:sz w:val="24"/>
          <w:szCs w:val="24"/>
          <w:highlight w:val="none"/>
          <w:shd w:val="clear" w:fill="FFFFFF"/>
          <w:lang w:val="en-US" w:eastAsia="zh-CN" w:bidi="ar"/>
        </w:rPr>
        <w:t>文件资料的潜在供应商，在提交资料后请及时跟踪邮箱动态及资料补充，未在有效时间内提交所需完整资料的，不予发送回执函及</w:t>
      </w:r>
      <w:r>
        <w:rPr>
          <w:rFonts w:hint="eastAsia" w:ascii="宋体" w:hAnsi="宋体" w:cs="宋体"/>
          <w:bCs/>
          <w:i w:val="0"/>
          <w:iCs w:val="0"/>
          <w:color w:val="000000"/>
          <w:kern w:val="0"/>
          <w:sz w:val="24"/>
          <w:szCs w:val="24"/>
          <w:highlight w:val="none"/>
          <w:shd w:val="clear" w:fill="FFFFFF"/>
          <w:lang w:val="en-US" w:eastAsia="zh-CN" w:bidi="ar"/>
        </w:rPr>
        <w:t>磋商</w:t>
      </w:r>
      <w:r>
        <w:rPr>
          <w:rFonts w:hint="eastAsia" w:ascii="宋体" w:hAnsi="宋体" w:eastAsia="宋体" w:cs="宋体"/>
          <w:bCs/>
          <w:i w:val="0"/>
          <w:iCs w:val="0"/>
          <w:color w:val="000000"/>
          <w:kern w:val="0"/>
          <w:sz w:val="24"/>
          <w:szCs w:val="24"/>
          <w:highlight w:val="none"/>
          <w:shd w:val="clear" w:fill="FFFFFF"/>
          <w:lang w:val="en-US" w:eastAsia="zh-CN" w:bidi="ar"/>
        </w:rPr>
        <w:t>文件，潜在供应商自行承担其后果。</w:t>
      </w:r>
    </w:p>
    <w:p>
      <w:pPr>
        <w:pStyle w:val="9"/>
        <w:kinsoku w:val="0"/>
        <w:overflowPunct w:val="0"/>
        <w:autoSpaceDE w:val="0"/>
        <w:autoSpaceDN w:val="0"/>
        <w:adjustRightInd w:val="0"/>
        <w:spacing w:after="0" w:line="480" w:lineRule="exact"/>
        <w:ind w:firstLine="420" w:firstLineChars="200"/>
        <w:rPr>
          <w:sz w:val="24"/>
          <w:highlight w:val="none"/>
        </w:rPr>
      </w:pPr>
      <w:r>
        <w:rPr>
          <w:rFonts w:hint="eastAsia"/>
          <w:kern w:val="2"/>
          <w:highlight w:val="none"/>
        </w:rPr>
        <w:t>3、</w:t>
      </w:r>
      <w:r>
        <w:rPr>
          <w:rFonts w:hint="eastAsia"/>
          <w:sz w:val="24"/>
          <w:highlight w:val="none"/>
        </w:rPr>
        <w:t>磋商文件售价：</w:t>
      </w:r>
      <w:r>
        <w:rPr>
          <w:rFonts w:hint="eastAsia" w:ascii="宋体" w:hAnsi="宋体" w:cs="宋体"/>
          <w:sz w:val="24"/>
          <w:highlight w:val="none"/>
          <w:lang w:val="en-US" w:eastAsia="zh-CN"/>
        </w:rPr>
        <w:t>3</w:t>
      </w:r>
      <w:r>
        <w:rPr>
          <w:rFonts w:hint="eastAsia" w:ascii="宋体" w:hAnsi="宋体" w:cs="宋体"/>
          <w:sz w:val="24"/>
          <w:highlight w:val="none"/>
        </w:rPr>
        <w:t>00</w:t>
      </w:r>
      <w:r>
        <w:rPr>
          <w:rFonts w:hint="eastAsia"/>
          <w:sz w:val="24"/>
          <w:highlight w:val="none"/>
        </w:rPr>
        <w:t>元/份（售后不退）。</w:t>
      </w:r>
    </w:p>
    <w:p>
      <w:pPr>
        <w:widowControl/>
        <w:spacing w:line="480" w:lineRule="exact"/>
        <w:jc w:val="left"/>
        <w:outlineLvl w:val="0"/>
        <w:rPr>
          <w:rFonts w:ascii="宋体" w:hAnsi="宋体"/>
          <w:b/>
          <w:bCs/>
          <w:color w:val="000000"/>
          <w:sz w:val="24"/>
          <w:highlight w:val="none"/>
        </w:rPr>
      </w:pPr>
      <w:bookmarkStart w:id="31" w:name="_Toc19021"/>
      <w:r>
        <w:rPr>
          <w:rFonts w:hint="eastAsia" w:ascii="宋体" w:hAnsi="宋体"/>
          <w:b/>
          <w:bCs/>
          <w:color w:val="000000"/>
          <w:sz w:val="24"/>
          <w:highlight w:val="none"/>
        </w:rPr>
        <w:t>四、响应文件</w:t>
      </w:r>
      <w:bookmarkEnd w:id="29"/>
      <w:bookmarkEnd w:id="30"/>
      <w:r>
        <w:rPr>
          <w:rFonts w:hint="eastAsia" w:ascii="宋体" w:hAnsi="宋体"/>
          <w:b/>
          <w:bCs/>
          <w:color w:val="000000"/>
          <w:sz w:val="24"/>
          <w:highlight w:val="none"/>
        </w:rPr>
        <w:t>提交</w:t>
      </w:r>
      <w:bookmarkEnd w:id="31"/>
    </w:p>
    <w:p>
      <w:pPr>
        <w:widowControl/>
        <w:spacing w:line="480" w:lineRule="exact"/>
        <w:ind w:firstLine="420" w:firstLineChars="175"/>
        <w:jc w:val="left"/>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eastAsia="zh-CN"/>
        </w:rPr>
        <w:t>、</w:t>
      </w:r>
      <w:r>
        <w:rPr>
          <w:rFonts w:hint="eastAsia" w:ascii="宋体" w:hAnsi="宋体"/>
          <w:color w:val="000000"/>
          <w:sz w:val="24"/>
          <w:highlight w:val="none"/>
        </w:rPr>
        <w:t>时间：2021年</w:t>
      </w:r>
      <w:r>
        <w:rPr>
          <w:rFonts w:hint="eastAsia" w:ascii="宋体" w:hAnsi="宋体"/>
          <w:color w:val="000000"/>
          <w:sz w:val="24"/>
          <w:highlight w:val="none"/>
          <w:lang w:val="en-US" w:eastAsia="zh-CN"/>
        </w:rPr>
        <w:t>8</w:t>
      </w:r>
      <w:r>
        <w:rPr>
          <w:rFonts w:hint="eastAsia" w:ascii="宋体" w:hAnsi="宋体"/>
          <w:color w:val="000000"/>
          <w:sz w:val="24"/>
          <w:highlight w:val="none"/>
        </w:rPr>
        <w:t>月</w:t>
      </w:r>
      <w:r>
        <w:rPr>
          <w:rFonts w:hint="eastAsia" w:ascii="宋体" w:hAnsi="宋体"/>
          <w:color w:val="000000"/>
          <w:sz w:val="24"/>
          <w:highlight w:val="none"/>
          <w:lang w:val="en-US" w:eastAsia="zh-CN"/>
        </w:rPr>
        <w:t>30</w:t>
      </w:r>
      <w:r>
        <w:rPr>
          <w:rFonts w:hint="eastAsia" w:ascii="宋体" w:hAnsi="宋体"/>
          <w:color w:val="000000"/>
          <w:sz w:val="24"/>
          <w:highlight w:val="none"/>
        </w:rPr>
        <w:t>日</w:t>
      </w:r>
      <w:r>
        <w:rPr>
          <w:rFonts w:hint="eastAsia" w:ascii="宋体" w:hAnsi="宋体"/>
          <w:color w:val="000000"/>
          <w:sz w:val="24"/>
          <w:highlight w:val="none"/>
          <w:lang w:val="en-US" w:eastAsia="zh-CN"/>
        </w:rPr>
        <w:t>15</w:t>
      </w:r>
      <w:r>
        <w:rPr>
          <w:rFonts w:hint="eastAsia" w:ascii="宋体" w:hAnsi="宋体"/>
          <w:color w:val="000000"/>
          <w:sz w:val="24"/>
          <w:highlight w:val="none"/>
        </w:rPr>
        <w:t>时</w:t>
      </w:r>
      <w:r>
        <w:rPr>
          <w:rFonts w:hint="eastAsia" w:ascii="宋体" w:hAnsi="宋体"/>
          <w:color w:val="000000"/>
          <w:sz w:val="24"/>
          <w:highlight w:val="none"/>
          <w:lang w:val="en-US" w:eastAsia="zh-CN"/>
        </w:rPr>
        <w:t>0</w:t>
      </w:r>
      <w:r>
        <w:rPr>
          <w:rFonts w:hint="eastAsia" w:ascii="宋体" w:hAnsi="宋体"/>
          <w:color w:val="000000"/>
          <w:sz w:val="24"/>
          <w:highlight w:val="none"/>
        </w:rPr>
        <w:t>0分（北京时间）</w:t>
      </w:r>
    </w:p>
    <w:p>
      <w:pPr>
        <w:widowControl/>
        <w:spacing w:line="480" w:lineRule="exact"/>
        <w:ind w:firstLine="420" w:firstLineChars="175"/>
        <w:jc w:val="left"/>
        <w:rPr>
          <w:rFonts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eastAsia="zh-CN"/>
        </w:rPr>
        <w:t>、</w:t>
      </w:r>
      <w:r>
        <w:rPr>
          <w:rFonts w:hint="eastAsia" w:ascii="宋体" w:hAnsi="宋体"/>
          <w:color w:val="000000"/>
          <w:sz w:val="24"/>
          <w:highlight w:val="none"/>
        </w:rPr>
        <w:t>地点：河南招标采购服务有限公司南阳分公司（南阳市孔明路与范蠡路交叉口南100米学府公寓2号楼13A层）</w:t>
      </w:r>
    </w:p>
    <w:p>
      <w:pPr>
        <w:widowControl/>
        <w:spacing w:line="480" w:lineRule="exact"/>
        <w:jc w:val="left"/>
        <w:outlineLvl w:val="0"/>
        <w:rPr>
          <w:rFonts w:ascii="宋体" w:hAnsi="宋体"/>
          <w:b/>
          <w:bCs/>
          <w:color w:val="000000"/>
          <w:sz w:val="24"/>
          <w:highlight w:val="none"/>
        </w:rPr>
      </w:pPr>
      <w:bookmarkStart w:id="32" w:name="_Toc6378"/>
      <w:bookmarkStart w:id="33" w:name="_Toc22257"/>
      <w:bookmarkStart w:id="34" w:name="_Toc11091"/>
      <w:r>
        <w:rPr>
          <w:rFonts w:hint="eastAsia" w:ascii="宋体" w:hAnsi="宋体"/>
          <w:b/>
          <w:bCs/>
          <w:color w:val="000000"/>
          <w:sz w:val="24"/>
          <w:highlight w:val="none"/>
        </w:rPr>
        <w:t>五、响应文件开启</w:t>
      </w:r>
      <w:bookmarkEnd w:id="32"/>
      <w:bookmarkEnd w:id="33"/>
      <w:bookmarkEnd w:id="34"/>
    </w:p>
    <w:p>
      <w:pPr>
        <w:widowControl/>
        <w:spacing w:line="480" w:lineRule="exact"/>
        <w:ind w:firstLine="420" w:firstLineChars="175"/>
        <w:jc w:val="left"/>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eastAsia="zh-CN"/>
        </w:rPr>
        <w:t>、</w:t>
      </w:r>
      <w:r>
        <w:rPr>
          <w:rFonts w:hint="eastAsia" w:ascii="宋体" w:hAnsi="宋体"/>
          <w:color w:val="000000"/>
          <w:sz w:val="24"/>
          <w:highlight w:val="none"/>
        </w:rPr>
        <w:t>时间：2021年</w:t>
      </w:r>
      <w:r>
        <w:rPr>
          <w:rFonts w:hint="eastAsia" w:ascii="宋体" w:hAnsi="宋体"/>
          <w:color w:val="000000"/>
          <w:sz w:val="24"/>
          <w:highlight w:val="none"/>
          <w:lang w:val="en-US" w:eastAsia="zh-CN"/>
        </w:rPr>
        <w:t>8</w:t>
      </w:r>
      <w:r>
        <w:rPr>
          <w:rFonts w:hint="eastAsia" w:ascii="宋体" w:hAnsi="宋体"/>
          <w:color w:val="000000"/>
          <w:sz w:val="24"/>
          <w:highlight w:val="none"/>
        </w:rPr>
        <w:t>月</w:t>
      </w:r>
      <w:r>
        <w:rPr>
          <w:rFonts w:hint="eastAsia" w:ascii="宋体" w:hAnsi="宋体"/>
          <w:color w:val="000000"/>
          <w:sz w:val="24"/>
          <w:highlight w:val="none"/>
          <w:lang w:val="en-US" w:eastAsia="zh-CN"/>
        </w:rPr>
        <w:t>30</w:t>
      </w:r>
      <w:r>
        <w:rPr>
          <w:rFonts w:hint="eastAsia" w:ascii="宋体" w:hAnsi="宋体"/>
          <w:color w:val="000000"/>
          <w:sz w:val="24"/>
          <w:highlight w:val="none"/>
        </w:rPr>
        <w:t>日</w:t>
      </w:r>
      <w:r>
        <w:rPr>
          <w:rFonts w:hint="eastAsia" w:ascii="宋体" w:hAnsi="宋体"/>
          <w:color w:val="000000"/>
          <w:sz w:val="24"/>
          <w:highlight w:val="none"/>
          <w:lang w:val="en-US" w:eastAsia="zh-CN"/>
        </w:rPr>
        <w:t>15</w:t>
      </w:r>
      <w:r>
        <w:rPr>
          <w:rFonts w:hint="eastAsia" w:ascii="宋体" w:hAnsi="宋体"/>
          <w:color w:val="000000"/>
          <w:sz w:val="24"/>
          <w:highlight w:val="none"/>
        </w:rPr>
        <w:t>时</w:t>
      </w:r>
      <w:r>
        <w:rPr>
          <w:rFonts w:hint="eastAsia" w:ascii="宋体" w:hAnsi="宋体"/>
          <w:color w:val="000000"/>
          <w:sz w:val="24"/>
          <w:highlight w:val="none"/>
          <w:lang w:val="en-US" w:eastAsia="zh-CN"/>
        </w:rPr>
        <w:t>0</w:t>
      </w:r>
      <w:r>
        <w:rPr>
          <w:rFonts w:hint="eastAsia" w:ascii="宋体" w:hAnsi="宋体"/>
          <w:color w:val="000000"/>
          <w:sz w:val="24"/>
          <w:highlight w:val="none"/>
        </w:rPr>
        <w:t>0分（北京时间）</w:t>
      </w:r>
    </w:p>
    <w:p>
      <w:pPr>
        <w:widowControl/>
        <w:spacing w:line="480" w:lineRule="exact"/>
        <w:ind w:firstLine="420" w:firstLineChars="175"/>
        <w:jc w:val="left"/>
        <w:rPr>
          <w:rFonts w:ascii="宋体" w:hAnsi="宋体"/>
          <w:color w:val="000000"/>
          <w:sz w:val="24"/>
        </w:rPr>
      </w:pPr>
      <w:r>
        <w:rPr>
          <w:rFonts w:hint="eastAsia" w:ascii="宋体" w:hAnsi="宋体"/>
          <w:color w:val="000000"/>
          <w:sz w:val="24"/>
          <w:highlight w:val="none"/>
        </w:rPr>
        <w:t>2</w:t>
      </w:r>
      <w:r>
        <w:rPr>
          <w:rFonts w:hint="eastAsia" w:ascii="宋体" w:hAnsi="宋体"/>
          <w:color w:val="000000"/>
          <w:sz w:val="24"/>
          <w:highlight w:val="none"/>
          <w:lang w:eastAsia="zh-CN"/>
        </w:rPr>
        <w:t>、</w:t>
      </w:r>
      <w:r>
        <w:rPr>
          <w:rFonts w:hint="eastAsia" w:ascii="宋体" w:hAnsi="宋体"/>
          <w:color w:val="000000"/>
          <w:sz w:val="24"/>
          <w:highlight w:val="none"/>
        </w:rPr>
        <w:t>地点：河南招标采购服务有限公</w:t>
      </w:r>
      <w:r>
        <w:rPr>
          <w:rFonts w:hint="eastAsia" w:ascii="宋体" w:hAnsi="宋体"/>
          <w:color w:val="000000"/>
          <w:sz w:val="24"/>
        </w:rPr>
        <w:t>司南阳分公司（南阳市孔明路与范蠡路交叉口南100米学府公寓2号楼13A层）</w:t>
      </w:r>
    </w:p>
    <w:p>
      <w:pPr>
        <w:widowControl/>
        <w:spacing w:line="480" w:lineRule="exact"/>
        <w:jc w:val="left"/>
        <w:outlineLvl w:val="0"/>
        <w:rPr>
          <w:rFonts w:ascii="宋体" w:hAnsi="宋体"/>
          <w:b/>
          <w:bCs/>
          <w:color w:val="000000"/>
          <w:sz w:val="24"/>
        </w:rPr>
      </w:pPr>
      <w:bookmarkStart w:id="35" w:name="_Toc4021"/>
      <w:bookmarkStart w:id="36" w:name="_Toc13154"/>
      <w:bookmarkStart w:id="37" w:name="_Toc6728"/>
      <w:r>
        <w:rPr>
          <w:rFonts w:hint="eastAsia" w:ascii="宋体" w:hAnsi="宋体"/>
          <w:b/>
          <w:bCs/>
          <w:color w:val="000000"/>
          <w:sz w:val="24"/>
        </w:rPr>
        <w:t>六、发布公告的媒介及公告期限</w:t>
      </w:r>
      <w:bookmarkEnd w:id="35"/>
      <w:bookmarkEnd w:id="36"/>
      <w:bookmarkEnd w:id="37"/>
    </w:p>
    <w:p>
      <w:pPr>
        <w:widowControl/>
        <w:spacing w:line="480" w:lineRule="exact"/>
        <w:ind w:firstLine="420" w:firstLineChars="175"/>
        <w:jc w:val="left"/>
        <w:rPr>
          <w:rFonts w:ascii="宋体" w:hAnsi="宋体"/>
          <w:color w:val="000000"/>
          <w:sz w:val="24"/>
          <w:highlight w:val="none"/>
        </w:rPr>
      </w:pPr>
      <w:r>
        <w:rPr>
          <w:rFonts w:hint="eastAsia" w:ascii="宋体" w:hAnsi="宋体"/>
          <w:color w:val="000000"/>
          <w:sz w:val="24"/>
        </w:rPr>
        <w:t>本次磋商公告在</w:t>
      </w:r>
      <w:r>
        <w:rPr>
          <w:rFonts w:hint="eastAsia"/>
          <w:sz w:val="24"/>
        </w:rPr>
        <w:t>《中国政府采购网》、《河南省政府采购网》、《河南省电子招标投标公共服务平台》、《南阳市政府采购网》</w:t>
      </w:r>
      <w:r>
        <w:rPr>
          <w:rFonts w:hint="eastAsia" w:ascii="宋体" w:hAnsi="宋体"/>
          <w:color w:val="000000"/>
          <w:sz w:val="24"/>
        </w:rPr>
        <w:t>上发布。磋商公告期限为五个工作日2021</w:t>
      </w:r>
      <w:r>
        <w:rPr>
          <w:rFonts w:hint="eastAsia" w:ascii="宋体" w:hAnsi="宋体"/>
          <w:color w:val="000000"/>
          <w:sz w:val="24"/>
          <w:highlight w:val="none"/>
        </w:rPr>
        <w:t>年8月</w:t>
      </w:r>
      <w:r>
        <w:rPr>
          <w:rFonts w:hint="eastAsia" w:ascii="宋体" w:hAnsi="宋体"/>
          <w:color w:val="000000"/>
          <w:sz w:val="24"/>
          <w:highlight w:val="none"/>
          <w:lang w:val="en-US" w:eastAsia="zh-CN"/>
        </w:rPr>
        <w:t>17</w:t>
      </w:r>
      <w:r>
        <w:rPr>
          <w:rFonts w:hint="eastAsia" w:ascii="宋体" w:hAnsi="宋体"/>
          <w:color w:val="000000"/>
          <w:sz w:val="24"/>
          <w:highlight w:val="none"/>
        </w:rPr>
        <w:t>日-2021年8月</w:t>
      </w:r>
      <w:r>
        <w:rPr>
          <w:rFonts w:hint="eastAsia" w:ascii="宋体" w:hAnsi="宋体"/>
          <w:color w:val="000000"/>
          <w:sz w:val="24"/>
          <w:highlight w:val="none"/>
          <w:lang w:val="en-US" w:eastAsia="zh-CN"/>
        </w:rPr>
        <w:t>23</w:t>
      </w:r>
      <w:r>
        <w:rPr>
          <w:rFonts w:hint="eastAsia" w:ascii="宋体" w:hAnsi="宋体"/>
          <w:color w:val="000000"/>
          <w:sz w:val="24"/>
          <w:highlight w:val="none"/>
        </w:rPr>
        <w:t>日。</w:t>
      </w:r>
    </w:p>
    <w:p>
      <w:pPr>
        <w:widowControl/>
        <w:spacing w:line="480" w:lineRule="exact"/>
        <w:jc w:val="left"/>
        <w:outlineLvl w:val="0"/>
        <w:rPr>
          <w:rFonts w:ascii="宋体" w:hAnsi="宋体"/>
          <w:b/>
          <w:bCs/>
          <w:color w:val="000000"/>
          <w:sz w:val="24"/>
        </w:rPr>
      </w:pPr>
      <w:bookmarkStart w:id="38" w:name="_Toc30660"/>
      <w:bookmarkStart w:id="39" w:name="_Toc12576"/>
      <w:bookmarkStart w:id="40" w:name="_Toc6463"/>
      <w:r>
        <w:rPr>
          <w:rFonts w:hint="eastAsia" w:ascii="宋体" w:hAnsi="宋体"/>
          <w:b/>
          <w:bCs/>
          <w:color w:val="000000"/>
          <w:sz w:val="24"/>
        </w:rPr>
        <w:t>七、其他补充事宜</w:t>
      </w:r>
      <w:bookmarkEnd w:id="38"/>
      <w:bookmarkEnd w:id="39"/>
      <w:bookmarkEnd w:id="40"/>
    </w:p>
    <w:p>
      <w:pPr>
        <w:widowControl/>
        <w:spacing w:line="450" w:lineRule="exact"/>
        <w:ind w:firstLine="420" w:firstLineChars="175"/>
        <w:jc w:val="left"/>
        <w:outlineLvl w:val="0"/>
        <w:rPr>
          <w:rFonts w:ascii="宋体" w:hAnsi="宋体"/>
          <w:color w:val="000000"/>
          <w:sz w:val="24"/>
        </w:rPr>
      </w:pPr>
      <w:bookmarkStart w:id="41" w:name="_Toc9324"/>
      <w:bookmarkStart w:id="42" w:name="_Toc4630"/>
      <w:r>
        <w:rPr>
          <w:rFonts w:hint="eastAsia" w:ascii="宋体" w:hAnsi="宋体" w:cs="宋体"/>
          <w:color w:val="000000"/>
          <w:kern w:val="0"/>
          <w:sz w:val="24"/>
          <w:shd w:val="clear" w:color="auto" w:fill="FFFFFF"/>
        </w:rPr>
        <w:t>本项目执行促进中小型企业发展政策（监狱企业、残疾人福利性企业视同小微企业）等政府采购政策。</w:t>
      </w:r>
    </w:p>
    <w:p>
      <w:pPr>
        <w:widowControl/>
        <w:spacing w:line="480" w:lineRule="exact"/>
        <w:jc w:val="left"/>
        <w:outlineLvl w:val="0"/>
        <w:rPr>
          <w:rFonts w:ascii="宋体" w:hAnsi="宋体"/>
          <w:b/>
          <w:bCs/>
          <w:color w:val="000000"/>
          <w:sz w:val="24"/>
        </w:rPr>
      </w:pPr>
      <w:bookmarkStart w:id="43" w:name="_Toc19128"/>
      <w:r>
        <w:rPr>
          <w:rFonts w:hint="eastAsia" w:ascii="宋体" w:hAnsi="宋体"/>
          <w:b/>
          <w:bCs/>
          <w:color w:val="000000"/>
          <w:sz w:val="24"/>
        </w:rPr>
        <w:t>八、凡对本次招标提出询问，请按照以下方式联系</w:t>
      </w:r>
      <w:bookmarkEnd w:id="41"/>
      <w:bookmarkEnd w:id="42"/>
      <w:bookmarkEnd w:id="43"/>
    </w:p>
    <w:p>
      <w:pPr>
        <w:widowControl/>
        <w:adjustRightInd w:val="0"/>
        <w:snapToGrid w:val="0"/>
        <w:spacing w:line="480" w:lineRule="exact"/>
        <w:jc w:val="left"/>
        <w:outlineLvl w:val="1"/>
        <w:rPr>
          <w:rFonts w:ascii="宋体" w:hAnsi="宋体"/>
          <w:color w:val="000000"/>
          <w:sz w:val="24"/>
        </w:rPr>
      </w:pPr>
      <w:bookmarkStart w:id="44" w:name="_Toc2099"/>
      <w:bookmarkStart w:id="45" w:name="_Toc5199"/>
      <w:bookmarkStart w:id="46" w:name="_Toc20861"/>
      <w:r>
        <w:rPr>
          <w:rFonts w:hint="eastAsia" w:ascii="宋体" w:hAnsi="宋体"/>
          <w:color w:val="000000"/>
          <w:sz w:val="24"/>
        </w:rPr>
        <w:t>1. 采购人信息</w:t>
      </w:r>
      <w:bookmarkEnd w:id="44"/>
      <w:bookmarkEnd w:id="45"/>
      <w:bookmarkEnd w:id="46"/>
    </w:p>
    <w:p>
      <w:pPr>
        <w:tabs>
          <w:tab w:val="left" w:pos="900"/>
        </w:tabs>
        <w:snapToGrid w:val="0"/>
        <w:spacing w:line="480" w:lineRule="exact"/>
        <w:ind w:firstLine="360" w:firstLineChars="150"/>
        <w:rPr>
          <w:rFonts w:ascii="宋体" w:hAnsi="宋体"/>
          <w:color w:val="000000"/>
          <w:sz w:val="24"/>
        </w:rPr>
      </w:pPr>
      <w:bookmarkStart w:id="47" w:name="_Toc4064"/>
      <w:bookmarkStart w:id="48" w:name="_Toc7574"/>
      <w:bookmarkStart w:id="49" w:name="_Toc27616"/>
      <w:r>
        <w:rPr>
          <w:rFonts w:hint="eastAsia" w:ascii="宋体" w:hAnsi="宋体"/>
          <w:color w:val="000000"/>
          <w:sz w:val="24"/>
        </w:rPr>
        <w:t>名    称：河南省南阳市中级人民法院</w:t>
      </w:r>
    </w:p>
    <w:p>
      <w:pPr>
        <w:tabs>
          <w:tab w:val="left" w:pos="900"/>
        </w:tabs>
        <w:snapToGrid w:val="0"/>
        <w:spacing w:line="480" w:lineRule="exact"/>
        <w:ind w:firstLine="360" w:firstLineChars="150"/>
        <w:rPr>
          <w:rFonts w:ascii="宋体" w:hAnsi="宋体"/>
          <w:color w:val="000000"/>
          <w:sz w:val="24"/>
        </w:rPr>
      </w:pPr>
      <w:r>
        <w:rPr>
          <w:rFonts w:hint="eastAsia" w:ascii="宋体" w:hAnsi="宋体"/>
          <w:color w:val="000000"/>
          <w:sz w:val="24"/>
        </w:rPr>
        <w:t>地    址：南阳市新华东路1468号</w:t>
      </w:r>
    </w:p>
    <w:p>
      <w:pPr>
        <w:tabs>
          <w:tab w:val="left" w:pos="900"/>
        </w:tabs>
        <w:snapToGrid w:val="0"/>
        <w:spacing w:line="480" w:lineRule="exact"/>
        <w:ind w:firstLine="360" w:firstLineChars="150"/>
        <w:rPr>
          <w:rFonts w:ascii="宋体" w:hAnsi="宋体"/>
          <w:color w:val="000000"/>
          <w:sz w:val="24"/>
        </w:rPr>
      </w:pPr>
      <w:r>
        <w:rPr>
          <w:rFonts w:hint="eastAsia" w:ascii="宋体" w:hAnsi="宋体"/>
          <w:color w:val="000000"/>
          <w:sz w:val="24"/>
        </w:rPr>
        <w:t>联 系 人：马先生</w:t>
      </w:r>
    </w:p>
    <w:p>
      <w:pPr>
        <w:tabs>
          <w:tab w:val="left" w:pos="900"/>
        </w:tabs>
        <w:snapToGrid w:val="0"/>
        <w:spacing w:line="480" w:lineRule="exact"/>
        <w:ind w:firstLine="360" w:firstLineChars="150"/>
        <w:rPr>
          <w:rFonts w:ascii="宋体" w:hAnsi="宋体"/>
          <w:color w:val="000000"/>
          <w:sz w:val="24"/>
        </w:rPr>
      </w:pPr>
      <w:r>
        <w:rPr>
          <w:rFonts w:hint="eastAsia" w:ascii="宋体" w:hAnsi="宋体"/>
          <w:color w:val="000000"/>
          <w:sz w:val="24"/>
        </w:rPr>
        <w:t>联系方式：0377-63079933</w:t>
      </w:r>
    </w:p>
    <w:p>
      <w:pPr>
        <w:tabs>
          <w:tab w:val="left" w:pos="900"/>
        </w:tabs>
        <w:snapToGrid w:val="0"/>
        <w:spacing w:line="480" w:lineRule="exact"/>
        <w:ind w:firstLine="120" w:firstLineChars="50"/>
        <w:outlineLvl w:val="1"/>
        <w:rPr>
          <w:rFonts w:ascii="宋体" w:hAnsi="宋体"/>
          <w:color w:val="000000"/>
          <w:sz w:val="24"/>
        </w:rPr>
      </w:pPr>
      <w:r>
        <w:rPr>
          <w:rFonts w:hint="eastAsia" w:ascii="宋体" w:hAnsi="宋体"/>
          <w:color w:val="000000"/>
          <w:sz w:val="24"/>
        </w:rPr>
        <w:t>2.代理机构信息</w:t>
      </w:r>
      <w:bookmarkEnd w:id="47"/>
      <w:bookmarkEnd w:id="48"/>
      <w:bookmarkEnd w:id="49"/>
    </w:p>
    <w:p>
      <w:pPr>
        <w:tabs>
          <w:tab w:val="left" w:pos="900"/>
        </w:tabs>
        <w:snapToGrid w:val="0"/>
        <w:spacing w:line="480" w:lineRule="exact"/>
        <w:ind w:firstLine="360" w:firstLineChars="150"/>
        <w:rPr>
          <w:rFonts w:ascii="宋体" w:hAnsi="宋体"/>
          <w:color w:val="000000"/>
          <w:sz w:val="24"/>
        </w:rPr>
      </w:pPr>
      <w:r>
        <w:rPr>
          <w:rFonts w:hint="eastAsia" w:ascii="宋体" w:hAnsi="宋体"/>
          <w:color w:val="000000"/>
          <w:sz w:val="24"/>
        </w:rPr>
        <w:t>名称：河南招标采购服务有限公司</w:t>
      </w:r>
    </w:p>
    <w:p>
      <w:pPr>
        <w:tabs>
          <w:tab w:val="left" w:pos="900"/>
        </w:tabs>
        <w:snapToGrid w:val="0"/>
        <w:spacing w:line="480" w:lineRule="exact"/>
        <w:ind w:firstLine="360" w:firstLineChars="150"/>
        <w:rPr>
          <w:rFonts w:ascii="宋体" w:hAnsi="宋体"/>
          <w:color w:val="000000"/>
          <w:sz w:val="24"/>
        </w:rPr>
      </w:pPr>
      <w:r>
        <w:rPr>
          <w:rFonts w:hint="eastAsia" w:ascii="宋体" w:hAnsi="宋体"/>
          <w:color w:val="000000"/>
          <w:sz w:val="24"/>
        </w:rPr>
        <w:t>地址：郑州市纬四路13号</w:t>
      </w:r>
    </w:p>
    <w:p>
      <w:pPr>
        <w:tabs>
          <w:tab w:val="left" w:pos="900"/>
        </w:tabs>
        <w:snapToGrid w:val="0"/>
        <w:spacing w:line="480" w:lineRule="exact"/>
        <w:ind w:firstLine="360" w:firstLineChars="150"/>
        <w:rPr>
          <w:rFonts w:ascii="宋体" w:hAnsi="宋体"/>
          <w:color w:val="000000"/>
          <w:sz w:val="24"/>
        </w:rPr>
      </w:pPr>
      <w:r>
        <w:rPr>
          <w:rFonts w:hint="eastAsia" w:ascii="宋体" w:hAnsi="宋体"/>
          <w:color w:val="000000"/>
          <w:sz w:val="24"/>
        </w:rPr>
        <w:t>联系人：张女士</w:t>
      </w:r>
    </w:p>
    <w:p>
      <w:pPr>
        <w:tabs>
          <w:tab w:val="left" w:pos="900"/>
        </w:tabs>
        <w:snapToGrid w:val="0"/>
        <w:spacing w:line="480" w:lineRule="exact"/>
        <w:ind w:firstLine="360" w:firstLineChars="150"/>
        <w:rPr>
          <w:rFonts w:ascii="宋体" w:hAnsi="宋体"/>
          <w:color w:val="000000"/>
          <w:sz w:val="24"/>
        </w:rPr>
      </w:pPr>
      <w:r>
        <w:rPr>
          <w:rFonts w:hint="eastAsia" w:ascii="宋体" w:hAnsi="宋体"/>
          <w:color w:val="000000"/>
          <w:sz w:val="24"/>
        </w:rPr>
        <w:t xml:space="preserve">联系方式：0377-63533599  18537736625  </w:t>
      </w:r>
    </w:p>
    <w:p/>
    <w:p>
      <w:pPr>
        <w:pStyle w:val="2"/>
      </w:pPr>
    </w:p>
    <w:p>
      <w:r>
        <w:rPr>
          <w:rFonts w:hint="eastAsia"/>
        </w:rPr>
        <w:br w:type="page"/>
      </w:r>
    </w:p>
    <w:p>
      <w:pPr>
        <w:pStyle w:val="4"/>
        <w:keepNext w:val="0"/>
        <w:keepLines w:val="0"/>
        <w:adjustRightInd w:val="0"/>
        <w:spacing w:before="0" w:after="0" w:line="360" w:lineRule="auto"/>
        <w:textAlignment w:val="baseline"/>
        <w:rPr>
          <w:rFonts w:ascii="宋体" w:hAnsi="宋体" w:eastAsia="宋体"/>
          <w:sz w:val="24"/>
          <w:szCs w:val="24"/>
        </w:rPr>
      </w:pPr>
      <w:bookmarkStart w:id="50" w:name="_Toc23725"/>
      <w:r>
        <w:rPr>
          <w:rFonts w:hint="eastAsia" w:ascii="宋体" w:hAnsi="宋体" w:eastAsia="宋体"/>
          <w:sz w:val="24"/>
          <w:szCs w:val="24"/>
        </w:rPr>
        <w:t>第二部分 竞争性磋商须知</w:t>
      </w:r>
      <w:bookmarkEnd w:id="8"/>
      <w:bookmarkEnd w:id="9"/>
      <w:bookmarkEnd w:id="13"/>
      <w:bookmarkEnd w:id="14"/>
      <w:bookmarkEnd w:id="15"/>
      <w:bookmarkEnd w:id="50"/>
    </w:p>
    <w:p>
      <w:pPr>
        <w:pStyle w:val="4"/>
        <w:keepNext w:val="0"/>
        <w:keepLines w:val="0"/>
        <w:adjustRightInd w:val="0"/>
        <w:spacing w:before="0" w:after="0" w:line="360" w:lineRule="auto"/>
        <w:textAlignment w:val="baseline"/>
        <w:rPr>
          <w:rFonts w:ascii="宋体" w:hAnsi="宋体" w:eastAsia="宋体"/>
          <w:sz w:val="24"/>
          <w:szCs w:val="24"/>
        </w:rPr>
      </w:pPr>
      <w:bookmarkStart w:id="51" w:name="_Hlt109551148"/>
      <w:bookmarkEnd w:id="51"/>
      <w:bookmarkStart w:id="52" w:name="_Hlt109551004"/>
      <w:bookmarkEnd w:id="52"/>
      <w:bookmarkStart w:id="53" w:name="_Hlt109555469"/>
      <w:bookmarkEnd w:id="53"/>
      <w:bookmarkStart w:id="54" w:name="_Toc516501150"/>
      <w:bookmarkStart w:id="55" w:name="_Toc44924372"/>
      <w:bookmarkStart w:id="56" w:name="_Toc482378951"/>
      <w:bookmarkStart w:id="57" w:name="_Toc109550772"/>
      <w:bookmarkStart w:id="58" w:name="_Toc16089885"/>
      <w:bookmarkStart w:id="59" w:name="_Toc90712512"/>
      <w:bookmarkStart w:id="60" w:name="_Toc16089943"/>
      <w:bookmarkStart w:id="61" w:name="_Toc90713331"/>
      <w:bookmarkStart w:id="62" w:name="_Toc15912325"/>
      <w:bookmarkStart w:id="63" w:name="_Toc13727"/>
      <w:bookmarkStart w:id="64" w:name="_Toc2275"/>
      <w:bookmarkStart w:id="65" w:name="_Toc9783"/>
      <w:bookmarkStart w:id="66" w:name="_Toc482378997"/>
      <w:bookmarkStart w:id="67" w:name="_Toc482379043"/>
      <w:r>
        <w:rPr>
          <w:rFonts w:hint="eastAsia" w:ascii="宋体" w:hAnsi="宋体" w:eastAsia="宋体"/>
          <w:sz w:val="24"/>
          <w:szCs w:val="24"/>
        </w:rPr>
        <w:t>一 总则</w:t>
      </w:r>
      <w:bookmarkEnd w:id="54"/>
      <w:bookmarkEnd w:id="55"/>
      <w:bookmarkEnd w:id="56"/>
      <w:bookmarkEnd w:id="57"/>
      <w:bookmarkEnd w:id="58"/>
      <w:bookmarkEnd w:id="59"/>
      <w:bookmarkEnd w:id="60"/>
      <w:bookmarkEnd w:id="61"/>
      <w:bookmarkEnd w:id="62"/>
      <w:bookmarkEnd w:id="63"/>
      <w:bookmarkEnd w:id="64"/>
      <w:bookmarkEnd w:id="65"/>
      <w:bookmarkEnd w:id="66"/>
      <w:bookmarkEnd w:id="67"/>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68" w:name="_Toc16089944"/>
      <w:bookmarkStart w:id="69" w:name="_Toc516501151"/>
      <w:bookmarkStart w:id="70" w:name="_Toc90713332"/>
      <w:bookmarkStart w:id="71" w:name="_Toc22687"/>
      <w:bookmarkStart w:id="72" w:name="_Toc109537497"/>
      <w:bookmarkStart w:id="73" w:name="_Toc482378952"/>
      <w:bookmarkStart w:id="74" w:name="_Toc16089886"/>
      <w:bookmarkStart w:id="75" w:name="_Toc482379044"/>
      <w:bookmarkStart w:id="76" w:name="_Toc8331"/>
      <w:bookmarkStart w:id="77" w:name="_Toc15912326"/>
      <w:bookmarkStart w:id="78" w:name="_Toc109550773"/>
      <w:bookmarkStart w:id="79" w:name="_Toc26488"/>
      <w:bookmarkStart w:id="80" w:name="_Toc482378998"/>
      <w:bookmarkStart w:id="81" w:name="_Toc90712513"/>
      <w:bookmarkStart w:id="82" w:name="_Toc44924373"/>
      <w:r>
        <w:rPr>
          <w:rFonts w:hint="eastAsia" w:ascii="宋体" w:hAnsi="宋体" w:eastAsia="宋体"/>
          <w:sz w:val="24"/>
          <w:szCs w:val="24"/>
        </w:rPr>
        <w:t>1.资金来源</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adjustRightInd w:val="0"/>
        <w:snapToGrid w:val="0"/>
        <w:spacing w:line="360" w:lineRule="auto"/>
        <w:rPr>
          <w:rFonts w:ascii="宋体" w:hAnsi="宋体"/>
          <w:sz w:val="24"/>
        </w:rPr>
      </w:pPr>
      <w:r>
        <w:rPr>
          <w:rFonts w:hint="eastAsia" w:ascii="宋体" w:hAnsi="宋体"/>
          <w:sz w:val="24"/>
        </w:rPr>
        <w:t>1.1采购人已筹集资金，用于支付“磋商项目资料表”中采购人采购的费用。</w:t>
      </w:r>
      <w:bookmarkStart w:id="83" w:name="_Toc90712514"/>
      <w:bookmarkStart w:id="84" w:name="_Toc90713333"/>
      <w:bookmarkStart w:id="85" w:name="_Toc109537498"/>
      <w:bookmarkStart w:id="86" w:name="_Toc109550774"/>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87" w:name="_Toc16089887"/>
      <w:bookmarkStart w:id="88" w:name="_Toc16089945"/>
      <w:bookmarkStart w:id="89" w:name="_Toc516501152"/>
      <w:bookmarkStart w:id="90" w:name="_Toc482378953"/>
      <w:bookmarkStart w:id="91" w:name="_Toc13578"/>
      <w:bookmarkStart w:id="92" w:name="_Toc31287"/>
      <w:bookmarkStart w:id="93" w:name="_Toc15912327"/>
      <w:bookmarkStart w:id="94" w:name="_Toc482378999"/>
      <w:bookmarkStart w:id="95" w:name="_Toc482379045"/>
      <w:bookmarkStart w:id="96" w:name="_Toc44924374"/>
      <w:bookmarkStart w:id="97" w:name="_Toc10997"/>
      <w:r>
        <w:rPr>
          <w:rFonts w:hint="eastAsia" w:ascii="宋体" w:hAnsi="宋体" w:eastAsia="宋体"/>
          <w:sz w:val="24"/>
          <w:szCs w:val="24"/>
        </w:rPr>
        <w:t>2.采购方式及磋商供应商要求</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line="360" w:lineRule="auto"/>
        <w:rPr>
          <w:rFonts w:ascii="宋体" w:hAnsi="宋体"/>
          <w:sz w:val="24"/>
        </w:rPr>
      </w:pPr>
      <w:r>
        <w:rPr>
          <w:rFonts w:hint="eastAsia" w:ascii="宋体" w:hAnsi="宋体"/>
          <w:sz w:val="24"/>
        </w:rPr>
        <w:t>2.1本次采购采取竞争性磋商的方式确定成交人。</w:t>
      </w:r>
    </w:p>
    <w:p>
      <w:pPr>
        <w:adjustRightInd w:val="0"/>
        <w:snapToGrid w:val="0"/>
        <w:spacing w:line="360" w:lineRule="auto"/>
        <w:jc w:val="left"/>
        <w:rPr>
          <w:rFonts w:ascii="宋体" w:hAnsi="宋体"/>
          <w:sz w:val="24"/>
        </w:rPr>
      </w:pPr>
      <w:r>
        <w:rPr>
          <w:rFonts w:hint="eastAsia" w:ascii="宋体" w:hAnsi="宋体"/>
          <w:sz w:val="24"/>
        </w:rPr>
        <w:t>2.2磋商供应商要求：符合“磋商项目资料表”中要求的磋商供应商。</w:t>
      </w:r>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98" w:name="_Toc15912328"/>
      <w:bookmarkStart w:id="99" w:name="_Toc20923"/>
      <w:bookmarkStart w:id="100" w:name="_Toc90712515"/>
      <w:bookmarkStart w:id="101" w:name="_Toc16089888"/>
      <w:bookmarkStart w:id="102" w:name="_Toc482378954"/>
      <w:bookmarkStart w:id="103" w:name="_Toc482379046"/>
      <w:bookmarkStart w:id="104" w:name="_Toc109550775"/>
      <w:bookmarkStart w:id="105" w:name="_Toc44924375"/>
      <w:bookmarkStart w:id="106" w:name="_Toc482379000"/>
      <w:bookmarkStart w:id="107" w:name="_Toc516501153"/>
      <w:bookmarkStart w:id="108" w:name="_Toc16089946"/>
      <w:bookmarkStart w:id="109" w:name="_Toc19799"/>
      <w:bookmarkStart w:id="110" w:name="_Toc109537499"/>
      <w:bookmarkStart w:id="111" w:name="_Toc90713334"/>
      <w:bookmarkStart w:id="112" w:name="_Toc6018"/>
      <w:r>
        <w:rPr>
          <w:rFonts w:hint="eastAsia" w:ascii="宋体" w:hAnsi="宋体" w:eastAsia="宋体"/>
          <w:sz w:val="24"/>
          <w:szCs w:val="24"/>
        </w:rPr>
        <w:t>3.磋商费用</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adjustRightInd w:val="0"/>
        <w:snapToGrid w:val="0"/>
        <w:spacing w:line="360" w:lineRule="auto"/>
        <w:rPr>
          <w:rFonts w:ascii="宋体" w:hAnsi="宋体"/>
          <w:sz w:val="24"/>
        </w:rPr>
      </w:pPr>
      <w:r>
        <w:rPr>
          <w:rFonts w:hint="eastAsia" w:ascii="宋体" w:hAnsi="宋体"/>
          <w:sz w:val="24"/>
        </w:rPr>
        <w:t>3.1供应商必须自行承担所有与参加磋商有关的费用。不论磋商的结果如何，采购人在任何情况下均无义务和责任承担这些费用。</w:t>
      </w:r>
    </w:p>
    <w:p>
      <w:pPr>
        <w:pStyle w:val="4"/>
        <w:keepNext w:val="0"/>
        <w:keepLines w:val="0"/>
        <w:adjustRightInd w:val="0"/>
        <w:snapToGrid w:val="0"/>
        <w:spacing w:before="0" w:after="0" w:line="360" w:lineRule="auto"/>
        <w:textAlignment w:val="baseline"/>
        <w:rPr>
          <w:rFonts w:ascii="宋体" w:hAnsi="宋体" w:eastAsia="宋体"/>
          <w:sz w:val="24"/>
          <w:szCs w:val="24"/>
        </w:rPr>
      </w:pPr>
      <w:bookmarkStart w:id="113" w:name="_Toc109537500"/>
      <w:bookmarkStart w:id="114" w:name="_Toc90713335"/>
      <w:bookmarkStart w:id="115" w:name="_Toc90712516"/>
      <w:bookmarkStart w:id="116" w:name="_Toc109550776"/>
      <w:bookmarkStart w:id="117" w:name="_Toc2616"/>
      <w:bookmarkStart w:id="118" w:name="_Toc44924376"/>
      <w:bookmarkStart w:id="119" w:name="_Toc482378955"/>
      <w:bookmarkStart w:id="120" w:name="_Toc16089889"/>
      <w:bookmarkStart w:id="121" w:name="_Toc16089947"/>
      <w:bookmarkStart w:id="122" w:name="_Toc15912329"/>
      <w:bookmarkStart w:id="123" w:name="_Toc482379001"/>
      <w:bookmarkStart w:id="124" w:name="_Toc516501154"/>
      <w:bookmarkStart w:id="125" w:name="_Toc20736"/>
      <w:bookmarkStart w:id="126" w:name="_Toc482379047"/>
      <w:bookmarkStart w:id="127" w:name="_Toc30649"/>
      <w:r>
        <w:rPr>
          <w:rFonts w:hint="eastAsia" w:ascii="宋体" w:hAnsi="宋体" w:eastAsia="宋体"/>
          <w:sz w:val="24"/>
          <w:szCs w:val="24"/>
        </w:rPr>
        <w:t>二 磋商文件和</w:t>
      </w:r>
      <w:bookmarkEnd w:id="113"/>
      <w:bookmarkEnd w:id="114"/>
      <w:bookmarkEnd w:id="115"/>
      <w:bookmarkEnd w:id="116"/>
      <w:r>
        <w:rPr>
          <w:rFonts w:hint="eastAsia" w:ascii="宋体" w:hAnsi="宋体" w:eastAsia="宋体"/>
          <w:sz w:val="24"/>
          <w:szCs w:val="24"/>
        </w:rPr>
        <w:t>磋商响应文件</w:t>
      </w:r>
      <w:bookmarkEnd w:id="117"/>
      <w:bookmarkEnd w:id="118"/>
      <w:bookmarkEnd w:id="119"/>
      <w:bookmarkEnd w:id="120"/>
      <w:bookmarkEnd w:id="121"/>
      <w:bookmarkEnd w:id="122"/>
      <w:bookmarkEnd w:id="123"/>
      <w:bookmarkEnd w:id="124"/>
      <w:bookmarkEnd w:id="125"/>
      <w:bookmarkEnd w:id="126"/>
      <w:bookmarkEnd w:id="127"/>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128" w:name="_Toc44924377"/>
      <w:bookmarkStart w:id="129" w:name="_Toc516501155"/>
      <w:bookmarkStart w:id="130" w:name="_Toc174"/>
      <w:bookmarkStart w:id="131" w:name="_Toc16089890"/>
      <w:bookmarkStart w:id="132" w:name="_Toc31364"/>
      <w:bookmarkStart w:id="133" w:name="_Toc482379002"/>
      <w:bookmarkStart w:id="134" w:name="_Toc15912330"/>
      <w:bookmarkStart w:id="135" w:name="_Toc109537501"/>
      <w:bookmarkStart w:id="136" w:name="_Toc109550777"/>
      <w:bookmarkStart w:id="137" w:name="_Toc16089948"/>
      <w:bookmarkStart w:id="138" w:name="_Toc90712517"/>
      <w:bookmarkStart w:id="139" w:name="_Toc90713336"/>
      <w:bookmarkStart w:id="140" w:name="_Toc482379048"/>
      <w:bookmarkStart w:id="141" w:name="_Toc2000"/>
      <w:bookmarkStart w:id="142" w:name="_Toc482378956"/>
      <w:r>
        <w:rPr>
          <w:rFonts w:hint="eastAsia" w:ascii="宋体" w:hAnsi="宋体" w:eastAsia="宋体"/>
          <w:sz w:val="24"/>
          <w:szCs w:val="24"/>
        </w:rPr>
        <w:t>4.磋商文件构成</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adjustRightInd w:val="0"/>
        <w:snapToGrid w:val="0"/>
        <w:spacing w:line="360" w:lineRule="auto"/>
        <w:ind w:firstLine="240" w:firstLineChars="100"/>
        <w:rPr>
          <w:rFonts w:ascii="宋体" w:hAnsi="宋体"/>
          <w:sz w:val="24"/>
        </w:rPr>
      </w:pPr>
      <w:r>
        <w:rPr>
          <w:rFonts w:hint="eastAsia" w:ascii="宋体" w:hAnsi="宋体"/>
          <w:sz w:val="24"/>
        </w:rPr>
        <w:t>竞争性磋商公告</w:t>
      </w:r>
    </w:p>
    <w:p>
      <w:pPr>
        <w:adjustRightInd w:val="0"/>
        <w:snapToGrid w:val="0"/>
        <w:spacing w:line="360" w:lineRule="auto"/>
        <w:ind w:firstLine="240" w:firstLineChars="100"/>
        <w:rPr>
          <w:rFonts w:ascii="宋体" w:hAnsi="宋体"/>
          <w:sz w:val="24"/>
        </w:rPr>
      </w:pPr>
      <w:r>
        <w:rPr>
          <w:rFonts w:hint="eastAsia" w:ascii="宋体" w:hAnsi="宋体"/>
          <w:sz w:val="24"/>
        </w:rPr>
        <w:t>竞争性磋商须知</w:t>
      </w:r>
    </w:p>
    <w:p>
      <w:pPr>
        <w:adjustRightInd w:val="0"/>
        <w:snapToGrid w:val="0"/>
        <w:spacing w:line="360" w:lineRule="auto"/>
        <w:ind w:firstLine="240" w:firstLineChars="100"/>
        <w:rPr>
          <w:rFonts w:ascii="宋体" w:hAnsi="宋体"/>
          <w:sz w:val="24"/>
        </w:rPr>
      </w:pPr>
      <w:r>
        <w:rPr>
          <w:rFonts w:hint="eastAsia" w:ascii="宋体" w:hAnsi="宋体"/>
          <w:sz w:val="24"/>
        </w:rPr>
        <w:t>合同条款及格式</w:t>
      </w:r>
    </w:p>
    <w:p>
      <w:pPr>
        <w:adjustRightInd w:val="0"/>
        <w:snapToGrid w:val="0"/>
        <w:spacing w:line="360" w:lineRule="auto"/>
        <w:ind w:firstLine="240" w:firstLineChars="100"/>
        <w:rPr>
          <w:rFonts w:ascii="宋体" w:hAnsi="宋体"/>
          <w:sz w:val="24"/>
        </w:rPr>
      </w:pPr>
      <w:r>
        <w:rPr>
          <w:rFonts w:hint="eastAsia" w:ascii="宋体" w:hAnsi="宋体"/>
          <w:sz w:val="24"/>
        </w:rPr>
        <w:t>合同条款资料表</w:t>
      </w:r>
    </w:p>
    <w:p>
      <w:pPr>
        <w:adjustRightInd w:val="0"/>
        <w:snapToGrid w:val="0"/>
        <w:spacing w:line="360" w:lineRule="auto"/>
        <w:ind w:firstLine="240" w:firstLineChars="100"/>
        <w:rPr>
          <w:rFonts w:ascii="宋体" w:hAnsi="宋体"/>
          <w:sz w:val="24"/>
        </w:rPr>
      </w:pPr>
      <w:r>
        <w:rPr>
          <w:rFonts w:hint="eastAsia" w:ascii="宋体" w:hAnsi="宋体"/>
          <w:sz w:val="24"/>
        </w:rPr>
        <w:t>磋商项目资料表</w:t>
      </w:r>
    </w:p>
    <w:p>
      <w:pPr>
        <w:adjustRightInd w:val="0"/>
        <w:snapToGrid w:val="0"/>
        <w:spacing w:line="360" w:lineRule="auto"/>
        <w:ind w:firstLine="240" w:firstLineChars="100"/>
        <w:rPr>
          <w:rFonts w:ascii="宋体" w:hAnsi="宋体"/>
          <w:sz w:val="24"/>
        </w:rPr>
      </w:pPr>
      <w:r>
        <w:rPr>
          <w:rFonts w:hint="eastAsia" w:ascii="宋体" w:hAnsi="宋体"/>
          <w:sz w:val="24"/>
        </w:rPr>
        <w:t>磋商评审办法</w:t>
      </w:r>
    </w:p>
    <w:p>
      <w:pPr>
        <w:adjustRightInd w:val="0"/>
        <w:snapToGrid w:val="0"/>
        <w:spacing w:line="360" w:lineRule="auto"/>
        <w:ind w:firstLine="240" w:firstLineChars="100"/>
        <w:rPr>
          <w:rFonts w:ascii="宋体" w:hAnsi="宋体"/>
          <w:sz w:val="24"/>
        </w:rPr>
      </w:pPr>
      <w:r>
        <w:rPr>
          <w:rFonts w:hint="eastAsia" w:ascii="宋体" w:hAnsi="宋体"/>
          <w:sz w:val="24"/>
        </w:rPr>
        <w:t>采购需求及要求</w:t>
      </w:r>
    </w:p>
    <w:p>
      <w:pPr>
        <w:adjustRightInd w:val="0"/>
        <w:snapToGrid w:val="0"/>
        <w:spacing w:line="360" w:lineRule="auto"/>
        <w:ind w:firstLine="240" w:firstLineChars="100"/>
        <w:rPr>
          <w:rFonts w:ascii="宋体" w:hAnsi="宋体"/>
          <w:sz w:val="24"/>
        </w:rPr>
      </w:pPr>
      <w:r>
        <w:rPr>
          <w:rFonts w:hint="eastAsia" w:ascii="宋体" w:hAnsi="宋体"/>
          <w:sz w:val="24"/>
        </w:rPr>
        <w:t>磋商响应文件格式及内容</w:t>
      </w:r>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143" w:name="_Hlt109555455"/>
      <w:bookmarkEnd w:id="143"/>
      <w:bookmarkStart w:id="144" w:name="_Toc15912332"/>
      <w:bookmarkStart w:id="145" w:name="_Toc109537503"/>
      <w:bookmarkStart w:id="146" w:name="_Toc16089950"/>
      <w:bookmarkStart w:id="147" w:name="_Toc516501157"/>
      <w:bookmarkStart w:id="148" w:name="_Toc482379004"/>
      <w:bookmarkStart w:id="149" w:name="_Toc90713338"/>
      <w:bookmarkStart w:id="150" w:name="_Toc16089892"/>
      <w:bookmarkStart w:id="151" w:name="_Toc109550779"/>
      <w:bookmarkStart w:id="152" w:name="_Toc11599"/>
      <w:bookmarkStart w:id="153" w:name="_Toc20977"/>
      <w:bookmarkStart w:id="154" w:name="_Toc44924378"/>
      <w:bookmarkStart w:id="155" w:name="_Toc482378958"/>
      <w:bookmarkStart w:id="156" w:name="_Toc22385"/>
      <w:bookmarkStart w:id="157" w:name="_Toc482379050"/>
      <w:bookmarkStart w:id="158" w:name="_Toc90712519"/>
      <w:r>
        <w:rPr>
          <w:rFonts w:hint="eastAsia" w:ascii="宋体" w:hAnsi="宋体" w:eastAsia="宋体"/>
          <w:sz w:val="24"/>
          <w:szCs w:val="24"/>
        </w:rPr>
        <w:t>6.磋商文件的澄清</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adjustRightInd w:val="0"/>
        <w:snapToGrid w:val="0"/>
        <w:spacing w:line="360" w:lineRule="auto"/>
        <w:rPr>
          <w:rFonts w:ascii="宋体" w:hAnsi="宋体"/>
          <w:sz w:val="24"/>
        </w:rPr>
      </w:pPr>
      <w:r>
        <w:rPr>
          <w:rFonts w:hint="eastAsia" w:ascii="宋体" w:hAnsi="宋体"/>
          <w:sz w:val="24"/>
        </w:rPr>
        <w:t>6.1供应商有权要求采购代理机构对磋商文件中的有关问题进行答疑、澄清。</w:t>
      </w:r>
    </w:p>
    <w:p>
      <w:pPr>
        <w:adjustRightInd w:val="0"/>
        <w:snapToGrid w:val="0"/>
        <w:spacing w:line="360" w:lineRule="auto"/>
        <w:rPr>
          <w:rFonts w:ascii="宋体" w:hAnsi="宋体"/>
          <w:sz w:val="24"/>
        </w:rPr>
      </w:pPr>
      <w:r>
        <w:rPr>
          <w:rFonts w:hint="eastAsia" w:ascii="宋体" w:hAnsi="宋体"/>
          <w:sz w:val="24"/>
        </w:rPr>
        <w:t>6.2供应商对磋商文件如有疑问，应在不晚于磋商开始日前3天按磋商文件中的联系方式，通知采购代理机构。</w:t>
      </w:r>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159" w:name="_Toc3564"/>
      <w:bookmarkStart w:id="160" w:name="_Toc90712520"/>
      <w:bookmarkStart w:id="161" w:name="_Toc90713339"/>
      <w:bookmarkStart w:id="162" w:name="_Toc482378959"/>
      <w:bookmarkStart w:id="163" w:name="_Toc109550780"/>
      <w:bookmarkStart w:id="164" w:name="_Toc16089893"/>
      <w:bookmarkStart w:id="165" w:name="_Toc44924379"/>
      <w:bookmarkStart w:id="166" w:name="_Toc15912333"/>
      <w:bookmarkStart w:id="167" w:name="_Toc16089951"/>
      <w:bookmarkStart w:id="168" w:name="_Toc109537504"/>
      <w:bookmarkStart w:id="169" w:name="_Toc8306"/>
      <w:bookmarkStart w:id="170" w:name="_Toc516501158"/>
      <w:bookmarkStart w:id="171" w:name="_Toc482379051"/>
      <w:bookmarkStart w:id="172" w:name="_Toc26545"/>
      <w:bookmarkStart w:id="173" w:name="_Toc482379005"/>
      <w:r>
        <w:rPr>
          <w:rFonts w:hint="eastAsia" w:ascii="宋体" w:hAnsi="宋体" w:eastAsia="宋体"/>
          <w:sz w:val="24"/>
          <w:szCs w:val="24"/>
        </w:rPr>
        <w:t>7.磋商文件的修改</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adjustRightInd w:val="0"/>
        <w:snapToGrid w:val="0"/>
        <w:spacing w:line="360" w:lineRule="auto"/>
        <w:rPr>
          <w:rFonts w:ascii="宋体" w:hAnsi="宋体"/>
          <w:sz w:val="24"/>
        </w:rPr>
      </w:pPr>
      <w:r>
        <w:rPr>
          <w:rFonts w:hint="eastAsia" w:ascii="宋体" w:hAnsi="宋体"/>
          <w:sz w:val="24"/>
        </w:rPr>
        <w:t>7.1必要情况下，采购人可能对磋商文件进行修改。</w:t>
      </w:r>
    </w:p>
    <w:p>
      <w:pPr>
        <w:adjustRightInd w:val="0"/>
        <w:snapToGrid w:val="0"/>
        <w:spacing w:line="360" w:lineRule="auto"/>
        <w:rPr>
          <w:rFonts w:ascii="宋体" w:hAnsi="宋体"/>
          <w:sz w:val="24"/>
        </w:rPr>
      </w:pPr>
      <w:r>
        <w:rPr>
          <w:rFonts w:hint="eastAsia" w:ascii="宋体" w:hAnsi="宋体"/>
          <w:sz w:val="24"/>
        </w:rPr>
        <w:t>7.2招标过程中产生的修改文件或补充文件与原招标文件一样均具有同等的法律效力。</w:t>
      </w:r>
    </w:p>
    <w:p>
      <w:pPr>
        <w:adjustRightInd w:val="0"/>
        <w:snapToGrid w:val="0"/>
        <w:spacing w:line="360" w:lineRule="auto"/>
        <w:rPr>
          <w:rFonts w:ascii="宋体" w:hAnsi="宋体"/>
          <w:sz w:val="24"/>
        </w:rPr>
      </w:pPr>
      <w:r>
        <w:rPr>
          <w:rFonts w:hint="eastAsia" w:ascii="宋体" w:hAnsi="宋体"/>
          <w:sz w:val="24"/>
        </w:rPr>
        <w:t>7.3提交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响应文件截止时间至少5日前，以书面形式通知所有获取磋商文件的供应商；不足5日的，采购人、采购代理机构应当顺延提交首次响应文件截止时间。</w:t>
      </w:r>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174" w:name="_Hlt109555460"/>
      <w:bookmarkEnd w:id="174"/>
      <w:bookmarkStart w:id="175" w:name="_Toc16089891"/>
      <w:bookmarkStart w:id="176" w:name="_Toc26333"/>
      <w:bookmarkStart w:id="177" w:name="_Toc90712518"/>
      <w:bookmarkStart w:id="178" w:name="_Toc482378957"/>
      <w:bookmarkStart w:id="179" w:name="_Toc90713337"/>
      <w:bookmarkStart w:id="180" w:name="_Toc109550778"/>
      <w:bookmarkStart w:id="181" w:name="_Toc14087"/>
      <w:bookmarkStart w:id="182" w:name="_Toc44924380"/>
      <w:bookmarkStart w:id="183" w:name="_Toc15912331"/>
      <w:bookmarkStart w:id="184" w:name="_Toc516501156"/>
      <w:bookmarkStart w:id="185" w:name="_Toc109537502"/>
      <w:bookmarkStart w:id="186" w:name="_Toc16089949"/>
      <w:bookmarkStart w:id="187" w:name="_Toc482379049"/>
      <w:bookmarkStart w:id="188" w:name="_Toc482379003"/>
      <w:bookmarkStart w:id="189" w:name="_Toc6307"/>
      <w:bookmarkStart w:id="190" w:name="_Toc109550781"/>
      <w:bookmarkStart w:id="191" w:name="_Toc90712521"/>
      <w:bookmarkStart w:id="192" w:name="_Toc16089952"/>
      <w:bookmarkStart w:id="193" w:name="_Toc109537505"/>
      <w:bookmarkStart w:id="194" w:name="_Toc15912334"/>
      <w:bookmarkStart w:id="195" w:name="_Toc482379052"/>
      <w:bookmarkStart w:id="196" w:name="_Toc482378960"/>
      <w:bookmarkStart w:id="197" w:name="_Toc90713340"/>
      <w:bookmarkStart w:id="198" w:name="_Toc482379006"/>
      <w:bookmarkStart w:id="199" w:name="_Toc16089894"/>
      <w:bookmarkStart w:id="200" w:name="_Toc516501159"/>
      <w:r>
        <w:rPr>
          <w:rFonts w:hint="eastAsia" w:ascii="宋体" w:hAnsi="宋体" w:eastAsia="宋体"/>
          <w:sz w:val="24"/>
          <w:szCs w:val="24"/>
        </w:rPr>
        <w:t>5.磋商响应文件构成</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pPr>
        <w:adjustRightInd w:val="0"/>
        <w:snapToGrid w:val="0"/>
        <w:spacing w:line="360" w:lineRule="auto"/>
        <w:ind w:left="315" w:leftChars="150"/>
        <w:outlineLvl w:val="0"/>
        <w:rPr>
          <w:rFonts w:ascii="宋体" w:hAnsi="宋体"/>
          <w:sz w:val="24"/>
        </w:rPr>
      </w:pPr>
      <w:bookmarkStart w:id="201" w:name="_Toc4497"/>
      <w:bookmarkStart w:id="202" w:name="_Toc27704"/>
      <w:bookmarkStart w:id="203" w:name="_Toc21036"/>
      <w:r>
        <w:rPr>
          <w:rFonts w:hint="eastAsia" w:ascii="宋体" w:hAnsi="宋体"/>
          <w:sz w:val="24"/>
        </w:rPr>
        <w:t>一 磋商复函格式</w:t>
      </w:r>
      <w:bookmarkEnd w:id="201"/>
      <w:bookmarkEnd w:id="202"/>
      <w:bookmarkEnd w:id="203"/>
    </w:p>
    <w:p>
      <w:pPr>
        <w:adjustRightInd w:val="0"/>
        <w:snapToGrid w:val="0"/>
        <w:spacing w:line="360" w:lineRule="auto"/>
        <w:ind w:left="315" w:leftChars="150"/>
        <w:outlineLvl w:val="0"/>
        <w:rPr>
          <w:rFonts w:ascii="宋体" w:hAnsi="宋体"/>
          <w:sz w:val="24"/>
        </w:rPr>
      </w:pPr>
      <w:bookmarkStart w:id="204" w:name="_Toc18242"/>
      <w:bookmarkStart w:id="205" w:name="_Toc16192"/>
      <w:bookmarkStart w:id="206" w:name="_Toc2303"/>
      <w:r>
        <w:rPr>
          <w:rFonts w:hint="eastAsia" w:ascii="宋体" w:hAnsi="宋体"/>
          <w:sz w:val="24"/>
        </w:rPr>
        <w:t>二 法定代表证明</w:t>
      </w:r>
      <w:bookmarkEnd w:id="204"/>
      <w:bookmarkEnd w:id="205"/>
      <w:bookmarkEnd w:id="206"/>
    </w:p>
    <w:p>
      <w:pPr>
        <w:adjustRightInd w:val="0"/>
        <w:snapToGrid w:val="0"/>
        <w:spacing w:line="360" w:lineRule="auto"/>
        <w:ind w:left="315" w:leftChars="150"/>
        <w:outlineLvl w:val="0"/>
        <w:rPr>
          <w:rFonts w:ascii="宋体" w:hAnsi="宋体"/>
          <w:sz w:val="24"/>
        </w:rPr>
      </w:pPr>
      <w:bookmarkStart w:id="207" w:name="_Toc25077"/>
      <w:bookmarkStart w:id="208" w:name="_Toc31105"/>
      <w:bookmarkStart w:id="209" w:name="_Toc7407"/>
      <w:r>
        <w:rPr>
          <w:rFonts w:hint="eastAsia" w:ascii="宋体" w:hAnsi="宋体"/>
          <w:sz w:val="24"/>
        </w:rPr>
        <w:t>三 竞争性磋商报价表</w:t>
      </w:r>
      <w:bookmarkEnd w:id="207"/>
      <w:bookmarkEnd w:id="208"/>
      <w:bookmarkEnd w:id="209"/>
    </w:p>
    <w:p>
      <w:pPr>
        <w:adjustRightInd w:val="0"/>
        <w:snapToGrid w:val="0"/>
        <w:spacing w:line="360" w:lineRule="auto"/>
        <w:ind w:left="315" w:leftChars="150"/>
        <w:outlineLvl w:val="0"/>
        <w:rPr>
          <w:rFonts w:ascii="宋体" w:hAnsi="宋体"/>
          <w:sz w:val="24"/>
        </w:rPr>
      </w:pPr>
      <w:bookmarkStart w:id="210" w:name="_Toc18130"/>
      <w:bookmarkStart w:id="211" w:name="_Toc23235"/>
      <w:bookmarkStart w:id="212" w:name="_Toc1111"/>
      <w:r>
        <w:rPr>
          <w:rFonts w:hint="eastAsia" w:ascii="宋体" w:hAnsi="宋体"/>
          <w:sz w:val="24"/>
        </w:rPr>
        <w:t>四 竞争性磋商分项报价表</w:t>
      </w:r>
      <w:bookmarkEnd w:id="210"/>
      <w:bookmarkEnd w:id="211"/>
      <w:bookmarkEnd w:id="212"/>
    </w:p>
    <w:p>
      <w:pPr>
        <w:adjustRightInd w:val="0"/>
        <w:snapToGrid w:val="0"/>
        <w:spacing w:line="360" w:lineRule="auto"/>
        <w:ind w:left="315" w:leftChars="150"/>
        <w:outlineLvl w:val="0"/>
        <w:rPr>
          <w:rFonts w:ascii="宋体" w:hAnsi="宋体"/>
          <w:sz w:val="24"/>
        </w:rPr>
      </w:pPr>
      <w:bookmarkStart w:id="213" w:name="_Toc16170"/>
      <w:bookmarkStart w:id="214" w:name="_Toc4106"/>
      <w:bookmarkStart w:id="215" w:name="_Toc14619"/>
      <w:r>
        <w:rPr>
          <w:rFonts w:hint="eastAsia" w:ascii="宋体" w:hAnsi="宋体"/>
          <w:sz w:val="24"/>
        </w:rPr>
        <w:t>五 主要设备（产品）规格一览表</w:t>
      </w:r>
      <w:bookmarkEnd w:id="213"/>
      <w:bookmarkEnd w:id="214"/>
      <w:bookmarkEnd w:id="215"/>
    </w:p>
    <w:p>
      <w:pPr>
        <w:adjustRightInd w:val="0"/>
        <w:snapToGrid w:val="0"/>
        <w:spacing w:line="360" w:lineRule="auto"/>
        <w:ind w:left="315" w:leftChars="150"/>
        <w:outlineLvl w:val="0"/>
        <w:rPr>
          <w:rFonts w:ascii="宋体" w:hAnsi="宋体"/>
          <w:sz w:val="24"/>
        </w:rPr>
      </w:pPr>
      <w:bookmarkStart w:id="216" w:name="_Toc18664"/>
      <w:bookmarkStart w:id="217" w:name="_Toc16688"/>
      <w:bookmarkStart w:id="218" w:name="_Toc27518"/>
      <w:r>
        <w:rPr>
          <w:rFonts w:hint="eastAsia" w:ascii="宋体" w:hAnsi="宋体"/>
          <w:sz w:val="24"/>
        </w:rPr>
        <w:t>六 资格申明</w:t>
      </w:r>
      <w:bookmarkEnd w:id="216"/>
      <w:bookmarkEnd w:id="217"/>
      <w:bookmarkEnd w:id="218"/>
    </w:p>
    <w:p>
      <w:pPr>
        <w:adjustRightInd w:val="0"/>
        <w:snapToGrid w:val="0"/>
        <w:spacing w:line="360" w:lineRule="auto"/>
        <w:ind w:left="315" w:leftChars="150"/>
        <w:outlineLvl w:val="0"/>
        <w:rPr>
          <w:rFonts w:ascii="宋体" w:hAnsi="宋体"/>
          <w:sz w:val="24"/>
        </w:rPr>
      </w:pPr>
      <w:bookmarkStart w:id="219" w:name="_Toc11503"/>
      <w:bookmarkStart w:id="220" w:name="_Toc71"/>
      <w:bookmarkStart w:id="221" w:name="_Toc840"/>
      <w:r>
        <w:rPr>
          <w:rFonts w:hint="eastAsia" w:ascii="宋体" w:hAnsi="宋体"/>
          <w:sz w:val="24"/>
        </w:rPr>
        <w:t>七 供应商承诺函</w:t>
      </w:r>
      <w:bookmarkEnd w:id="219"/>
      <w:bookmarkEnd w:id="220"/>
      <w:bookmarkEnd w:id="221"/>
    </w:p>
    <w:p>
      <w:pPr>
        <w:adjustRightInd w:val="0"/>
        <w:snapToGrid w:val="0"/>
        <w:spacing w:line="360" w:lineRule="auto"/>
        <w:ind w:left="315" w:leftChars="150"/>
        <w:outlineLvl w:val="0"/>
        <w:rPr>
          <w:rFonts w:ascii="宋体" w:hAnsi="宋体"/>
          <w:sz w:val="24"/>
        </w:rPr>
      </w:pPr>
      <w:bookmarkStart w:id="222" w:name="_Toc12392"/>
      <w:bookmarkStart w:id="223" w:name="_Toc9229"/>
      <w:bookmarkStart w:id="224" w:name="_Toc8934"/>
      <w:r>
        <w:rPr>
          <w:rFonts w:hint="eastAsia" w:ascii="宋体" w:hAnsi="宋体"/>
          <w:sz w:val="24"/>
        </w:rPr>
        <w:t>八 技术规格和商务条款偏差表</w:t>
      </w:r>
      <w:bookmarkEnd w:id="222"/>
      <w:bookmarkEnd w:id="223"/>
      <w:bookmarkEnd w:id="224"/>
    </w:p>
    <w:p>
      <w:pPr>
        <w:adjustRightInd w:val="0"/>
        <w:snapToGrid w:val="0"/>
        <w:spacing w:line="360" w:lineRule="auto"/>
        <w:ind w:left="315" w:leftChars="150"/>
        <w:outlineLvl w:val="0"/>
        <w:rPr>
          <w:rFonts w:ascii="宋体" w:hAnsi="宋体"/>
          <w:sz w:val="24"/>
        </w:rPr>
      </w:pPr>
      <w:bookmarkStart w:id="225" w:name="_Toc29577"/>
      <w:bookmarkStart w:id="226" w:name="_Toc17417"/>
      <w:bookmarkStart w:id="227" w:name="_Toc17661"/>
      <w:r>
        <w:rPr>
          <w:rFonts w:hint="eastAsia" w:ascii="宋体" w:hAnsi="宋体"/>
          <w:sz w:val="24"/>
        </w:rPr>
        <w:t>九 反商业贿赂承诺书</w:t>
      </w:r>
      <w:bookmarkEnd w:id="225"/>
      <w:bookmarkEnd w:id="226"/>
      <w:bookmarkEnd w:id="227"/>
    </w:p>
    <w:p>
      <w:pPr>
        <w:adjustRightInd w:val="0"/>
        <w:snapToGrid w:val="0"/>
        <w:spacing w:line="360" w:lineRule="auto"/>
        <w:ind w:left="315" w:leftChars="150"/>
        <w:outlineLvl w:val="0"/>
        <w:rPr>
          <w:rFonts w:ascii="宋体" w:hAnsi="宋体"/>
          <w:sz w:val="24"/>
        </w:rPr>
      </w:pPr>
      <w:bookmarkStart w:id="228" w:name="_Toc27932"/>
      <w:bookmarkStart w:id="229" w:name="_Toc24876"/>
      <w:bookmarkStart w:id="230" w:name="_Toc3994"/>
      <w:r>
        <w:rPr>
          <w:rFonts w:hint="eastAsia" w:ascii="宋体" w:hAnsi="宋体"/>
          <w:sz w:val="24"/>
        </w:rPr>
        <w:t>十 参加政府采购活动前3年内在经营活动中没有重大违法记录的书面声明</w:t>
      </w:r>
      <w:bookmarkEnd w:id="228"/>
      <w:bookmarkEnd w:id="229"/>
      <w:bookmarkEnd w:id="230"/>
    </w:p>
    <w:p>
      <w:pPr>
        <w:adjustRightInd w:val="0"/>
        <w:snapToGrid w:val="0"/>
        <w:spacing w:line="360" w:lineRule="auto"/>
        <w:ind w:left="315" w:leftChars="150"/>
        <w:outlineLvl w:val="0"/>
        <w:rPr>
          <w:rFonts w:ascii="宋体" w:hAnsi="宋体"/>
          <w:sz w:val="24"/>
        </w:rPr>
      </w:pPr>
      <w:bookmarkStart w:id="231" w:name="_Toc6664"/>
      <w:bookmarkStart w:id="232" w:name="_Toc31784"/>
      <w:bookmarkStart w:id="233" w:name="_Toc5632"/>
      <w:r>
        <w:rPr>
          <w:rFonts w:hint="eastAsia" w:ascii="宋体" w:hAnsi="宋体"/>
          <w:sz w:val="24"/>
        </w:rPr>
        <w:t>十一 资质证明文件</w:t>
      </w:r>
      <w:bookmarkEnd w:id="231"/>
      <w:bookmarkEnd w:id="232"/>
      <w:bookmarkEnd w:id="233"/>
    </w:p>
    <w:p>
      <w:pPr>
        <w:adjustRightInd w:val="0"/>
        <w:snapToGrid w:val="0"/>
        <w:spacing w:line="360" w:lineRule="auto"/>
        <w:ind w:left="315" w:leftChars="150"/>
        <w:outlineLvl w:val="0"/>
        <w:rPr>
          <w:rFonts w:ascii="宋体" w:hAnsi="宋体"/>
          <w:sz w:val="24"/>
        </w:rPr>
      </w:pPr>
      <w:bookmarkStart w:id="234" w:name="_Toc12651"/>
      <w:bookmarkStart w:id="235" w:name="_Toc29743"/>
      <w:bookmarkStart w:id="236" w:name="_Toc13739"/>
      <w:r>
        <w:rPr>
          <w:rFonts w:hint="eastAsia" w:ascii="宋体" w:hAnsi="宋体"/>
          <w:sz w:val="24"/>
        </w:rPr>
        <w:t>十二 中小企业声明函</w:t>
      </w:r>
      <w:bookmarkEnd w:id="234"/>
      <w:bookmarkEnd w:id="235"/>
      <w:bookmarkEnd w:id="236"/>
    </w:p>
    <w:p>
      <w:pPr>
        <w:adjustRightInd w:val="0"/>
        <w:snapToGrid w:val="0"/>
        <w:spacing w:line="360" w:lineRule="auto"/>
        <w:ind w:firstLine="240" w:firstLineChars="100"/>
        <w:rPr>
          <w:rFonts w:ascii="宋体" w:hAnsi="宋体"/>
          <w:sz w:val="24"/>
        </w:rPr>
      </w:pPr>
      <w:r>
        <w:rPr>
          <w:rFonts w:hint="eastAsia" w:ascii="宋体" w:hAnsi="宋体"/>
          <w:sz w:val="24"/>
        </w:rPr>
        <w:t>供应商应认真阅读和充分理解磋商文件中所有的内容。如果磋商响应文件没有满足磋商文件的有关要求，其风险由供应商自行承担。</w:t>
      </w:r>
    </w:p>
    <w:p>
      <w:pPr>
        <w:pStyle w:val="4"/>
        <w:keepNext w:val="0"/>
        <w:keepLines w:val="0"/>
        <w:adjustRightInd w:val="0"/>
        <w:snapToGrid w:val="0"/>
        <w:spacing w:before="0" w:after="0" w:line="360" w:lineRule="auto"/>
        <w:textAlignment w:val="baseline"/>
        <w:rPr>
          <w:rFonts w:ascii="宋体" w:hAnsi="宋体" w:eastAsia="宋体"/>
          <w:sz w:val="24"/>
          <w:szCs w:val="24"/>
        </w:rPr>
      </w:pPr>
      <w:bookmarkStart w:id="237" w:name="_Toc4914"/>
      <w:bookmarkStart w:id="238" w:name="_Toc21911"/>
      <w:bookmarkStart w:id="239" w:name="_Toc1233"/>
      <w:bookmarkStart w:id="240" w:name="_Toc44924381"/>
      <w:r>
        <w:rPr>
          <w:rFonts w:hint="eastAsia" w:ascii="宋体" w:hAnsi="宋体" w:eastAsia="宋体"/>
          <w:sz w:val="24"/>
          <w:szCs w:val="24"/>
        </w:rPr>
        <w:t>三 磋商响应文件的编制</w:t>
      </w:r>
      <w:bookmarkEnd w:id="190"/>
      <w:bookmarkEnd w:id="191"/>
      <w:bookmarkEnd w:id="192"/>
      <w:bookmarkEnd w:id="193"/>
      <w:bookmarkEnd w:id="194"/>
      <w:bookmarkEnd w:id="195"/>
      <w:bookmarkEnd w:id="196"/>
      <w:bookmarkEnd w:id="197"/>
      <w:bookmarkEnd w:id="198"/>
      <w:bookmarkEnd w:id="199"/>
      <w:bookmarkEnd w:id="200"/>
      <w:bookmarkEnd w:id="237"/>
      <w:bookmarkEnd w:id="238"/>
      <w:bookmarkEnd w:id="239"/>
      <w:bookmarkEnd w:id="240"/>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241" w:name="_Toc16089895"/>
      <w:bookmarkStart w:id="242" w:name="_Toc15912335"/>
      <w:bookmarkStart w:id="243" w:name="_Toc482379007"/>
      <w:bookmarkStart w:id="244" w:name="_Toc90712522"/>
      <w:bookmarkStart w:id="245" w:name="_Toc516501160"/>
      <w:bookmarkStart w:id="246" w:name="_Toc482379053"/>
      <w:bookmarkStart w:id="247" w:name="_Toc109550782"/>
      <w:bookmarkStart w:id="248" w:name="_Toc90713341"/>
      <w:bookmarkStart w:id="249" w:name="_Toc109537506"/>
      <w:bookmarkStart w:id="250" w:name="_Toc44924382"/>
      <w:bookmarkStart w:id="251" w:name="_Toc7100"/>
      <w:bookmarkStart w:id="252" w:name="_Toc16089953"/>
      <w:bookmarkStart w:id="253" w:name="_Toc4897"/>
      <w:bookmarkStart w:id="254" w:name="_Toc482378961"/>
      <w:bookmarkStart w:id="255" w:name="_Toc8270"/>
      <w:r>
        <w:rPr>
          <w:rFonts w:hint="eastAsia" w:ascii="宋体" w:hAnsi="宋体" w:eastAsia="宋体"/>
          <w:sz w:val="24"/>
          <w:szCs w:val="24"/>
        </w:rPr>
        <w:t>8. 磋商的语言及度量衡单位</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adjustRightInd w:val="0"/>
        <w:snapToGrid w:val="0"/>
        <w:spacing w:line="360" w:lineRule="auto"/>
        <w:rPr>
          <w:rFonts w:ascii="宋体" w:hAnsi="宋体"/>
          <w:sz w:val="24"/>
        </w:rPr>
      </w:pPr>
      <w:r>
        <w:rPr>
          <w:rFonts w:hint="eastAsia" w:ascii="宋体" w:hAnsi="宋体"/>
          <w:sz w:val="24"/>
        </w:rPr>
        <w:t>8.1供应商的磋商响应文件以及供应商与采购人就有关磋商问题的所有来往函电均须使用中文。</w:t>
      </w:r>
    </w:p>
    <w:p>
      <w:pPr>
        <w:adjustRightInd w:val="0"/>
        <w:snapToGrid w:val="0"/>
        <w:spacing w:line="360" w:lineRule="auto"/>
        <w:rPr>
          <w:rFonts w:ascii="宋体" w:hAnsi="宋体"/>
          <w:sz w:val="24"/>
        </w:rPr>
      </w:pPr>
      <w:r>
        <w:rPr>
          <w:rFonts w:hint="eastAsia" w:ascii="宋体" w:hAnsi="宋体"/>
          <w:sz w:val="24"/>
        </w:rPr>
        <w:t>8.2除技术要求中另有规定外，磋商响应文件所使用的度量衡均须采用法定计量单位。</w:t>
      </w:r>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256" w:name="_Toc16089896"/>
      <w:bookmarkStart w:id="257" w:name="_Toc109550783"/>
      <w:bookmarkStart w:id="258" w:name="_Toc3870"/>
      <w:bookmarkStart w:id="259" w:name="_Toc15912336"/>
      <w:bookmarkStart w:id="260" w:name="_Toc482378962"/>
      <w:bookmarkStart w:id="261" w:name="_Toc516501161"/>
      <w:bookmarkStart w:id="262" w:name="_Toc482379054"/>
      <w:bookmarkStart w:id="263" w:name="_Toc12159"/>
      <w:bookmarkStart w:id="264" w:name="_Toc109537507"/>
      <w:bookmarkStart w:id="265" w:name="_Toc90713342"/>
      <w:bookmarkStart w:id="266" w:name="_Toc16089954"/>
      <w:bookmarkStart w:id="267" w:name="_Toc31805"/>
      <w:bookmarkStart w:id="268" w:name="_Toc90712523"/>
      <w:bookmarkStart w:id="269" w:name="_Toc482379008"/>
      <w:bookmarkStart w:id="270" w:name="_Toc44924383"/>
      <w:r>
        <w:rPr>
          <w:rFonts w:hint="eastAsia" w:ascii="宋体" w:hAnsi="宋体" w:eastAsia="宋体"/>
          <w:sz w:val="24"/>
          <w:szCs w:val="24"/>
        </w:rPr>
        <w:t>9.磋商响应文件的真实性与准确性</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adjustRightInd w:val="0"/>
        <w:snapToGrid w:val="0"/>
        <w:spacing w:line="360" w:lineRule="auto"/>
        <w:rPr>
          <w:rFonts w:ascii="宋体" w:hAnsi="宋体"/>
          <w:sz w:val="24"/>
        </w:rPr>
      </w:pPr>
      <w:r>
        <w:rPr>
          <w:rFonts w:hint="eastAsia" w:ascii="宋体" w:hAnsi="宋体"/>
          <w:sz w:val="24"/>
        </w:rPr>
        <w:t>9.1供应商必须对其磋商响应文件的真实性与准确性负责。一旦成交，其磋商响应文件将作为合同的重要组成部分。</w:t>
      </w:r>
    </w:p>
    <w:p>
      <w:pPr>
        <w:adjustRightInd w:val="0"/>
        <w:snapToGrid w:val="0"/>
        <w:spacing w:line="360" w:lineRule="auto"/>
        <w:rPr>
          <w:rFonts w:ascii="宋体" w:hAnsi="宋体"/>
          <w:sz w:val="24"/>
        </w:rPr>
      </w:pPr>
      <w:r>
        <w:rPr>
          <w:rFonts w:hint="eastAsia" w:ascii="宋体" w:hAnsi="宋体"/>
          <w:sz w:val="24"/>
        </w:rPr>
        <w:t>9.2供应商不得在未征得采购人许可的情况下，擅自对磋商文件的格式、条款和技术要求进行修改。否则，其磋商响应文件在磋商时有可能被认为是未对磋商文件做出实质性的响应而终止对其作进一步的评审。</w:t>
      </w:r>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271" w:name="_Toc16089897"/>
      <w:bookmarkStart w:id="272" w:name="_Toc44924384"/>
      <w:bookmarkStart w:id="273" w:name="_Toc109537508"/>
      <w:bookmarkStart w:id="274" w:name="_Toc90713343"/>
      <w:bookmarkStart w:id="275" w:name="_Toc6094"/>
      <w:bookmarkStart w:id="276" w:name="_Toc482379009"/>
      <w:bookmarkStart w:id="277" w:name="_Toc22937"/>
      <w:bookmarkStart w:id="278" w:name="_Toc90712524"/>
      <w:bookmarkStart w:id="279" w:name="_Toc16089955"/>
      <w:bookmarkStart w:id="280" w:name="_Toc15912337"/>
      <w:bookmarkStart w:id="281" w:name="_Toc109550784"/>
      <w:bookmarkStart w:id="282" w:name="_Toc482378963"/>
      <w:bookmarkStart w:id="283" w:name="_Toc482379055"/>
      <w:bookmarkStart w:id="284" w:name="_Toc516501162"/>
      <w:bookmarkStart w:id="285" w:name="_Toc1807"/>
      <w:r>
        <w:rPr>
          <w:rFonts w:hint="eastAsia" w:ascii="宋体" w:hAnsi="宋体" w:eastAsia="宋体"/>
          <w:sz w:val="24"/>
          <w:szCs w:val="24"/>
        </w:rPr>
        <w:t>10. 磋商报价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pPr>
        <w:adjustRightInd w:val="0"/>
        <w:snapToGrid w:val="0"/>
        <w:spacing w:line="360" w:lineRule="auto"/>
        <w:rPr>
          <w:rFonts w:ascii="宋体" w:hAnsi="宋体"/>
          <w:sz w:val="24"/>
        </w:rPr>
      </w:pPr>
      <w:r>
        <w:rPr>
          <w:rFonts w:hint="eastAsia" w:ascii="宋体" w:hAnsi="宋体"/>
          <w:sz w:val="24"/>
        </w:rPr>
        <w:t>10.1磋商响应文件的报价表上应清楚地标明投标总价。但只允许有一个方案报价，多方案报价的磋商响应文件将不被接受。</w:t>
      </w:r>
    </w:p>
    <w:p>
      <w:pPr>
        <w:adjustRightInd w:val="0"/>
        <w:snapToGrid w:val="0"/>
        <w:spacing w:line="360" w:lineRule="auto"/>
        <w:rPr>
          <w:rFonts w:ascii="宋体" w:hAnsi="宋体"/>
          <w:sz w:val="24"/>
        </w:rPr>
      </w:pPr>
      <w:r>
        <w:rPr>
          <w:rFonts w:hint="eastAsia" w:ascii="宋体" w:hAnsi="宋体"/>
          <w:sz w:val="24"/>
        </w:rPr>
        <w:t>10.2磋商报价表上的价格为磋商时的参考价格，磋商小组以最后报价确定成交供应商的成交价格。</w:t>
      </w:r>
    </w:p>
    <w:p>
      <w:pPr>
        <w:spacing w:line="360" w:lineRule="auto"/>
        <w:rPr>
          <w:rFonts w:ascii="宋体" w:hAnsi="宋体"/>
          <w:sz w:val="24"/>
        </w:rPr>
      </w:pPr>
      <w:r>
        <w:rPr>
          <w:rFonts w:hint="eastAsia" w:ascii="宋体" w:hAnsi="宋体"/>
          <w:sz w:val="24"/>
        </w:rPr>
        <w:t>10.3所有磋商报价均以人民币元为计算单位。供应商的磋商报价为交易总价格，</w:t>
      </w:r>
      <w:r>
        <w:rPr>
          <w:rFonts w:hint="eastAsia" w:ascii="宋体" w:hAnsi="宋体" w:cs="宋体"/>
          <w:sz w:val="24"/>
        </w:rPr>
        <w:t>含售后服务等费用。采购人不支付报价以外的任何费用。</w:t>
      </w:r>
      <w:r>
        <w:rPr>
          <w:rFonts w:hint="eastAsia" w:ascii="宋体" w:hAnsi="宋体"/>
          <w:sz w:val="24"/>
        </w:rPr>
        <w:t>本</w:t>
      </w:r>
      <w:r>
        <w:rPr>
          <w:rFonts w:ascii="宋体" w:hAnsi="宋体"/>
          <w:sz w:val="24"/>
        </w:rPr>
        <w:t>次投标实行二次报价，</w:t>
      </w:r>
      <w:r>
        <w:rPr>
          <w:rFonts w:hint="eastAsia" w:ascii="宋体" w:hAnsi="宋体"/>
          <w:sz w:val="24"/>
        </w:rPr>
        <w:t>投标</w:t>
      </w:r>
      <w:r>
        <w:rPr>
          <w:rFonts w:ascii="宋体" w:hAnsi="宋体"/>
          <w:sz w:val="24"/>
        </w:rPr>
        <w:t>文件报价为第一次报价，</w:t>
      </w:r>
      <w:r>
        <w:rPr>
          <w:rFonts w:hint="eastAsia" w:ascii="宋体" w:hAnsi="宋体"/>
          <w:sz w:val="24"/>
        </w:rPr>
        <w:t>通过</w:t>
      </w:r>
      <w:r>
        <w:rPr>
          <w:rFonts w:ascii="宋体" w:hAnsi="宋体"/>
          <w:sz w:val="24"/>
        </w:rPr>
        <w:t>资格审查的有效</w:t>
      </w:r>
      <w:r>
        <w:rPr>
          <w:rFonts w:hint="eastAsia" w:ascii="宋体" w:hAnsi="宋体"/>
          <w:sz w:val="24"/>
        </w:rPr>
        <w:t>供应商实施</w:t>
      </w:r>
      <w:r>
        <w:rPr>
          <w:rFonts w:ascii="宋体" w:hAnsi="宋体"/>
          <w:sz w:val="24"/>
        </w:rPr>
        <w:t>第二次报价，第二次报价不能超过第</w:t>
      </w:r>
      <w:r>
        <w:rPr>
          <w:rFonts w:hint="eastAsia" w:ascii="宋体" w:hAnsi="宋体"/>
          <w:sz w:val="24"/>
        </w:rPr>
        <w:t>一</w:t>
      </w:r>
      <w:r>
        <w:rPr>
          <w:rFonts w:ascii="宋体" w:hAnsi="宋体"/>
          <w:sz w:val="24"/>
        </w:rPr>
        <w:t>次报价，</w:t>
      </w:r>
      <w:r>
        <w:rPr>
          <w:rFonts w:hint="eastAsia" w:ascii="宋体" w:hAnsi="宋体"/>
          <w:sz w:val="24"/>
        </w:rPr>
        <w:t>供应商的报价超过采购预算，按无效标处理。</w:t>
      </w:r>
    </w:p>
    <w:p>
      <w:pPr>
        <w:spacing w:line="360" w:lineRule="auto"/>
        <w:rPr>
          <w:rFonts w:ascii="宋体" w:hAnsi="宋体"/>
          <w:sz w:val="24"/>
        </w:rPr>
      </w:pPr>
      <w:r>
        <w:rPr>
          <w:rFonts w:hint="eastAsia" w:ascii="宋体" w:hAnsi="宋体"/>
          <w:sz w:val="24"/>
        </w:rPr>
        <w:t>10.4磋商小组认为供应商的报价明显低于其他通过符合性审查投标人的报价，有可能影响产品质量或者不能诚信履约的，应当要求其(远程评标在线说明)提供书面说明，必要时提交相关证明材料；供应商不能证明其报价合理性的，磋商小组应当将其作为无效投标处理。</w:t>
      </w:r>
    </w:p>
    <w:p>
      <w:pPr>
        <w:spacing w:line="360" w:lineRule="auto"/>
        <w:rPr>
          <w:rFonts w:ascii="宋体" w:hAnsi="宋体"/>
          <w:sz w:val="24"/>
        </w:rPr>
      </w:pPr>
      <w:r>
        <w:rPr>
          <w:rFonts w:hint="eastAsia" w:ascii="宋体" w:hAnsi="宋体"/>
          <w:sz w:val="24"/>
        </w:rPr>
        <w:t>1) 供应商的说明材料应当按照国家财务会计制度的规定要求，逐项就提供的货物、工程和服务的主营业务成本、税金及附加、销售费用、管理费用、财务费用、培训费用、售后服务等成本构成事项详细陈述。</w:t>
      </w:r>
    </w:p>
    <w:p>
      <w:pPr>
        <w:spacing w:line="360" w:lineRule="auto"/>
        <w:rPr>
          <w:rFonts w:ascii="宋体" w:hAnsi="宋体"/>
          <w:sz w:val="24"/>
        </w:rPr>
      </w:pPr>
      <w:r>
        <w:rPr>
          <w:rFonts w:hint="eastAsia" w:ascii="宋体" w:hAnsi="宋体"/>
          <w:sz w:val="24"/>
        </w:rPr>
        <w:t>2) 供应商答复后，磋商小组应当结合采购项目采购需求、专业实际情况、财务状况报告、与其他供应商比较情况等就供应商说明进行审查评价。</w:t>
      </w:r>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286" w:name="_Toc90713344"/>
      <w:bookmarkStart w:id="287" w:name="_Toc16089956"/>
      <w:bookmarkStart w:id="288" w:name="_Toc29558"/>
      <w:bookmarkStart w:id="289" w:name="_Toc15671"/>
      <w:bookmarkStart w:id="290" w:name="_Toc482378964"/>
      <w:bookmarkStart w:id="291" w:name="_Toc14214"/>
      <w:bookmarkStart w:id="292" w:name="_Toc15912338"/>
      <w:bookmarkStart w:id="293" w:name="_Toc90712525"/>
      <w:bookmarkStart w:id="294" w:name="_Toc44924385"/>
      <w:bookmarkStart w:id="295" w:name="_Toc16089898"/>
      <w:bookmarkStart w:id="296" w:name="_Toc109550785"/>
      <w:bookmarkStart w:id="297" w:name="_Toc109537509"/>
      <w:bookmarkStart w:id="298" w:name="_Toc482379010"/>
      <w:bookmarkStart w:id="299" w:name="_Toc516501163"/>
      <w:bookmarkStart w:id="300" w:name="_Toc482379056"/>
      <w:r>
        <w:rPr>
          <w:rFonts w:hint="eastAsia" w:ascii="宋体" w:hAnsi="宋体" w:eastAsia="宋体"/>
          <w:sz w:val="24"/>
          <w:szCs w:val="24"/>
        </w:rPr>
        <w:t>11. 磋商货币</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adjustRightInd w:val="0"/>
        <w:snapToGrid w:val="0"/>
        <w:spacing w:line="360" w:lineRule="auto"/>
        <w:rPr>
          <w:rFonts w:ascii="宋体" w:hAnsi="宋体"/>
          <w:sz w:val="24"/>
        </w:rPr>
      </w:pPr>
      <w:r>
        <w:rPr>
          <w:rFonts w:hint="eastAsia" w:ascii="宋体" w:hAnsi="宋体"/>
          <w:sz w:val="24"/>
        </w:rPr>
        <w:t>11.1磋商须以人民币报价。</w:t>
      </w:r>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301" w:name="_Toc15912339"/>
      <w:bookmarkStart w:id="302" w:name="_Toc29084"/>
      <w:bookmarkStart w:id="303" w:name="_Toc90712526"/>
      <w:bookmarkStart w:id="304" w:name="_Toc482379057"/>
      <w:bookmarkStart w:id="305" w:name="_Toc109537510"/>
      <w:bookmarkStart w:id="306" w:name="_Toc31807"/>
      <w:bookmarkStart w:id="307" w:name="_Toc90713345"/>
      <w:bookmarkStart w:id="308" w:name="_Toc16089957"/>
      <w:bookmarkStart w:id="309" w:name="_Toc29113"/>
      <w:bookmarkStart w:id="310" w:name="_Toc16089899"/>
      <w:bookmarkStart w:id="311" w:name="_Toc516501164"/>
      <w:bookmarkStart w:id="312" w:name="_Toc482378965"/>
      <w:bookmarkStart w:id="313" w:name="_Toc44924386"/>
      <w:bookmarkStart w:id="314" w:name="_Toc482379011"/>
      <w:bookmarkStart w:id="315" w:name="_Toc109550786"/>
      <w:r>
        <w:rPr>
          <w:rFonts w:hint="eastAsia" w:ascii="宋体" w:hAnsi="宋体" w:eastAsia="宋体"/>
          <w:sz w:val="24"/>
          <w:szCs w:val="24"/>
        </w:rPr>
        <w:t>12.证明供应商合格的资格文件</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pPr>
        <w:adjustRightInd w:val="0"/>
        <w:snapToGrid w:val="0"/>
        <w:spacing w:line="360" w:lineRule="auto"/>
        <w:rPr>
          <w:rFonts w:ascii="宋体" w:hAnsi="宋体"/>
          <w:sz w:val="24"/>
        </w:rPr>
      </w:pPr>
      <w:r>
        <w:rPr>
          <w:rFonts w:hint="eastAsia" w:ascii="宋体" w:hAnsi="宋体"/>
          <w:sz w:val="24"/>
        </w:rPr>
        <w:t>12.1供应商在其磋商响应文件中，应提供证明其有资格参加磋商和成交后有能力履行合同的资质证明文件。</w:t>
      </w:r>
    </w:p>
    <w:p>
      <w:pPr>
        <w:adjustRightInd w:val="0"/>
        <w:snapToGrid w:val="0"/>
        <w:spacing w:line="360" w:lineRule="auto"/>
        <w:rPr>
          <w:rFonts w:ascii="宋体" w:hAnsi="宋体"/>
          <w:sz w:val="24"/>
        </w:rPr>
      </w:pPr>
      <w:r>
        <w:rPr>
          <w:rFonts w:hint="eastAsia" w:ascii="宋体" w:hAnsi="宋体"/>
          <w:sz w:val="24"/>
        </w:rPr>
        <w:t>12.2供应商必须具有履行合同所必需的服务和财务管理等方面的能力。</w:t>
      </w:r>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316" w:name="_Toc90713346"/>
      <w:bookmarkStart w:id="317" w:name="_Toc15912340"/>
      <w:bookmarkStart w:id="318" w:name="_Toc19998"/>
      <w:bookmarkStart w:id="319" w:name="_Toc482378966"/>
      <w:bookmarkStart w:id="320" w:name="_Toc482379012"/>
      <w:bookmarkStart w:id="321" w:name="_Toc90712527"/>
      <w:bookmarkStart w:id="322" w:name="_Toc16089900"/>
      <w:bookmarkStart w:id="323" w:name="_Toc32467"/>
      <w:bookmarkStart w:id="324" w:name="_Toc516501165"/>
      <w:bookmarkStart w:id="325" w:name="_Toc109550787"/>
      <w:bookmarkStart w:id="326" w:name="_Toc16089958"/>
      <w:bookmarkStart w:id="327" w:name="_Toc44924387"/>
      <w:bookmarkStart w:id="328" w:name="_Toc22484"/>
      <w:bookmarkStart w:id="329" w:name="_Toc482379058"/>
      <w:bookmarkStart w:id="330" w:name="_Toc109537511"/>
      <w:r>
        <w:rPr>
          <w:rFonts w:hint="eastAsia" w:ascii="宋体" w:hAnsi="宋体" w:eastAsia="宋体"/>
          <w:sz w:val="24"/>
          <w:szCs w:val="24"/>
        </w:rPr>
        <w:t>13.证明投标产品的合格性和符合磋商文件规定的文件</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pPr>
        <w:adjustRightInd w:val="0"/>
        <w:snapToGrid w:val="0"/>
        <w:spacing w:line="360" w:lineRule="auto"/>
        <w:rPr>
          <w:rFonts w:ascii="宋体" w:hAnsi="宋体"/>
          <w:sz w:val="24"/>
        </w:rPr>
      </w:pPr>
      <w:r>
        <w:rPr>
          <w:rFonts w:hint="eastAsia" w:ascii="宋体" w:hAnsi="宋体"/>
          <w:sz w:val="24"/>
        </w:rPr>
        <w:t>13.1供应商应按照磋商文件要求，提供文件证明其提供服务的合格性，且符合磋商文件的规定，并作为其磋商响应文件的一部分。</w:t>
      </w:r>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331" w:name="_Toc18363"/>
      <w:bookmarkStart w:id="332" w:name="_Toc109537512"/>
      <w:bookmarkStart w:id="333" w:name="_Toc16089901"/>
      <w:bookmarkStart w:id="334" w:name="_Toc44924388"/>
      <w:bookmarkStart w:id="335" w:name="_Toc15912341"/>
      <w:bookmarkStart w:id="336" w:name="_Toc482379059"/>
      <w:bookmarkStart w:id="337" w:name="_Toc4285"/>
      <w:bookmarkStart w:id="338" w:name="_Toc109550788"/>
      <w:bookmarkStart w:id="339" w:name="_Toc16089959"/>
      <w:bookmarkStart w:id="340" w:name="_Toc516501166"/>
      <w:bookmarkStart w:id="341" w:name="_Toc482378967"/>
      <w:bookmarkStart w:id="342" w:name="_Toc482379013"/>
      <w:bookmarkStart w:id="343" w:name="_Toc90713347"/>
      <w:bookmarkStart w:id="344" w:name="_Toc15764"/>
      <w:bookmarkStart w:id="345" w:name="_Toc90712528"/>
      <w:r>
        <w:rPr>
          <w:rFonts w:hint="eastAsia" w:ascii="宋体" w:hAnsi="宋体" w:eastAsia="宋体"/>
          <w:sz w:val="24"/>
          <w:szCs w:val="24"/>
        </w:rPr>
        <w:t>14.磋商保证金</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pPr>
        <w:adjustRightInd w:val="0"/>
        <w:snapToGrid w:val="0"/>
        <w:spacing w:line="360" w:lineRule="auto"/>
        <w:ind w:firstLine="360" w:firstLineChars="150"/>
        <w:rPr>
          <w:rFonts w:ascii="宋体" w:hAnsi="宋体"/>
          <w:sz w:val="24"/>
        </w:rPr>
      </w:pPr>
      <w:bookmarkStart w:id="346" w:name="_Toc90713348"/>
      <w:bookmarkStart w:id="347" w:name="_Toc109550789"/>
      <w:bookmarkStart w:id="348" w:name="_Toc109537513"/>
      <w:bookmarkStart w:id="349" w:name="_Toc90712529"/>
      <w:r>
        <w:rPr>
          <w:rFonts w:hint="eastAsia" w:ascii="宋体" w:hAnsi="宋体"/>
          <w:sz w:val="24"/>
        </w:rPr>
        <w:t>根据河南省财政厅关于优化政府采购营商环境有关问题的通知（豫财购（2019）4号），取消政府采购投标保证金。</w:t>
      </w:r>
      <w:r>
        <w:rPr>
          <w:rFonts w:ascii="宋体" w:hAnsi="宋体" w:cs="宋体"/>
          <w:kern w:val="0"/>
          <w:sz w:val="24"/>
        </w:rPr>
        <w:t>本项目不再要求缴纳</w:t>
      </w:r>
      <w:r>
        <w:rPr>
          <w:rFonts w:hint="eastAsia" w:ascii="宋体" w:hAnsi="宋体" w:cs="宋体"/>
          <w:kern w:val="0"/>
          <w:sz w:val="24"/>
        </w:rPr>
        <w:t>磋商</w:t>
      </w:r>
      <w:r>
        <w:rPr>
          <w:rFonts w:ascii="宋体" w:hAnsi="宋体" w:cs="宋体"/>
          <w:kern w:val="0"/>
          <w:sz w:val="24"/>
        </w:rPr>
        <w:t>保证金</w:t>
      </w:r>
      <w:r>
        <w:rPr>
          <w:rFonts w:hint="eastAsia" w:ascii="宋体" w:hAnsi="宋体" w:cs="宋体"/>
          <w:kern w:val="0"/>
          <w:sz w:val="24"/>
        </w:rPr>
        <w:t>。</w:t>
      </w:r>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350" w:name="_Toc482379014"/>
      <w:bookmarkStart w:id="351" w:name="_Toc16089960"/>
      <w:bookmarkStart w:id="352" w:name="_Toc44924389"/>
      <w:bookmarkStart w:id="353" w:name="_Toc482378968"/>
      <w:bookmarkStart w:id="354" w:name="_Toc711"/>
      <w:bookmarkStart w:id="355" w:name="_Toc15912342"/>
      <w:bookmarkStart w:id="356" w:name="_Toc16089902"/>
      <w:bookmarkStart w:id="357" w:name="_Toc482379060"/>
      <w:bookmarkStart w:id="358" w:name="_Toc23896"/>
      <w:bookmarkStart w:id="359" w:name="_Toc5917"/>
      <w:bookmarkStart w:id="360" w:name="_Toc516501167"/>
      <w:r>
        <w:rPr>
          <w:rFonts w:hint="eastAsia" w:ascii="宋体" w:hAnsi="宋体" w:eastAsia="宋体"/>
          <w:sz w:val="24"/>
          <w:szCs w:val="24"/>
        </w:rPr>
        <w:t>15. 磋商有效期</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adjustRightInd w:val="0"/>
        <w:snapToGrid w:val="0"/>
        <w:spacing w:line="360" w:lineRule="auto"/>
        <w:rPr>
          <w:rFonts w:ascii="宋体" w:hAnsi="宋体"/>
          <w:sz w:val="24"/>
        </w:rPr>
      </w:pPr>
      <w:r>
        <w:rPr>
          <w:rFonts w:hint="eastAsia" w:ascii="宋体" w:hAnsi="宋体"/>
          <w:sz w:val="24"/>
        </w:rPr>
        <w:t>15.1本次磋商的有效期为：见“磋商项目资料表”中的磋商有效期要求。供应商承诺的磋商有效期短于此规定时间的，将被视为非实质性响应而予以拒绝。</w:t>
      </w:r>
    </w:p>
    <w:p>
      <w:pPr>
        <w:adjustRightInd w:val="0"/>
        <w:snapToGrid w:val="0"/>
        <w:spacing w:line="360" w:lineRule="auto"/>
        <w:rPr>
          <w:rFonts w:ascii="宋体" w:hAnsi="宋体"/>
          <w:sz w:val="24"/>
        </w:rPr>
      </w:pPr>
      <w:r>
        <w:rPr>
          <w:rFonts w:hint="eastAsia" w:ascii="宋体" w:hAnsi="宋体"/>
          <w:sz w:val="24"/>
        </w:rPr>
        <w:t>15.2在特殊情况下，采购人可于原磋商有效期满之前，向供应商提出延长磋商有效期的要求。这种要求与答复均采用书面形式如传真、信件或电报等。</w:t>
      </w:r>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361" w:name="_Toc516501168"/>
      <w:bookmarkStart w:id="362" w:name="_Toc16089903"/>
      <w:bookmarkStart w:id="363" w:name="_Toc14670"/>
      <w:bookmarkStart w:id="364" w:name="_Toc15912343"/>
      <w:bookmarkStart w:id="365" w:name="_Toc90712530"/>
      <w:bookmarkStart w:id="366" w:name="_Toc109550790"/>
      <w:bookmarkStart w:id="367" w:name="_Toc482379015"/>
      <w:bookmarkStart w:id="368" w:name="_Toc482379061"/>
      <w:bookmarkStart w:id="369" w:name="_Toc44924390"/>
      <w:bookmarkStart w:id="370" w:name="_Toc482378969"/>
      <w:bookmarkStart w:id="371" w:name="_Toc109537514"/>
      <w:bookmarkStart w:id="372" w:name="_Toc90713349"/>
      <w:bookmarkStart w:id="373" w:name="_Toc21812"/>
      <w:bookmarkStart w:id="374" w:name="_Toc32615"/>
      <w:bookmarkStart w:id="375" w:name="_Toc16089961"/>
      <w:r>
        <w:rPr>
          <w:rFonts w:hint="eastAsia" w:ascii="宋体" w:hAnsi="宋体" w:eastAsia="宋体"/>
          <w:sz w:val="24"/>
          <w:szCs w:val="24"/>
        </w:rPr>
        <w:t>16.磋商响应文件份数和签署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pPr>
        <w:spacing w:line="360" w:lineRule="auto"/>
        <w:rPr>
          <w:rFonts w:ascii="宋体" w:hAnsi="宋体"/>
          <w:sz w:val="24"/>
        </w:rPr>
      </w:pPr>
      <w:bookmarkStart w:id="376" w:name="_Toc381360396"/>
      <w:bookmarkStart w:id="377" w:name="_Toc1143"/>
      <w:r>
        <w:rPr>
          <w:rFonts w:hint="eastAsia" w:ascii="宋体" w:hAnsi="宋体"/>
          <w:sz w:val="24"/>
        </w:rPr>
        <w:t>16.1响应文件的密封和标</w:t>
      </w:r>
      <w:bookmarkEnd w:id="376"/>
      <w:bookmarkEnd w:id="377"/>
      <w:r>
        <w:rPr>
          <w:rFonts w:hint="eastAsia" w:ascii="宋体" w:hAnsi="宋体"/>
          <w:sz w:val="24"/>
        </w:rPr>
        <w:t>记</w:t>
      </w:r>
    </w:p>
    <w:p>
      <w:pPr>
        <w:spacing w:line="360" w:lineRule="auto"/>
        <w:rPr>
          <w:rFonts w:ascii="宋体" w:hAnsi="宋体"/>
          <w:sz w:val="24"/>
        </w:rPr>
      </w:pPr>
      <w:r>
        <w:rPr>
          <w:rFonts w:hint="eastAsia" w:ascii="宋体" w:hAnsi="宋体"/>
          <w:sz w:val="24"/>
        </w:rPr>
        <w:t>16.1.1响应文件外封面、封口按照磋商文件规定的格式执行。</w:t>
      </w:r>
    </w:p>
    <w:p>
      <w:pPr>
        <w:spacing w:line="360" w:lineRule="auto"/>
        <w:rPr>
          <w:rFonts w:ascii="宋体" w:hAnsi="宋体"/>
          <w:sz w:val="24"/>
        </w:rPr>
      </w:pPr>
      <w:r>
        <w:rPr>
          <w:rFonts w:hint="eastAsia" w:ascii="宋体" w:hAnsi="宋体"/>
          <w:sz w:val="24"/>
        </w:rPr>
        <w:t>16.1.2响应人应将响应文件装订成册，用非透明文件袋将正本和副本分别密封，在密封袋封签处加盖公章，并标明“项目名称”、“项目编号”、“供应商名称”及“正本”或“副本”及“在 年 月 日 时 分之前不得启封”字样。</w:t>
      </w:r>
    </w:p>
    <w:p>
      <w:pPr>
        <w:spacing w:line="360" w:lineRule="auto"/>
        <w:rPr>
          <w:rFonts w:ascii="宋体" w:hAnsi="宋体"/>
          <w:sz w:val="24"/>
        </w:rPr>
      </w:pPr>
      <w:r>
        <w:rPr>
          <w:rFonts w:hint="eastAsia" w:ascii="宋体" w:hAnsi="宋体"/>
          <w:sz w:val="24"/>
        </w:rPr>
        <w:t>16.1.3 响应人应提供响应文件正本（一份）和副本（叁份）、电子版一份。</w:t>
      </w:r>
    </w:p>
    <w:p>
      <w:pPr>
        <w:spacing w:line="336" w:lineRule="auto"/>
        <w:rPr>
          <w:rFonts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响应性</w:t>
      </w:r>
      <w:r>
        <w:rPr>
          <w:rFonts w:ascii="宋体" w:hAnsi="宋体"/>
          <w:sz w:val="24"/>
        </w:rPr>
        <w:t>文件格式所要求包含的全部资料应全部制作在</w:t>
      </w:r>
      <w:r>
        <w:rPr>
          <w:rFonts w:hint="eastAsia" w:ascii="宋体" w:hAnsi="宋体"/>
          <w:sz w:val="24"/>
        </w:rPr>
        <w:t>响应性</w:t>
      </w:r>
      <w:r>
        <w:rPr>
          <w:rFonts w:ascii="宋体" w:hAnsi="宋体"/>
          <w:sz w:val="24"/>
        </w:rPr>
        <w:t>文件内，严格按照本项目</w:t>
      </w:r>
      <w:r>
        <w:rPr>
          <w:rFonts w:hint="eastAsia" w:ascii="宋体" w:hAnsi="宋体"/>
          <w:sz w:val="24"/>
        </w:rPr>
        <w:t>磋商</w:t>
      </w:r>
      <w:r>
        <w:rPr>
          <w:rFonts w:ascii="宋体" w:hAnsi="宋体"/>
          <w:sz w:val="24"/>
        </w:rPr>
        <w:t>文件所有格式如实填写（不涉及的内容除外），不应存在漏项或缺项，否则将存在</w:t>
      </w:r>
      <w:r>
        <w:rPr>
          <w:rFonts w:hint="eastAsia" w:ascii="宋体" w:hAnsi="宋体"/>
          <w:sz w:val="24"/>
        </w:rPr>
        <w:t>响应性</w:t>
      </w:r>
      <w:r>
        <w:rPr>
          <w:rFonts w:ascii="宋体" w:hAnsi="宋体"/>
          <w:sz w:val="24"/>
        </w:rPr>
        <w:t>文件被拒绝的风险。</w:t>
      </w:r>
    </w:p>
    <w:p>
      <w:pPr>
        <w:spacing w:line="336" w:lineRule="auto"/>
        <w:rPr>
          <w:rFonts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4</w:t>
      </w:r>
      <w:r>
        <w:rPr>
          <w:rFonts w:ascii="宋体" w:hAnsi="宋体"/>
          <w:sz w:val="24"/>
        </w:rPr>
        <w:t xml:space="preserve"> </w:t>
      </w:r>
      <w:r>
        <w:rPr>
          <w:rFonts w:hint="eastAsia" w:ascii="宋体" w:hAnsi="宋体"/>
          <w:sz w:val="24"/>
        </w:rPr>
        <w:t>响应性文件</w:t>
      </w:r>
      <w:r>
        <w:rPr>
          <w:rFonts w:ascii="宋体" w:hAnsi="宋体"/>
          <w:sz w:val="24"/>
        </w:rPr>
        <w:t>以外的任何资料</w:t>
      </w:r>
      <w:r>
        <w:rPr>
          <w:rFonts w:hint="eastAsia" w:ascii="宋体" w:hAnsi="宋体"/>
          <w:sz w:val="24"/>
        </w:rPr>
        <w:t>采购人和采购代理</w:t>
      </w:r>
      <w:r>
        <w:rPr>
          <w:rFonts w:ascii="宋体" w:hAnsi="宋体"/>
          <w:sz w:val="24"/>
        </w:rPr>
        <w:t>机构将拒收。</w:t>
      </w:r>
    </w:p>
    <w:p>
      <w:pPr>
        <w:pStyle w:val="4"/>
        <w:keepNext w:val="0"/>
        <w:keepLines w:val="0"/>
        <w:adjustRightInd w:val="0"/>
        <w:snapToGrid w:val="0"/>
        <w:spacing w:before="0" w:after="0" w:line="336" w:lineRule="auto"/>
        <w:textAlignment w:val="baseline"/>
        <w:rPr>
          <w:rFonts w:ascii="宋体" w:hAnsi="宋体" w:eastAsia="宋体"/>
          <w:sz w:val="24"/>
          <w:szCs w:val="24"/>
        </w:rPr>
      </w:pPr>
      <w:bookmarkStart w:id="378" w:name="_Toc482378970"/>
      <w:bookmarkStart w:id="379" w:name="_Toc109537515"/>
      <w:bookmarkStart w:id="380" w:name="_Toc44924391"/>
      <w:bookmarkStart w:id="381" w:name="_Toc1765"/>
      <w:bookmarkStart w:id="382" w:name="_Toc90712531"/>
      <w:bookmarkStart w:id="383" w:name="_Toc482379062"/>
      <w:bookmarkStart w:id="384" w:name="_Toc516501169"/>
      <w:bookmarkStart w:id="385" w:name="_Toc13182"/>
      <w:bookmarkStart w:id="386" w:name="_Toc109550791"/>
      <w:bookmarkStart w:id="387" w:name="_Toc16089962"/>
      <w:bookmarkStart w:id="388" w:name="_Toc15912344"/>
      <w:bookmarkStart w:id="389" w:name="_Toc90713350"/>
      <w:bookmarkStart w:id="390" w:name="_Toc16089904"/>
      <w:bookmarkStart w:id="391" w:name="_Toc5334"/>
      <w:bookmarkStart w:id="392" w:name="_Toc482379016"/>
      <w:r>
        <w:rPr>
          <w:rFonts w:hint="eastAsia" w:ascii="宋体" w:hAnsi="宋体" w:eastAsia="宋体"/>
          <w:sz w:val="24"/>
          <w:szCs w:val="24"/>
        </w:rPr>
        <w:t>四 磋商供应商响应文件的递交</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pPr>
        <w:pStyle w:val="4"/>
        <w:numPr>
          <w:ilvl w:val="1"/>
          <w:numId w:val="0"/>
        </w:numPr>
        <w:tabs>
          <w:tab w:val="left" w:pos="600"/>
        </w:tabs>
        <w:adjustRightInd w:val="0"/>
        <w:snapToGrid w:val="0"/>
        <w:spacing w:before="0" w:after="0" w:line="336" w:lineRule="auto"/>
        <w:ind w:left="1494" w:right="2" w:hanging="1494"/>
        <w:jc w:val="both"/>
        <w:rPr>
          <w:rFonts w:ascii="宋体" w:hAnsi="宋体" w:eastAsia="宋体"/>
          <w:sz w:val="24"/>
          <w:szCs w:val="24"/>
        </w:rPr>
      </w:pPr>
      <w:bookmarkStart w:id="393" w:name="_Toc90712532"/>
      <w:bookmarkStart w:id="394" w:name="_Toc27231"/>
      <w:bookmarkStart w:id="395" w:name="_Toc16089905"/>
      <w:bookmarkStart w:id="396" w:name="_Toc15912345"/>
      <w:bookmarkStart w:id="397" w:name="_Toc90713351"/>
      <w:bookmarkStart w:id="398" w:name="_Toc482378971"/>
      <w:bookmarkStart w:id="399" w:name="_Toc44924392"/>
      <w:bookmarkStart w:id="400" w:name="_Toc16089963"/>
      <w:bookmarkStart w:id="401" w:name="_Toc482379017"/>
      <w:bookmarkStart w:id="402" w:name="_Toc109537516"/>
      <w:bookmarkStart w:id="403" w:name="_Toc109550792"/>
      <w:bookmarkStart w:id="404" w:name="_Toc482379063"/>
      <w:bookmarkStart w:id="405" w:name="_Toc516501170"/>
      <w:bookmarkStart w:id="406" w:name="_Toc8871"/>
      <w:bookmarkStart w:id="407" w:name="_Toc4623"/>
      <w:r>
        <w:rPr>
          <w:rFonts w:hint="eastAsia" w:ascii="宋体" w:hAnsi="宋体" w:eastAsia="宋体"/>
          <w:sz w:val="24"/>
          <w:szCs w:val="24"/>
        </w:rPr>
        <w:t>17.磋商供应商响应文件的</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hint="eastAsia" w:ascii="宋体" w:hAnsi="宋体" w:eastAsia="宋体"/>
          <w:sz w:val="24"/>
          <w:szCs w:val="24"/>
        </w:rPr>
        <w:t>递交</w:t>
      </w:r>
      <w:bookmarkEnd w:id="407"/>
    </w:p>
    <w:p>
      <w:pPr>
        <w:spacing w:line="336" w:lineRule="auto"/>
        <w:rPr>
          <w:rFonts w:ascii="宋体" w:hAnsi="宋体"/>
          <w:sz w:val="24"/>
        </w:rPr>
      </w:pPr>
      <w:bookmarkStart w:id="408" w:name="_Toc109550793"/>
      <w:bookmarkStart w:id="409" w:name="_Toc90713352"/>
      <w:bookmarkStart w:id="410" w:name="_Toc109537517"/>
      <w:bookmarkStart w:id="411" w:name="_Toc90712533"/>
      <w:bookmarkStart w:id="412" w:name="_Toc16089964"/>
      <w:bookmarkStart w:id="413" w:name="_Toc15917"/>
      <w:bookmarkStart w:id="414" w:name="_Toc15912346"/>
      <w:bookmarkStart w:id="415" w:name="_Toc44924393"/>
      <w:bookmarkStart w:id="416" w:name="_Toc482378972"/>
      <w:bookmarkStart w:id="417" w:name="_Toc3084"/>
      <w:bookmarkStart w:id="418" w:name="_Toc482379018"/>
      <w:bookmarkStart w:id="419" w:name="_Toc16089906"/>
      <w:bookmarkStart w:id="420" w:name="_Toc482379064"/>
      <w:bookmarkStart w:id="421" w:name="_Toc516501171"/>
      <w:r>
        <w:rPr>
          <w:rFonts w:hint="eastAsia" w:ascii="宋体" w:hAnsi="宋体"/>
          <w:sz w:val="24"/>
        </w:rPr>
        <w:t>17.1响应人应当在磋商文件要求提交响应文件的截止时间前，将响应文件密封送达投标地点。采购人或者采购代理机构收到响应文件后，将如实记载响应文件的送达时间和密封情况。任何单位和个人不得在开标前开启响应文件。</w:t>
      </w:r>
    </w:p>
    <w:p>
      <w:pPr>
        <w:spacing w:line="336" w:lineRule="auto"/>
        <w:rPr>
          <w:rFonts w:ascii="宋体" w:hAnsi="宋体"/>
          <w:sz w:val="24"/>
        </w:rPr>
      </w:pPr>
      <w:r>
        <w:rPr>
          <w:rFonts w:hint="eastAsia" w:ascii="宋体" w:hAnsi="宋体"/>
          <w:sz w:val="24"/>
        </w:rPr>
        <w:t>17.2逾期送达或者未按照磋商文件要求密封的响应文件，采购人、采购代理机构将拒收。　</w:t>
      </w:r>
    </w:p>
    <w:p>
      <w:pPr>
        <w:spacing w:line="336" w:lineRule="auto"/>
        <w:rPr>
          <w:rFonts w:ascii="宋体" w:hAnsi="宋体"/>
          <w:sz w:val="24"/>
        </w:rPr>
      </w:pPr>
      <w:r>
        <w:rPr>
          <w:rFonts w:hint="eastAsia" w:ascii="宋体" w:hAnsi="宋体"/>
          <w:sz w:val="24"/>
        </w:rPr>
        <w:t>18.迟交的</w:t>
      </w:r>
      <w:bookmarkEnd w:id="408"/>
      <w:bookmarkEnd w:id="409"/>
      <w:bookmarkEnd w:id="410"/>
      <w:bookmarkEnd w:id="411"/>
      <w:r>
        <w:rPr>
          <w:rFonts w:hint="eastAsia" w:ascii="宋体" w:hAnsi="宋体"/>
          <w:sz w:val="24"/>
        </w:rPr>
        <w:t>磋商供应商响应文件</w:t>
      </w:r>
      <w:bookmarkEnd w:id="412"/>
      <w:bookmarkEnd w:id="413"/>
      <w:bookmarkEnd w:id="414"/>
      <w:bookmarkEnd w:id="415"/>
      <w:bookmarkEnd w:id="416"/>
      <w:bookmarkEnd w:id="417"/>
      <w:bookmarkEnd w:id="418"/>
      <w:bookmarkEnd w:id="419"/>
      <w:bookmarkEnd w:id="420"/>
      <w:bookmarkEnd w:id="421"/>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18.1采购人将拒绝接受磋商开始后递交的磋商供应商响应文件。</w:t>
      </w:r>
    </w:p>
    <w:p>
      <w:pPr>
        <w:pStyle w:val="4"/>
        <w:numPr>
          <w:ilvl w:val="1"/>
          <w:numId w:val="0"/>
        </w:numPr>
        <w:tabs>
          <w:tab w:val="left" w:pos="600"/>
        </w:tabs>
        <w:adjustRightInd w:val="0"/>
        <w:snapToGrid w:val="0"/>
        <w:spacing w:before="0" w:after="0" w:line="336" w:lineRule="auto"/>
        <w:ind w:left="1494" w:right="2" w:hanging="1494"/>
        <w:jc w:val="both"/>
        <w:rPr>
          <w:rFonts w:ascii="宋体" w:hAnsi="宋体" w:eastAsia="宋体"/>
          <w:sz w:val="24"/>
          <w:szCs w:val="24"/>
        </w:rPr>
      </w:pPr>
      <w:bookmarkStart w:id="422" w:name="_Toc24518"/>
      <w:bookmarkStart w:id="423" w:name="_Toc516501172"/>
      <w:bookmarkStart w:id="424" w:name="_Toc482378973"/>
      <w:bookmarkStart w:id="425" w:name="_Toc16089907"/>
      <w:bookmarkStart w:id="426" w:name="_Toc109550794"/>
      <w:bookmarkStart w:id="427" w:name="_Toc20577"/>
      <w:bookmarkStart w:id="428" w:name="_Toc16089965"/>
      <w:bookmarkStart w:id="429" w:name="_Toc482379065"/>
      <w:bookmarkStart w:id="430" w:name="_Toc109537518"/>
      <w:bookmarkStart w:id="431" w:name="_Toc15912347"/>
      <w:bookmarkStart w:id="432" w:name="_Toc90713353"/>
      <w:bookmarkStart w:id="433" w:name="_Toc44924394"/>
      <w:bookmarkStart w:id="434" w:name="_Toc482379019"/>
      <w:bookmarkStart w:id="435" w:name="_Toc90712534"/>
      <w:bookmarkStart w:id="436" w:name="_Toc32373"/>
      <w:r>
        <w:rPr>
          <w:rFonts w:hint="eastAsia" w:ascii="宋体" w:hAnsi="宋体" w:eastAsia="宋体"/>
          <w:sz w:val="24"/>
          <w:szCs w:val="24"/>
        </w:rPr>
        <w:t>19.磋商供应商响应文件的修改和撤回</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pPr>
        <w:pStyle w:val="6"/>
        <w:spacing w:line="336" w:lineRule="auto"/>
        <w:ind w:firstLine="0" w:firstLineChars="0"/>
        <w:rPr>
          <w:rFonts w:ascii="宋体" w:hAnsi="宋体"/>
          <w:sz w:val="24"/>
          <w:szCs w:val="24"/>
        </w:rPr>
      </w:pPr>
      <w:bookmarkStart w:id="437" w:name="_Toc90713354"/>
      <w:bookmarkStart w:id="438" w:name="_Toc109537519"/>
      <w:bookmarkStart w:id="439" w:name="_Toc16089908"/>
      <w:bookmarkStart w:id="440" w:name="_Toc90712535"/>
      <w:bookmarkStart w:id="441" w:name="_Toc482379020"/>
      <w:bookmarkStart w:id="442" w:name="_Toc482379066"/>
      <w:bookmarkStart w:id="443" w:name="_Toc109550795"/>
      <w:bookmarkStart w:id="444" w:name="_Toc15912348"/>
      <w:bookmarkStart w:id="445" w:name="_Toc16089966"/>
      <w:bookmarkStart w:id="446" w:name="_Toc7049"/>
      <w:bookmarkStart w:id="447" w:name="_Toc44924395"/>
      <w:bookmarkStart w:id="448" w:name="_Toc516501173"/>
      <w:bookmarkStart w:id="449" w:name="_Toc482378974"/>
      <w:bookmarkStart w:id="450" w:name="_Toc19487"/>
      <w:r>
        <w:rPr>
          <w:rFonts w:hint="eastAsia" w:ascii="宋体" w:hAnsi="宋体"/>
          <w:sz w:val="24"/>
          <w:szCs w:val="24"/>
        </w:rPr>
        <w:t>19.1响应人在投标截止时间前，可以对所递交的响应文件进行补充、修改或者撤回，并书面通知采购人或者采购代理机构。补充、修改的内容应当按照招标文件要求签署、盖章、密封后，作为响应文件的组成部分。</w:t>
      </w:r>
    </w:p>
    <w:p>
      <w:pPr>
        <w:pStyle w:val="6"/>
        <w:spacing w:line="336" w:lineRule="auto"/>
        <w:ind w:firstLine="0" w:firstLineChars="0"/>
        <w:rPr>
          <w:rFonts w:ascii="宋体" w:hAnsi="宋体"/>
          <w:sz w:val="24"/>
          <w:szCs w:val="24"/>
        </w:rPr>
      </w:pPr>
      <w:r>
        <w:rPr>
          <w:rFonts w:hint="eastAsia" w:ascii="宋体" w:hAnsi="宋体"/>
          <w:sz w:val="24"/>
          <w:szCs w:val="24"/>
        </w:rPr>
        <w:t>19.2在投标截止时间后（即从开标之时起），响应人不得对其响应文件做任何修改。</w:t>
      </w:r>
    </w:p>
    <w:p>
      <w:pPr>
        <w:pStyle w:val="6"/>
        <w:spacing w:line="336" w:lineRule="auto"/>
        <w:ind w:firstLine="0" w:firstLineChars="0"/>
        <w:rPr>
          <w:rFonts w:ascii="宋体" w:hAnsi="宋体"/>
          <w:sz w:val="24"/>
          <w:szCs w:val="24"/>
        </w:rPr>
      </w:pPr>
      <w:r>
        <w:rPr>
          <w:rFonts w:hint="eastAsia" w:ascii="宋体" w:hAnsi="宋体"/>
          <w:sz w:val="24"/>
          <w:szCs w:val="24"/>
        </w:rPr>
        <w:t>19.3从投标截止时间至投标有效期期满，响应人不得撤回投标，否则投标保证金将被没收。响应人之间恶意串通而撤回投标的，除投标保证金被没收外，还将受到根据政府采购法律法规的有关规定作出的处理。</w:t>
      </w:r>
    </w:p>
    <w:p>
      <w:pPr>
        <w:pStyle w:val="4"/>
        <w:keepNext w:val="0"/>
        <w:keepLines w:val="0"/>
        <w:adjustRightInd w:val="0"/>
        <w:snapToGrid w:val="0"/>
        <w:spacing w:before="0" w:after="0" w:line="336" w:lineRule="auto"/>
        <w:jc w:val="left"/>
        <w:textAlignment w:val="baseline"/>
        <w:rPr>
          <w:rFonts w:ascii="宋体" w:hAnsi="宋体" w:eastAsia="宋体"/>
          <w:sz w:val="24"/>
          <w:szCs w:val="24"/>
        </w:rPr>
      </w:pPr>
      <w:bookmarkStart w:id="451" w:name="_Toc4742"/>
      <w:r>
        <w:rPr>
          <w:rFonts w:hint="eastAsia" w:ascii="宋体" w:hAnsi="宋体" w:eastAsia="宋体"/>
          <w:sz w:val="24"/>
          <w:szCs w:val="24"/>
        </w:rPr>
        <w:t>五 磋商过程</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4"/>
        <w:numPr>
          <w:ilvl w:val="1"/>
          <w:numId w:val="0"/>
        </w:numPr>
        <w:tabs>
          <w:tab w:val="left" w:pos="600"/>
        </w:tabs>
        <w:adjustRightInd w:val="0"/>
        <w:snapToGrid w:val="0"/>
        <w:spacing w:before="0" w:after="0" w:line="336" w:lineRule="auto"/>
        <w:ind w:left="1494" w:right="2" w:hanging="1494"/>
        <w:jc w:val="both"/>
        <w:rPr>
          <w:rFonts w:ascii="宋体" w:hAnsi="宋体" w:eastAsia="宋体"/>
          <w:sz w:val="24"/>
          <w:szCs w:val="24"/>
        </w:rPr>
      </w:pPr>
      <w:bookmarkStart w:id="452" w:name="_Toc90713355"/>
      <w:bookmarkStart w:id="453" w:name="_Toc109537520"/>
      <w:bookmarkStart w:id="454" w:name="_Toc16089909"/>
      <w:bookmarkStart w:id="455" w:name="_Toc109550796"/>
      <w:bookmarkStart w:id="456" w:name="_Toc16089967"/>
      <w:bookmarkStart w:id="457" w:name="_Toc482379067"/>
      <w:bookmarkStart w:id="458" w:name="_Toc482379021"/>
      <w:bookmarkStart w:id="459" w:name="_Toc28746"/>
      <w:bookmarkStart w:id="460" w:name="_Toc516501174"/>
      <w:bookmarkStart w:id="461" w:name="_Toc440"/>
      <w:bookmarkStart w:id="462" w:name="_Toc482378975"/>
      <w:bookmarkStart w:id="463" w:name="_Toc20312"/>
      <w:bookmarkStart w:id="464" w:name="_Toc15912349"/>
      <w:bookmarkStart w:id="465" w:name="_Toc44924396"/>
      <w:bookmarkStart w:id="466" w:name="_Toc90712536"/>
      <w:r>
        <w:rPr>
          <w:rFonts w:hint="eastAsia" w:ascii="宋体" w:hAnsi="宋体" w:eastAsia="宋体"/>
          <w:sz w:val="24"/>
          <w:szCs w:val="24"/>
        </w:rPr>
        <w:t>20.开始</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pPr>
        <w:pStyle w:val="6"/>
        <w:spacing w:line="336" w:lineRule="auto"/>
        <w:ind w:firstLine="0" w:firstLineChars="0"/>
        <w:rPr>
          <w:rFonts w:ascii="宋体" w:hAnsi="宋体"/>
          <w:sz w:val="24"/>
          <w:szCs w:val="24"/>
        </w:rPr>
      </w:pPr>
      <w:bookmarkStart w:id="467" w:name="_Toc109550797"/>
      <w:bookmarkStart w:id="468" w:name="_Toc90712537"/>
      <w:bookmarkStart w:id="469" w:name="_Toc90713356"/>
      <w:bookmarkStart w:id="470" w:name="_Toc109537521"/>
      <w:r>
        <w:rPr>
          <w:rFonts w:hint="eastAsia" w:ascii="宋体" w:hAnsi="宋体"/>
          <w:sz w:val="24"/>
          <w:szCs w:val="24"/>
        </w:rPr>
        <w:t>20</w:t>
      </w:r>
      <w:r>
        <w:rPr>
          <w:rFonts w:ascii="宋体" w:hAnsi="宋体"/>
          <w:sz w:val="24"/>
          <w:szCs w:val="24"/>
        </w:rPr>
        <w:t>.1 采购人或采购代理机构将在</w:t>
      </w:r>
      <w:r>
        <w:rPr>
          <w:rFonts w:hint="eastAsia" w:ascii="宋体" w:hAnsi="宋体"/>
          <w:sz w:val="24"/>
          <w:szCs w:val="24"/>
        </w:rPr>
        <w:t>“磋商项目资料表”</w:t>
      </w:r>
      <w:r>
        <w:rPr>
          <w:rFonts w:ascii="宋体" w:hAnsi="宋体"/>
          <w:sz w:val="24"/>
          <w:szCs w:val="24"/>
        </w:rPr>
        <w:t>中规定的日期、时间和地点组织磋商工作。</w:t>
      </w:r>
    </w:p>
    <w:p>
      <w:pPr>
        <w:pStyle w:val="4"/>
        <w:numPr>
          <w:ilvl w:val="1"/>
          <w:numId w:val="0"/>
        </w:numPr>
        <w:tabs>
          <w:tab w:val="left" w:pos="600"/>
        </w:tabs>
        <w:adjustRightInd w:val="0"/>
        <w:snapToGrid w:val="0"/>
        <w:spacing w:before="0" w:after="0" w:line="336" w:lineRule="auto"/>
        <w:ind w:left="1494" w:right="2" w:hanging="1494"/>
        <w:jc w:val="both"/>
        <w:rPr>
          <w:rFonts w:ascii="宋体" w:hAnsi="宋体" w:eastAsia="宋体"/>
          <w:sz w:val="24"/>
          <w:szCs w:val="24"/>
        </w:rPr>
      </w:pPr>
      <w:bookmarkStart w:id="471" w:name="_Toc6864"/>
      <w:bookmarkStart w:id="472" w:name="_Toc482378976"/>
      <w:bookmarkStart w:id="473" w:name="_Toc516501175"/>
      <w:bookmarkStart w:id="474" w:name="_Toc16089968"/>
      <w:bookmarkStart w:id="475" w:name="_Toc15912350"/>
      <w:bookmarkStart w:id="476" w:name="_Toc482379022"/>
      <w:bookmarkStart w:id="477" w:name="_Toc19557"/>
      <w:bookmarkStart w:id="478" w:name="_Toc29255"/>
      <w:bookmarkStart w:id="479" w:name="_Toc44924397"/>
      <w:bookmarkStart w:id="480" w:name="_Toc16089910"/>
      <w:bookmarkStart w:id="481" w:name="_Toc482379068"/>
      <w:r>
        <w:rPr>
          <w:rFonts w:hint="eastAsia" w:ascii="宋体" w:hAnsi="宋体" w:eastAsia="宋体"/>
          <w:sz w:val="24"/>
          <w:szCs w:val="24"/>
        </w:rPr>
        <w:t>21.</w:t>
      </w:r>
      <w:bookmarkEnd w:id="467"/>
      <w:bookmarkEnd w:id="468"/>
      <w:bookmarkEnd w:id="469"/>
      <w:bookmarkEnd w:id="470"/>
      <w:r>
        <w:rPr>
          <w:rFonts w:ascii="宋体" w:hAnsi="宋体" w:eastAsia="宋体"/>
          <w:sz w:val="24"/>
          <w:szCs w:val="24"/>
        </w:rPr>
        <w:t>磋商小组和</w:t>
      </w:r>
      <w:r>
        <w:rPr>
          <w:rFonts w:hint="eastAsia" w:ascii="宋体" w:hAnsi="宋体" w:eastAsia="宋体"/>
          <w:sz w:val="24"/>
          <w:szCs w:val="24"/>
        </w:rPr>
        <w:t>评审</w:t>
      </w:r>
      <w:r>
        <w:rPr>
          <w:rFonts w:ascii="宋体" w:hAnsi="宋体" w:eastAsia="宋体"/>
          <w:sz w:val="24"/>
          <w:szCs w:val="24"/>
        </w:rPr>
        <w:t>方法</w:t>
      </w:r>
      <w:bookmarkEnd w:id="471"/>
      <w:bookmarkEnd w:id="472"/>
      <w:bookmarkEnd w:id="473"/>
      <w:bookmarkEnd w:id="474"/>
      <w:bookmarkEnd w:id="475"/>
      <w:bookmarkEnd w:id="476"/>
      <w:bookmarkEnd w:id="477"/>
      <w:bookmarkEnd w:id="478"/>
      <w:bookmarkEnd w:id="479"/>
      <w:bookmarkEnd w:id="480"/>
      <w:bookmarkEnd w:id="481"/>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21.1磋商和评审由采购代理机构依法组建的磋商小组负责。</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21.2评审专家应从相关专家库内相关专业的专家名单中随机抽取。</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21.3磋商小组成员应当按照客观、公正、审慎的原则，根据磋商文件规定的评审程序、评审方法和评审标准进行独立评审。未实质性响应磋商文件的响应文件按无效响应处理。磋商文件内容违反国家有关强制性规定的，磋商小组应当停止评审并向采购人或者采购代理机构说明情况。</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21.4磋商小组将首先对响应文件进行初审。对初审合格的响应文件将按照本须知第21条对应的磋商程序进行磋商和评审。</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21.5在磋商期间，磋商小组可要求供应商对其响应文件进行澄清，但不得寻求、提供或允许对实质性内容做任何更改。有关澄清的要求和答复均应以书面形式提交。磋商小组不接受供应商主动提出的澄清、说明。</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21.6采购人、采购代理机构不得向磋商小组中的评审专家作倾向性、误导性的解释或者说明。</w:t>
      </w:r>
    </w:p>
    <w:p>
      <w:pPr>
        <w:pStyle w:val="6"/>
        <w:adjustRightInd w:val="0"/>
        <w:snapToGrid w:val="0"/>
        <w:spacing w:line="336" w:lineRule="auto"/>
        <w:ind w:firstLine="0" w:firstLineChars="0"/>
        <w:rPr>
          <w:rFonts w:ascii="宋体" w:hAnsi="宋体"/>
          <w:b/>
          <w:spacing w:val="10"/>
          <w:kern w:val="0"/>
          <w:sz w:val="24"/>
          <w:szCs w:val="24"/>
        </w:rPr>
      </w:pPr>
      <w:r>
        <w:rPr>
          <w:rFonts w:ascii="宋体" w:hAnsi="宋体"/>
          <w:b/>
          <w:spacing w:val="10"/>
          <w:kern w:val="0"/>
          <w:sz w:val="24"/>
          <w:szCs w:val="24"/>
        </w:rPr>
        <w:t>2</w:t>
      </w:r>
      <w:r>
        <w:rPr>
          <w:rFonts w:hint="eastAsia" w:ascii="宋体" w:hAnsi="宋体"/>
          <w:b/>
          <w:spacing w:val="10"/>
          <w:kern w:val="0"/>
          <w:sz w:val="24"/>
          <w:szCs w:val="24"/>
        </w:rPr>
        <w:t>2</w:t>
      </w:r>
      <w:r>
        <w:rPr>
          <w:rFonts w:ascii="宋体" w:hAnsi="宋体"/>
          <w:b/>
          <w:spacing w:val="10"/>
          <w:kern w:val="0"/>
          <w:sz w:val="24"/>
          <w:szCs w:val="24"/>
        </w:rPr>
        <w:t>.响应文件的初审</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22.1 磋商小组在对响应文件的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6"/>
        <w:adjustRightInd w:val="0"/>
        <w:snapToGrid w:val="0"/>
        <w:spacing w:line="336" w:lineRule="auto"/>
        <w:ind w:firstLine="0" w:firstLineChars="0"/>
        <w:rPr>
          <w:rFonts w:ascii="宋体" w:hAnsi="宋体"/>
          <w:sz w:val="24"/>
          <w:szCs w:val="24"/>
        </w:rPr>
      </w:pPr>
      <w:r>
        <w:rPr>
          <w:rFonts w:ascii="宋体" w:hAnsi="宋体"/>
          <w:spacing w:val="10"/>
          <w:kern w:val="0"/>
          <w:sz w:val="24"/>
          <w:szCs w:val="24"/>
        </w:rPr>
        <w:t>2</w:t>
      </w:r>
      <w:r>
        <w:rPr>
          <w:rFonts w:hint="eastAsia" w:ascii="宋体" w:hAnsi="宋体"/>
          <w:spacing w:val="10"/>
          <w:kern w:val="0"/>
          <w:sz w:val="24"/>
          <w:szCs w:val="24"/>
        </w:rPr>
        <w:t>2</w:t>
      </w:r>
      <w:r>
        <w:rPr>
          <w:rFonts w:ascii="宋体" w:hAnsi="宋体"/>
          <w:spacing w:val="10"/>
          <w:kern w:val="0"/>
          <w:sz w:val="24"/>
          <w:szCs w:val="24"/>
        </w:rPr>
        <w:t xml:space="preserve">.2 </w:t>
      </w:r>
      <w:r>
        <w:rPr>
          <w:rFonts w:hint="eastAsia" w:ascii="宋体" w:hAnsi="宋体"/>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22.3 算术错误将按下列方法更正：响应文件的大写金额和小写金额不一致的，以大写金额为准；磋商总价金额与按分项报价汇总金额不一致的，以分项报价金额计算结果为准；分项报价金额小数点有明显错位的，应以磋商总价为准，并修改分项报价。如果供应商不接受对其算术错误的更正，其响应文件可能被否决。</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22.4 对于响应文件中不构成实质性偏差的不正规、不一致或不规则，磋商小组可以接受。</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22.5 在详细评审之前，磋商小组要审查每份响应文件是否实质上响应了磋商文件的要求。实质上响应该是与磋商文件要求的关键条款、条件和规格相符，没有重大偏离。对关键条文的偏离、保留或反对，例如关于适用法律、税务、加注星号（“*”）的条款等内容的偏离将被认为是实质上的偏离。磋商小组决定响应文件的响应性只根据响应文件本身的真实无误的内容，而不依据外部的证据，但响应文件有违反法律、政策规定和不真实不正确的内容时除外。</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22.6没有实质性响应磋商文件要求的响应文件将被否决。供应商不得通过修正、补充或撤销不合要求的偏离或保留从而使其响应文件成为实质上响应的磋商文件。有下列情形之一者视为未实质性响应磋商文件，其响应文件将被否决：</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1）供应商与采购人有利害关系可能影响磋商公正性的；</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2）供应商参与项目前期咨询或磋商文件编制的；</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3）不同供应商负责人为同一人或者存在控股、管理关系的；</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4）响应文件未按磋商文件的要求签署的；</w:t>
      </w:r>
    </w:p>
    <w:p>
      <w:pPr>
        <w:pStyle w:val="6"/>
        <w:adjustRightInd w:val="0"/>
        <w:snapToGrid w:val="0"/>
        <w:spacing w:line="336" w:lineRule="auto"/>
        <w:ind w:firstLine="0" w:firstLineChars="0"/>
        <w:rPr>
          <w:rFonts w:ascii="宋体" w:hAnsi="宋体"/>
          <w:spacing w:val="10"/>
          <w:kern w:val="0"/>
          <w:sz w:val="24"/>
          <w:szCs w:val="24"/>
        </w:rPr>
      </w:pPr>
      <w:r>
        <w:rPr>
          <w:rFonts w:hint="eastAsia" w:ascii="宋体" w:hAnsi="宋体"/>
          <w:sz w:val="24"/>
          <w:szCs w:val="24"/>
        </w:rPr>
        <w:t>5）供应商的磋商函、资格证明材料未提供，或不符合国家规定或者磋商文件</w:t>
      </w:r>
      <w:r>
        <w:rPr>
          <w:rFonts w:ascii="宋体" w:hAnsi="宋体"/>
          <w:spacing w:val="10"/>
          <w:kern w:val="0"/>
          <w:sz w:val="24"/>
          <w:szCs w:val="24"/>
        </w:rPr>
        <w:t>要求的；</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6）同一供应商提交两个以上不同的方案或者磋商价格的，但磋商文件有要求的除外；</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7）磋商价格高于磋商文件设定的最高限价的；</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8）不接受磋商有效期要求的；</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9）供应商有串通磋商、弄虚作假、行贿等违法行为的；</w:t>
      </w:r>
    </w:p>
    <w:p>
      <w:pPr>
        <w:pStyle w:val="6"/>
        <w:adjustRightInd w:val="0"/>
        <w:snapToGrid w:val="0"/>
        <w:spacing w:line="336" w:lineRule="auto"/>
        <w:ind w:firstLine="0" w:firstLineChars="0"/>
        <w:rPr>
          <w:rFonts w:ascii="宋体" w:hAnsi="宋体"/>
          <w:b/>
          <w:spacing w:val="10"/>
          <w:kern w:val="0"/>
          <w:sz w:val="24"/>
          <w:szCs w:val="24"/>
        </w:rPr>
      </w:pPr>
      <w:r>
        <w:rPr>
          <w:rFonts w:ascii="宋体" w:hAnsi="宋体"/>
          <w:b/>
          <w:spacing w:val="10"/>
          <w:kern w:val="0"/>
          <w:sz w:val="24"/>
          <w:szCs w:val="24"/>
        </w:rPr>
        <w:t>2</w:t>
      </w:r>
      <w:r>
        <w:rPr>
          <w:rFonts w:hint="eastAsia" w:ascii="宋体" w:hAnsi="宋体"/>
          <w:b/>
          <w:spacing w:val="10"/>
          <w:kern w:val="0"/>
          <w:sz w:val="24"/>
          <w:szCs w:val="24"/>
        </w:rPr>
        <w:t>3</w:t>
      </w:r>
      <w:r>
        <w:rPr>
          <w:rFonts w:ascii="宋体" w:hAnsi="宋体"/>
          <w:b/>
          <w:spacing w:val="10"/>
          <w:kern w:val="0"/>
          <w:sz w:val="24"/>
          <w:szCs w:val="24"/>
        </w:rPr>
        <w:t>.磋商</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23.1 磋商小组将依次与通过响应文件初审的供应商代表进行磋商。磋商内容及要求详见本磋商文件，磋商小组与供应商代表仅能针对除磋商内容和要求中不得偏离部分以外的条款进行磋商。</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23.2 在磋商过程中，磋商小组可以根据磋商文件和磋商情况实质性变动采购需求中的技术、服务要求以及合同草案条款，但不得变动磋商文件中的其他内容。实质性变动的内容，须经采购人代表确认。</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23.3 对磋商文件作出的实质性变动是磋商文件的有效组成部分，磋商小组应当及时以书面形式同时通知所有参加磋商的供应商。</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23.4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23.5磋商结束后，磋商小组应当要求所有实质性响应的供应商在规定时间内提交最后报价，提交最后报价的供应商不得少于3家。</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23.6经磋商确定最终采购需求和提交最后报价的供应商后，由磋商小组采用综合评分法对提交最后报价的供应商的响应文件和最后报价进行综合评分。</w:t>
      </w:r>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23.7磋商小组按照综合得分由高到低的顺序推荐3名成交供应商候选人（文件中另有规定的除外）。成交价格为最后报价。并编制完成磋商报告。</w:t>
      </w:r>
    </w:p>
    <w:p>
      <w:pPr>
        <w:pStyle w:val="4"/>
        <w:keepNext w:val="0"/>
        <w:keepLines w:val="0"/>
        <w:adjustRightInd w:val="0"/>
        <w:snapToGrid w:val="0"/>
        <w:spacing w:before="0" w:after="0" w:line="336" w:lineRule="auto"/>
        <w:jc w:val="left"/>
        <w:textAlignment w:val="baseline"/>
        <w:rPr>
          <w:rFonts w:ascii="宋体" w:hAnsi="宋体" w:eastAsia="宋体"/>
          <w:sz w:val="24"/>
          <w:szCs w:val="24"/>
        </w:rPr>
      </w:pPr>
      <w:bookmarkStart w:id="482" w:name="_Toc28461"/>
      <w:bookmarkStart w:id="483" w:name="_Toc15912351"/>
      <w:bookmarkStart w:id="484" w:name="_Toc90712540"/>
      <w:bookmarkStart w:id="485" w:name="_Toc5185"/>
      <w:bookmarkStart w:id="486" w:name="_Toc482379023"/>
      <w:bookmarkStart w:id="487" w:name="_Toc17090"/>
      <w:bookmarkStart w:id="488" w:name="_Toc44924398"/>
      <w:bookmarkStart w:id="489" w:name="_Toc16089969"/>
      <w:bookmarkStart w:id="490" w:name="_Toc90713359"/>
      <w:bookmarkStart w:id="491" w:name="_Toc109550800"/>
      <w:bookmarkStart w:id="492" w:name="_Toc109537524"/>
      <w:bookmarkStart w:id="493" w:name="_Toc516501176"/>
      <w:bookmarkStart w:id="494" w:name="_Toc482379069"/>
      <w:bookmarkStart w:id="495" w:name="_Toc16089911"/>
      <w:bookmarkStart w:id="496" w:name="_Toc482378977"/>
      <w:r>
        <w:rPr>
          <w:rFonts w:hint="eastAsia" w:ascii="宋体" w:hAnsi="宋体" w:eastAsia="宋体"/>
          <w:sz w:val="24"/>
          <w:szCs w:val="24"/>
        </w:rPr>
        <w:t>六 授予合同</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pPr>
        <w:pStyle w:val="4"/>
        <w:numPr>
          <w:ilvl w:val="1"/>
          <w:numId w:val="0"/>
        </w:numPr>
        <w:tabs>
          <w:tab w:val="left" w:pos="600"/>
        </w:tabs>
        <w:adjustRightInd w:val="0"/>
        <w:snapToGrid w:val="0"/>
        <w:spacing w:before="0" w:after="0" w:line="336" w:lineRule="auto"/>
        <w:ind w:left="1494" w:right="2" w:hanging="1494"/>
        <w:jc w:val="both"/>
        <w:rPr>
          <w:rFonts w:ascii="宋体" w:hAnsi="宋体" w:eastAsia="宋体"/>
          <w:sz w:val="24"/>
          <w:szCs w:val="24"/>
        </w:rPr>
      </w:pPr>
      <w:bookmarkStart w:id="497" w:name="_Toc90713360"/>
      <w:bookmarkStart w:id="498" w:name="_Toc90712541"/>
      <w:bookmarkStart w:id="499" w:name="_Toc44924399"/>
      <w:bookmarkStart w:id="500" w:name="_Toc19323"/>
      <w:bookmarkStart w:id="501" w:name="_Toc16089970"/>
      <w:bookmarkStart w:id="502" w:name="_Toc516501177"/>
      <w:bookmarkStart w:id="503" w:name="_Toc109537525"/>
      <w:bookmarkStart w:id="504" w:name="_Toc109550801"/>
      <w:bookmarkStart w:id="505" w:name="_Toc482378978"/>
      <w:bookmarkStart w:id="506" w:name="_Toc16089912"/>
      <w:bookmarkStart w:id="507" w:name="_Toc15912352"/>
      <w:bookmarkStart w:id="508" w:name="_Toc13044"/>
      <w:bookmarkStart w:id="509" w:name="_Toc482379070"/>
      <w:bookmarkStart w:id="510" w:name="_Toc482379024"/>
      <w:bookmarkStart w:id="511" w:name="_Toc10285"/>
      <w:r>
        <w:rPr>
          <w:rFonts w:hint="eastAsia" w:ascii="宋体" w:hAnsi="宋体" w:eastAsia="宋体"/>
          <w:sz w:val="24"/>
          <w:szCs w:val="24"/>
        </w:rPr>
        <w:t>24.合同的授予</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24.1磋商结束后2个工作日内，采购代理机构根据磋商小组的推荐意见，将磋商情况写出磋商报告上报采购人。采购人应在收到磋商报告后5个工作日内按照磋商报告推荐排序确定成交供应商。采购代理机构在成交供应商确定后2个工作日内，在</w:t>
      </w:r>
      <w:r>
        <w:rPr>
          <w:rFonts w:hint="eastAsia"/>
          <w:sz w:val="24"/>
          <w:szCs w:val="24"/>
        </w:rPr>
        <w:t>《中国政府采购网》、《河南省政府采购网》、《河南省电子招标投标公共服务平台》、《南阳市政府采购网》</w:t>
      </w:r>
      <w:r>
        <w:rPr>
          <w:rFonts w:hint="eastAsia" w:ascii="宋体" w:hAnsi="宋体"/>
          <w:sz w:val="24"/>
          <w:szCs w:val="24"/>
        </w:rPr>
        <w:t>发布媒体上公告成交结果，同时向成交供应商发出成交通知书。</w:t>
      </w:r>
    </w:p>
    <w:p>
      <w:pPr>
        <w:pStyle w:val="4"/>
        <w:numPr>
          <w:ilvl w:val="1"/>
          <w:numId w:val="0"/>
        </w:numPr>
        <w:tabs>
          <w:tab w:val="left" w:pos="600"/>
        </w:tabs>
        <w:adjustRightInd w:val="0"/>
        <w:snapToGrid w:val="0"/>
        <w:spacing w:before="0" w:after="0" w:line="336" w:lineRule="auto"/>
        <w:ind w:left="1494" w:right="2" w:hanging="1494"/>
        <w:jc w:val="both"/>
        <w:rPr>
          <w:rFonts w:ascii="宋体" w:hAnsi="宋体" w:eastAsia="宋体"/>
          <w:sz w:val="24"/>
          <w:szCs w:val="24"/>
        </w:rPr>
      </w:pPr>
      <w:bookmarkStart w:id="512" w:name="_Toc15912353"/>
      <w:bookmarkStart w:id="513" w:name="_Toc482379025"/>
      <w:bookmarkStart w:id="514" w:name="_Toc29008"/>
      <w:bookmarkStart w:id="515" w:name="_Toc516501178"/>
      <w:bookmarkStart w:id="516" w:name="_Toc16089971"/>
      <w:bookmarkStart w:id="517" w:name="_Toc16089913"/>
      <w:bookmarkStart w:id="518" w:name="_Toc90712544"/>
      <w:bookmarkStart w:id="519" w:name="_Toc109550804"/>
      <w:bookmarkStart w:id="520" w:name="_Toc44924400"/>
      <w:bookmarkStart w:id="521" w:name="_Toc27189"/>
      <w:bookmarkStart w:id="522" w:name="_Toc482378979"/>
      <w:bookmarkStart w:id="523" w:name="_Toc482379071"/>
      <w:bookmarkStart w:id="524" w:name="_Toc90713363"/>
      <w:bookmarkStart w:id="525" w:name="_Toc109537528"/>
      <w:bookmarkStart w:id="526" w:name="_Toc9411"/>
      <w:r>
        <w:rPr>
          <w:rFonts w:hint="eastAsia" w:ascii="宋体" w:hAnsi="宋体" w:eastAsia="宋体"/>
          <w:sz w:val="24"/>
          <w:szCs w:val="24"/>
        </w:rPr>
        <w:t>25.成交服务费</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25.1成交供应商在领取成交通知书时，须向采购代理机构交纳“磋商项目资料表”中规定的代理服务费。</w:t>
      </w:r>
    </w:p>
    <w:p>
      <w:pPr>
        <w:pStyle w:val="4"/>
        <w:numPr>
          <w:ilvl w:val="1"/>
          <w:numId w:val="0"/>
        </w:numPr>
        <w:tabs>
          <w:tab w:val="left" w:pos="600"/>
        </w:tabs>
        <w:adjustRightInd w:val="0"/>
        <w:snapToGrid w:val="0"/>
        <w:spacing w:before="0" w:after="0" w:line="336" w:lineRule="auto"/>
        <w:ind w:left="1494" w:right="2" w:hanging="1494"/>
        <w:jc w:val="both"/>
        <w:rPr>
          <w:rFonts w:ascii="宋体" w:hAnsi="宋体" w:eastAsia="宋体"/>
          <w:sz w:val="24"/>
          <w:szCs w:val="24"/>
        </w:rPr>
      </w:pPr>
      <w:bookmarkStart w:id="527" w:name="_Toc16089972"/>
      <w:bookmarkStart w:id="528" w:name="_Toc16089914"/>
      <w:bookmarkStart w:id="529" w:name="_Toc516501179"/>
      <w:bookmarkStart w:id="530" w:name="_Toc26583"/>
      <w:bookmarkStart w:id="531" w:name="_Toc15039"/>
      <w:bookmarkStart w:id="532" w:name="_Toc90713365"/>
      <w:bookmarkStart w:id="533" w:name="_Toc21548"/>
      <w:bookmarkStart w:id="534" w:name="_Toc15912354"/>
      <w:bookmarkStart w:id="535" w:name="_Toc109550806"/>
      <w:bookmarkStart w:id="536" w:name="_Toc109537530"/>
      <w:bookmarkStart w:id="537" w:name="_Toc482378980"/>
      <w:bookmarkStart w:id="538" w:name="_Toc90712546"/>
      <w:bookmarkStart w:id="539" w:name="_Toc44924401"/>
      <w:bookmarkStart w:id="540" w:name="_Toc482379072"/>
      <w:bookmarkStart w:id="541" w:name="_Toc482379026"/>
      <w:r>
        <w:rPr>
          <w:rFonts w:hint="eastAsia" w:ascii="宋体" w:hAnsi="宋体" w:eastAsia="宋体"/>
          <w:sz w:val="24"/>
          <w:szCs w:val="24"/>
        </w:rPr>
        <w:t>26.签订合同</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pPr>
        <w:pStyle w:val="6"/>
        <w:adjustRightInd w:val="0"/>
        <w:snapToGrid w:val="0"/>
        <w:spacing w:line="336" w:lineRule="auto"/>
        <w:ind w:firstLine="0" w:firstLineChars="0"/>
        <w:rPr>
          <w:rFonts w:ascii="宋体" w:hAnsi="宋体"/>
          <w:sz w:val="24"/>
          <w:szCs w:val="24"/>
        </w:rPr>
      </w:pPr>
      <w:r>
        <w:rPr>
          <w:rFonts w:hint="eastAsia" w:ascii="宋体" w:hAnsi="宋体"/>
          <w:sz w:val="24"/>
          <w:szCs w:val="24"/>
        </w:rPr>
        <w:t>26.1成交供应商应按成交通知书指定的时间、地点与采购人签订合同。</w:t>
      </w:r>
    </w:p>
    <w:p>
      <w:pPr>
        <w:pStyle w:val="6"/>
        <w:adjustRightInd w:val="0"/>
        <w:snapToGrid w:val="0"/>
        <w:spacing w:line="336" w:lineRule="auto"/>
        <w:ind w:firstLine="0" w:firstLineChars="0"/>
        <w:rPr>
          <w:rFonts w:ascii="宋体" w:hAnsi="宋体"/>
          <w:sz w:val="28"/>
          <w:szCs w:val="28"/>
        </w:rPr>
      </w:pPr>
      <w:r>
        <w:rPr>
          <w:rFonts w:hint="eastAsia" w:ascii="宋体" w:hAnsi="宋体"/>
          <w:sz w:val="24"/>
          <w:szCs w:val="24"/>
        </w:rPr>
        <w:t>26.2如果成交供应商没有履行成交的各项承诺，采购人将取消该成交决定。在此情况下，采购人可将合同授予第二成交供应商或重新磋商。</w:t>
      </w:r>
    </w:p>
    <w:p>
      <w:pPr>
        <w:pStyle w:val="6"/>
        <w:tabs>
          <w:tab w:val="left" w:pos="0"/>
        </w:tabs>
        <w:spacing w:line="360" w:lineRule="auto"/>
        <w:ind w:firstLine="560"/>
        <w:jc w:val="center"/>
        <w:outlineLvl w:val="0"/>
        <w:rPr>
          <w:rFonts w:ascii="宋体" w:hAnsi="宋体"/>
          <w:b/>
          <w:bCs/>
          <w:sz w:val="28"/>
          <w:szCs w:val="36"/>
        </w:rPr>
      </w:pPr>
      <w:r>
        <w:rPr>
          <w:rFonts w:ascii="宋体" w:hAnsi="宋体"/>
          <w:sz w:val="28"/>
          <w:szCs w:val="28"/>
        </w:rPr>
        <w:br w:type="page"/>
      </w:r>
      <w:bookmarkStart w:id="542" w:name="_Toc90713368"/>
      <w:bookmarkStart w:id="543" w:name="_Toc413935724"/>
      <w:bookmarkStart w:id="544" w:name="_Toc90712549"/>
      <w:bookmarkStart w:id="545" w:name="_Toc11292"/>
      <w:bookmarkStart w:id="546" w:name="_Toc44924402"/>
      <w:bookmarkStart w:id="547" w:name="_Toc4962"/>
      <w:bookmarkStart w:id="548" w:name="_Toc11375"/>
      <w:r>
        <w:rPr>
          <w:rFonts w:hint="eastAsia" w:ascii="宋体" w:hAnsi="宋体"/>
          <w:b/>
          <w:bCs/>
          <w:sz w:val="32"/>
          <w:szCs w:val="40"/>
        </w:rPr>
        <w:t xml:space="preserve">第三部分 </w:t>
      </w:r>
      <w:bookmarkEnd w:id="542"/>
      <w:bookmarkEnd w:id="543"/>
      <w:bookmarkEnd w:id="544"/>
      <w:r>
        <w:rPr>
          <w:rFonts w:hint="eastAsia" w:ascii="宋体" w:hAnsi="宋体"/>
          <w:b/>
          <w:bCs/>
          <w:sz w:val="32"/>
          <w:szCs w:val="40"/>
        </w:rPr>
        <w:t xml:space="preserve"> 合同条款及格式</w:t>
      </w:r>
      <w:bookmarkEnd w:id="545"/>
      <w:bookmarkEnd w:id="546"/>
      <w:bookmarkEnd w:id="547"/>
      <w:bookmarkEnd w:id="548"/>
    </w:p>
    <w:p>
      <w:pPr>
        <w:spacing w:line="360" w:lineRule="auto"/>
        <w:rPr>
          <w:rFonts w:ascii="宋体" w:hAnsi="宋体"/>
          <w:sz w:val="24"/>
        </w:rPr>
      </w:pPr>
      <w:r>
        <w:rPr>
          <w:rFonts w:hint="eastAsia" w:ascii="宋体" w:hAnsi="宋体"/>
          <w:sz w:val="24"/>
        </w:rPr>
        <w:t>需方：</w:t>
      </w:r>
    </w:p>
    <w:p>
      <w:pPr>
        <w:spacing w:line="360" w:lineRule="auto"/>
        <w:rPr>
          <w:rFonts w:ascii="宋体" w:hAnsi="宋体"/>
          <w:b/>
          <w:sz w:val="24"/>
        </w:rPr>
      </w:pPr>
      <w:r>
        <w:rPr>
          <w:rFonts w:hint="eastAsia" w:ascii="宋体" w:hAnsi="宋体"/>
          <w:sz w:val="24"/>
        </w:rPr>
        <w:t>供方：</w:t>
      </w:r>
    </w:p>
    <w:p>
      <w:pPr>
        <w:spacing w:line="360" w:lineRule="auto"/>
        <w:ind w:firstLine="480"/>
        <w:rPr>
          <w:rFonts w:ascii="宋体" w:hAnsi="宋体"/>
          <w:sz w:val="24"/>
        </w:rPr>
      </w:pPr>
      <w:r>
        <w:rPr>
          <w:rFonts w:hint="eastAsia" w:ascii="宋体" w:hAnsi="宋体"/>
          <w:sz w:val="24"/>
        </w:rPr>
        <w:t>本合同于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日由需方和供方按下述条款签署。</w:t>
      </w:r>
    </w:p>
    <w:p>
      <w:pPr>
        <w:spacing w:line="360" w:lineRule="auto"/>
        <w:ind w:firstLine="480"/>
        <w:rPr>
          <w:rFonts w:ascii="宋体" w:hAnsi="宋体"/>
          <w:sz w:val="24"/>
        </w:rPr>
      </w:pPr>
      <w:r>
        <w:rPr>
          <w:rFonts w:hint="eastAsia" w:ascii="宋体" w:hAnsi="宋体"/>
          <w:sz w:val="24"/>
        </w:rPr>
        <w:t>在需方为获得</w:t>
      </w:r>
      <w:r>
        <w:rPr>
          <w:rFonts w:hint="eastAsia" w:ascii="宋体" w:hAnsi="宋体"/>
          <w:sz w:val="24"/>
          <w:u w:val="single"/>
        </w:rPr>
        <w:t>（货物和服务简介）</w:t>
      </w:r>
      <w:r>
        <w:rPr>
          <w:rFonts w:hint="eastAsia" w:ascii="宋体" w:hAnsi="宋体"/>
          <w:sz w:val="24"/>
        </w:rPr>
        <w:t>货物和伴随服务，邀请供方参加了该项目竞争性磋商采购，并接受了供方以总金额</w:t>
      </w:r>
      <w:r>
        <w:rPr>
          <w:rFonts w:hint="eastAsia" w:ascii="宋体" w:hAnsi="宋体"/>
          <w:sz w:val="24"/>
          <w:u w:val="single"/>
        </w:rPr>
        <w:t>（币种，用文字和数字表示的合同价）</w:t>
      </w:r>
      <w:r>
        <w:rPr>
          <w:rFonts w:hint="eastAsia" w:ascii="宋体" w:hAnsi="宋体"/>
          <w:sz w:val="24"/>
        </w:rPr>
        <w:t>（以下简称“合同价”）的投标。双方以上述事实为基础，签订本合同。</w:t>
      </w:r>
    </w:p>
    <w:p>
      <w:pPr>
        <w:spacing w:line="360" w:lineRule="auto"/>
        <w:ind w:firstLine="480"/>
        <w:rPr>
          <w:rFonts w:ascii="宋体" w:hAnsi="宋体"/>
          <w:sz w:val="24"/>
        </w:rPr>
      </w:pPr>
      <w:r>
        <w:rPr>
          <w:rFonts w:hint="eastAsia" w:ascii="宋体" w:hAnsi="宋体"/>
          <w:sz w:val="24"/>
        </w:rPr>
        <w:t>本合同在此声明如下：</w:t>
      </w:r>
    </w:p>
    <w:p>
      <w:pPr>
        <w:numPr>
          <w:ilvl w:val="0"/>
          <w:numId w:val="3"/>
        </w:numPr>
        <w:spacing w:line="360" w:lineRule="auto"/>
        <w:rPr>
          <w:rFonts w:ascii="宋体" w:hAnsi="宋体"/>
          <w:sz w:val="24"/>
        </w:rPr>
      </w:pPr>
      <w:r>
        <w:rPr>
          <w:rFonts w:hint="eastAsia" w:ascii="宋体" w:hAnsi="宋体"/>
          <w:sz w:val="24"/>
        </w:rPr>
        <w:t>本合同中的词语和术语的含义与合同条款中定义的相同.</w:t>
      </w:r>
    </w:p>
    <w:p>
      <w:pPr>
        <w:numPr>
          <w:ilvl w:val="0"/>
          <w:numId w:val="3"/>
        </w:numPr>
        <w:spacing w:line="360" w:lineRule="auto"/>
        <w:rPr>
          <w:rFonts w:ascii="宋体" w:hAnsi="宋体"/>
          <w:sz w:val="24"/>
        </w:rPr>
      </w:pPr>
      <w:r>
        <w:rPr>
          <w:rFonts w:hint="eastAsia" w:ascii="宋体" w:hAnsi="宋体"/>
          <w:sz w:val="24"/>
        </w:rPr>
        <w:t>下述文件作为合同签订的基础，是构成本合同的主要组成部分,并与本合同一起阅读和解释:</w:t>
      </w:r>
    </w:p>
    <w:p>
      <w:pPr>
        <w:numPr>
          <w:ilvl w:val="0"/>
          <w:numId w:val="4"/>
        </w:numPr>
        <w:spacing w:line="360" w:lineRule="auto"/>
        <w:outlineLvl w:val="1"/>
        <w:rPr>
          <w:rFonts w:ascii="宋体" w:hAnsi="宋体"/>
          <w:sz w:val="24"/>
        </w:rPr>
      </w:pPr>
      <w:bookmarkStart w:id="549" w:name="_Toc13240"/>
      <w:bookmarkStart w:id="550" w:name="_Toc28447"/>
      <w:bookmarkStart w:id="551" w:name="_Toc30365"/>
      <w:r>
        <w:rPr>
          <w:rFonts w:hint="eastAsia" w:ascii="宋体" w:hAnsi="宋体"/>
          <w:sz w:val="24"/>
        </w:rPr>
        <w:t>合同条款</w:t>
      </w:r>
      <w:bookmarkEnd w:id="549"/>
      <w:bookmarkEnd w:id="550"/>
      <w:bookmarkEnd w:id="551"/>
    </w:p>
    <w:p>
      <w:pPr>
        <w:numPr>
          <w:ilvl w:val="0"/>
          <w:numId w:val="4"/>
        </w:numPr>
        <w:spacing w:line="360" w:lineRule="auto"/>
        <w:outlineLvl w:val="1"/>
        <w:rPr>
          <w:rFonts w:ascii="宋体" w:hAnsi="宋体"/>
          <w:sz w:val="24"/>
        </w:rPr>
      </w:pPr>
      <w:bookmarkStart w:id="552" w:name="_Toc3778"/>
      <w:bookmarkStart w:id="553" w:name="_Toc23256"/>
      <w:bookmarkStart w:id="554" w:name="_Toc31675"/>
      <w:r>
        <w:rPr>
          <w:rFonts w:hint="eastAsia" w:ascii="宋体" w:hAnsi="宋体"/>
          <w:sz w:val="24"/>
        </w:rPr>
        <w:t>合同条款资料表</w:t>
      </w:r>
      <w:bookmarkEnd w:id="552"/>
      <w:bookmarkEnd w:id="553"/>
      <w:bookmarkEnd w:id="554"/>
    </w:p>
    <w:p>
      <w:pPr>
        <w:numPr>
          <w:ilvl w:val="0"/>
          <w:numId w:val="4"/>
        </w:numPr>
        <w:spacing w:line="360" w:lineRule="auto"/>
        <w:outlineLvl w:val="1"/>
        <w:rPr>
          <w:rFonts w:ascii="宋体" w:hAnsi="宋体"/>
          <w:sz w:val="24"/>
        </w:rPr>
      </w:pPr>
      <w:bookmarkStart w:id="555" w:name="_Toc21381"/>
      <w:bookmarkStart w:id="556" w:name="_Toc3266"/>
      <w:bookmarkStart w:id="557" w:name="_Toc29027"/>
      <w:r>
        <w:rPr>
          <w:rFonts w:hint="eastAsia" w:ascii="宋体" w:hAnsi="宋体"/>
          <w:sz w:val="24"/>
        </w:rPr>
        <w:t>合同条款附件</w:t>
      </w:r>
      <w:bookmarkEnd w:id="555"/>
      <w:bookmarkEnd w:id="556"/>
      <w:bookmarkEnd w:id="557"/>
    </w:p>
    <w:p>
      <w:pPr>
        <w:pStyle w:val="13"/>
        <w:spacing w:line="360" w:lineRule="auto"/>
        <w:ind w:left="960"/>
        <w:rPr>
          <w:rFonts w:hAnsi="宋体"/>
          <w:sz w:val="24"/>
          <w:szCs w:val="24"/>
        </w:rPr>
      </w:pPr>
      <w:r>
        <w:rPr>
          <w:rFonts w:hint="eastAsia" w:hAnsi="宋体"/>
          <w:sz w:val="24"/>
          <w:szCs w:val="24"/>
        </w:rPr>
        <w:t>附件1 供货范围及分项价格表</w:t>
      </w:r>
    </w:p>
    <w:p>
      <w:pPr>
        <w:pStyle w:val="13"/>
        <w:spacing w:line="360" w:lineRule="auto"/>
        <w:ind w:left="960"/>
        <w:rPr>
          <w:rFonts w:hAnsi="宋体"/>
          <w:sz w:val="24"/>
          <w:szCs w:val="24"/>
        </w:rPr>
      </w:pPr>
      <w:r>
        <w:rPr>
          <w:rFonts w:hint="eastAsia" w:hAnsi="宋体"/>
          <w:sz w:val="24"/>
          <w:szCs w:val="24"/>
        </w:rPr>
        <w:t>附件2 技术规格</w:t>
      </w:r>
    </w:p>
    <w:p>
      <w:pPr>
        <w:pStyle w:val="13"/>
        <w:spacing w:line="360" w:lineRule="auto"/>
        <w:ind w:left="960"/>
        <w:rPr>
          <w:rFonts w:hAnsi="宋体"/>
          <w:sz w:val="24"/>
          <w:szCs w:val="24"/>
        </w:rPr>
      </w:pPr>
      <w:r>
        <w:rPr>
          <w:rFonts w:hint="eastAsia" w:hAnsi="宋体"/>
          <w:sz w:val="24"/>
          <w:szCs w:val="24"/>
        </w:rPr>
        <w:t>附件3 交货计划</w:t>
      </w:r>
    </w:p>
    <w:p>
      <w:pPr>
        <w:pStyle w:val="13"/>
        <w:spacing w:line="360" w:lineRule="auto"/>
        <w:ind w:left="960"/>
        <w:rPr>
          <w:rFonts w:hAnsi="宋体"/>
          <w:sz w:val="24"/>
          <w:szCs w:val="24"/>
        </w:rPr>
      </w:pPr>
      <w:r>
        <w:rPr>
          <w:rFonts w:hint="eastAsia" w:hAnsi="宋体"/>
          <w:sz w:val="24"/>
          <w:szCs w:val="24"/>
        </w:rPr>
        <w:t>附件4 履约保函(格式)</w:t>
      </w:r>
    </w:p>
    <w:p>
      <w:pPr>
        <w:numPr>
          <w:ilvl w:val="0"/>
          <w:numId w:val="4"/>
        </w:numPr>
        <w:spacing w:line="360" w:lineRule="auto"/>
        <w:outlineLvl w:val="1"/>
        <w:rPr>
          <w:rFonts w:ascii="宋体" w:hAnsi="宋体"/>
          <w:sz w:val="24"/>
        </w:rPr>
      </w:pPr>
      <w:bookmarkStart w:id="558" w:name="_Toc9847"/>
      <w:bookmarkStart w:id="559" w:name="_Toc10438"/>
      <w:bookmarkStart w:id="560" w:name="_Toc9624"/>
      <w:r>
        <w:rPr>
          <w:rFonts w:hint="eastAsia" w:ascii="宋体" w:hAnsi="宋体"/>
          <w:sz w:val="24"/>
        </w:rPr>
        <w:t>中标通知书</w:t>
      </w:r>
      <w:bookmarkEnd w:id="558"/>
      <w:bookmarkEnd w:id="559"/>
      <w:bookmarkEnd w:id="560"/>
    </w:p>
    <w:p>
      <w:pPr>
        <w:numPr>
          <w:ilvl w:val="0"/>
          <w:numId w:val="3"/>
        </w:numPr>
        <w:spacing w:line="360" w:lineRule="auto"/>
        <w:rPr>
          <w:rFonts w:ascii="宋体" w:hAnsi="宋体"/>
          <w:sz w:val="24"/>
        </w:rPr>
      </w:pPr>
      <w:r>
        <w:rPr>
          <w:rFonts w:hint="eastAsia" w:ascii="宋体" w:hAnsi="宋体"/>
          <w:sz w:val="24"/>
        </w:rPr>
        <w:t>供方在此保证全部按照合同规定向需方提供货物和服务,并负责可能的弥补缺陷.</w:t>
      </w:r>
    </w:p>
    <w:p>
      <w:pPr>
        <w:numPr>
          <w:ilvl w:val="0"/>
          <w:numId w:val="3"/>
        </w:numPr>
        <w:spacing w:line="360" w:lineRule="auto"/>
        <w:rPr>
          <w:rFonts w:ascii="宋体" w:hAnsi="宋体"/>
          <w:sz w:val="24"/>
        </w:rPr>
      </w:pPr>
      <w:r>
        <w:rPr>
          <w:rFonts w:hint="eastAsia" w:ascii="宋体" w:hAnsi="宋体"/>
          <w:sz w:val="24"/>
        </w:rPr>
        <w:t>需方在此保证全部按照合同规定的时间和方式向供方支付合同价或其他按合同规定应支付的金额.</w:t>
      </w:r>
    </w:p>
    <w:p>
      <w:pPr>
        <w:spacing w:line="360" w:lineRule="auto"/>
        <w:rPr>
          <w:rFonts w:ascii="宋体" w:hAnsi="宋体"/>
          <w:sz w:val="24"/>
        </w:rPr>
      </w:pPr>
      <w:r>
        <w:rPr>
          <w:rFonts w:hint="eastAsia" w:ascii="宋体" w:hAnsi="宋体"/>
          <w:sz w:val="24"/>
        </w:rPr>
        <w:t>双方在上述日期签署本协议。</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需方代表姓名</w:t>
      </w:r>
      <w:r>
        <w:rPr>
          <w:rFonts w:hint="eastAsia" w:ascii="宋体" w:hAnsi="宋体"/>
          <w:sz w:val="24"/>
          <w:u w:val="single"/>
        </w:rPr>
        <w:t xml:space="preserve">            </w:t>
      </w:r>
      <w:r>
        <w:rPr>
          <w:rFonts w:hint="eastAsia" w:ascii="宋体" w:hAnsi="宋体"/>
          <w:sz w:val="24"/>
        </w:rPr>
        <w:t xml:space="preserve">                供方代表姓名</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需方代表签字</w:t>
      </w:r>
      <w:r>
        <w:rPr>
          <w:rFonts w:hint="eastAsia" w:ascii="宋体" w:hAnsi="宋体"/>
          <w:sz w:val="24"/>
          <w:u w:val="single"/>
        </w:rPr>
        <w:t xml:space="preserve">            </w:t>
      </w:r>
      <w:r>
        <w:rPr>
          <w:rFonts w:hint="eastAsia" w:ascii="宋体" w:hAnsi="宋体"/>
          <w:sz w:val="24"/>
        </w:rPr>
        <w:t xml:space="preserve">                供方代表签字</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需方名称</w:t>
      </w:r>
      <w:r>
        <w:rPr>
          <w:rFonts w:hint="eastAsia" w:ascii="宋体" w:hAnsi="宋体"/>
          <w:sz w:val="24"/>
          <w:u w:val="single"/>
        </w:rPr>
        <w:t xml:space="preserve">                </w:t>
      </w:r>
      <w:r>
        <w:rPr>
          <w:rFonts w:hint="eastAsia" w:ascii="宋体" w:hAnsi="宋体"/>
          <w:sz w:val="24"/>
        </w:rPr>
        <w:t xml:space="preserve">                供方名称</w:t>
      </w:r>
      <w:r>
        <w:rPr>
          <w:rFonts w:hint="eastAsia" w:ascii="宋体" w:hAnsi="宋体"/>
          <w:sz w:val="24"/>
          <w:u w:val="single"/>
        </w:rPr>
        <w:t xml:space="preserve">                       </w:t>
      </w:r>
    </w:p>
    <w:p>
      <w:pPr>
        <w:spacing w:line="360" w:lineRule="auto"/>
        <w:ind w:firstLine="560" w:firstLineChars="200"/>
        <w:jc w:val="left"/>
        <w:rPr>
          <w:rFonts w:ascii="宋体" w:hAnsi="宋体"/>
          <w:sz w:val="28"/>
          <w:szCs w:val="28"/>
        </w:rPr>
      </w:pPr>
    </w:p>
    <w:p>
      <w:pPr>
        <w:spacing w:line="360" w:lineRule="auto"/>
        <w:jc w:val="center"/>
        <w:outlineLvl w:val="0"/>
        <w:rPr>
          <w:rFonts w:ascii="宋体" w:hAnsi="宋体" w:cs="宋体"/>
          <w:b/>
          <w:sz w:val="32"/>
          <w:szCs w:val="32"/>
        </w:rPr>
      </w:pPr>
      <w:bookmarkStart w:id="561" w:name="_Toc30012"/>
      <w:bookmarkStart w:id="562" w:name="_Toc13945"/>
      <w:bookmarkStart w:id="563" w:name="_Toc44924403"/>
      <w:bookmarkStart w:id="564" w:name="_Toc24300"/>
      <w:bookmarkStart w:id="565" w:name="_Toc90712552"/>
      <w:bookmarkStart w:id="566" w:name="_Toc90713371"/>
      <w:bookmarkStart w:id="567" w:name="_Toc87621072"/>
      <w:r>
        <w:rPr>
          <w:rFonts w:hint="eastAsia" w:ascii="宋体" w:hAnsi="宋体" w:cs="宋体"/>
          <w:b/>
          <w:sz w:val="32"/>
          <w:szCs w:val="32"/>
        </w:rPr>
        <w:t>第四部分 合同条款资料表</w:t>
      </w:r>
      <w:bookmarkEnd w:id="561"/>
      <w:bookmarkEnd w:id="562"/>
      <w:bookmarkEnd w:id="563"/>
      <w:bookmarkEnd w:id="564"/>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48" w:type="dxa"/>
            <w:vAlign w:val="center"/>
          </w:tcPr>
          <w:p>
            <w:pPr>
              <w:widowControl/>
              <w:snapToGrid w:val="0"/>
              <w:spacing w:line="360" w:lineRule="auto"/>
              <w:jc w:val="center"/>
              <w:rPr>
                <w:rFonts w:ascii="宋体" w:hAnsi="宋体" w:cs="宋体"/>
                <w:color w:val="000000"/>
                <w:kern w:val="0"/>
                <w:sz w:val="24"/>
              </w:rPr>
            </w:pPr>
            <w:r>
              <w:rPr>
                <w:rFonts w:hint="eastAsia" w:ascii="宋体" w:hAnsi="宋体" w:cs="宋体"/>
                <w:color w:val="000000"/>
                <w:kern w:val="0"/>
                <w:sz w:val="24"/>
              </w:rPr>
              <w:t>项目名称</w:t>
            </w:r>
          </w:p>
        </w:tc>
        <w:tc>
          <w:tcPr>
            <w:tcW w:w="7575" w:type="dxa"/>
            <w:vAlign w:val="center"/>
          </w:tcPr>
          <w:p>
            <w:pPr>
              <w:widowControl/>
              <w:snapToGrid w:val="0"/>
              <w:spacing w:line="360" w:lineRule="auto"/>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南阳市中级人民法院警用装备采购项目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48" w:type="dxa"/>
            <w:vAlign w:val="center"/>
          </w:tcPr>
          <w:p>
            <w:pPr>
              <w:widowControl/>
              <w:snapToGrid w:val="0"/>
              <w:spacing w:line="360" w:lineRule="auto"/>
              <w:jc w:val="center"/>
              <w:rPr>
                <w:rFonts w:ascii="宋体" w:hAnsi="宋体" w:cs="宋体"/>
                <w:color w:val="000000"/>
                <w:kern w:val="0"/>
                <w:sz w:val="24"/>
                <w:highlight w:val="yellow"/>
              </w:rPr>
            </w:pPr>
            <w:r>
              <w:rPr>
                <w:rFonts w:hint="eastAsia" w:ascii="宋体" w:hAnsi="宋体" w:cs="宋体"/>
                <w:color w:val="000000"/>
                <w:kern w:val="0"/>
                <w:sz w:val="24"/>
              </w:rPr>
              <w:t>项目编号</w:t>
            </w:r>
          </w:p>
        </w:tc>
        <w:tc>
          <w:tcPr>
            <w:tcW w:w="7575" w:type="dxa"/>
            <w:vAlign w:val="center"/>
          </w:tcPr>
          <w:p>
            <w:pPr>
              <w:widowControl/>
              <w:snapToGrid w:val="0"/>
              <w:spacing w:line="360" w:lineRule="auto"/>
              <w:jc w:val="left"/>
              <w:rPr>
                <w:rFonts w:ascii="宋体" w:hAnsi="宋体" w:cs="宋体"/>
                <w:color w:val="000000"/>
                <w:kern w:val="0"/>
                <w:sz w:val="24"/>
                <w:highlight w:val="yellow"/>
              </w:rPr>
            </w:pPr>
            <w:r>
              <w:rPr>
                <w:rFonts w:hint="eastAsia" w:ascii="宋体" w:hAnsi="宋体" w:cs="宋体"/>
                <w:color w:val="000000"/>
                <w:kern w:val="0"/>
                <w:sz w:val="24"/>
              </w:rPr>
              <w:t>HNZB[2021]NY035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48" w:type="dxa"/>
            <w:vAlign w:val="center"/>
          </w:tcPr>
          <w:p>
            <w:pPr>
              <w:widowControl/>
              <w:snapToGrid w:val="0"/>
              <w:spacing w:line="360" w:lineRule="auto"/>
              <w:jc w:val="center"/>
              <w:rPr>
                <w:rFonts w:ascii="宋体" w:hAnsi="宋体" w:cs="宋体"/>
                <w:color w:val="000000"/>
                <w:kern w:val="0"/>
                <w:sz w:val="24"/>
              </w:rPr>
            </w:pPr>
            <w:r>
              <w:rPr>
                <w:rFonts w:hint="eastAsia" w:ascii="宋体" w:hAnsi="宋体" w:cs="宋体"/>
                <w:color w:val="000000"/>
                <w:kern w:val="0"/>
                <w:sz w:val="24"/>
              </w:rPr>
              <w:t>采购人</w:t>
            </w:r>
          </w:p>
        </w:tc>
        <w:tc>
          <w:tcPr>
            <w:tcW w:w="7575" w:type="dxa"/>
            <w:vAlign w:val="center"/>
          </w:tcPr>
          <w:p>
            <w:pPr>
              <w:widowControl/>
              <w:snapToGrid w:val="0"/>
              <w:spacing w:line="360" w:lineRule="auto"/>
              <w:rPr>
                <w:rFonts w:ascii="宋体" w:hAnsi="宋体" w:cs="宋体"/>
                <w:color w:val="000000"/>
                <w:kern w:val="0"/>
                <w:sz w:val="24"/>
              </w:rPr>
            </w:pPr>
            <w:r>
              <w:rPr>
                <w:rFonts w:hint="eastAsia" w:ascii="宋体" w:hAnsi="宋体" w:cs="宋体"/>
                <w:color w:val="000000"/>
                <w:kern w:val="0"/>
                <w:sz w:val="24"/>
              </w:rPr>
              <w:t>河南省南阳市中级人民法院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48" w:type="dxa"/>
            <w:vAlign w:val="center"/>
          </w:tcPr>
          <w:p>
            <w:pPr>
              <w:widowControl/>
              <w:snapToGrid w:val="0"/>
              <w:spacing w:line="360" w:lineRule="auto"/>
              <w:jc w:val="center"/>
              <w:rPr>
                <w:rFonts w:ascii="宋体" w:hAnsi="宋体" w:cs="宋体"/>
                <w:color w:val="000000"/>
                <w:kern w:val="0"/>
                <w:sz w:val="24"/>
              </w:rPr>
            </w:pPr>
            <w:r>
              <w:rPr>
                <w:rFonts w:hint="eastAsia" w:ascii="宋体" w:hAnsi="宋体" w:cs="宋体"/>
                <w:color w:val="000000"/>
                <w:kern w:val="0"/>
                <w:sz w:val="24"/>
              </w:rPr>
              <w:t>质量标准</w:t>
            </w:r>
          </w:p>
        </w:tc>
        <w:tc>
          <w:tcPr>
            <w:tcW w:w="7575" w:type="dxa"/>
            <w:vAlign w:val="center"/>
          </w:tcPr>
          <w:p>
            <w:pPr>
              <w:widowControl/>
              <w:snapToGrid w:val="0"/>
              <w:spacing w:line="360" w:lineRule="auto"/>
              <w:rPr>
                <w:rFonts w:ascii="宋体" w:hAnsi="宋体" w:cs="宋体"/>
                <w:color w:val="000000"/>
                <w:kern w:val="0"/>
                <w:sz w:val="24"/>
              </w:rPr>
            </w:pPr>
            <w:r>
              <w:rPr>
                <w:rFonts w:hint="eastAsia" w:ascii="宋体" w:hAnsi="宋体" w:cs="宋体"/>
                <w:color w:val="000000"/>
                <w:kern w:val="0"/>
                <w:sz w:val="24"/>
              </w:rPr>
              <w:t>国家合格标准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48" w:type="dxa"/>
            <w:vAlign w:val="center"/>
          </w:tcPr>
          <w:p>
            <w:pPr>
              <w:widowControl/>
              <w:snapToGrid w:val="0"/>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质保期</w:t>
            </w:r>
          </w:p>
        </w:tc>
        <w:tc>
          <w:tcPr>
            <w:tcW w:w="7575" w:type="dxa"/>
            <w:vAlign w:val="center"/>
          </w:tcPr>
          <w:p>
            <w:pPr>
              <w:widowControl/>
              <w:snapToGrid w:val="0"/>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设备（产品）验收合格后，</w:t>
            </w:r>
            <w:r>
              <w:rPr>
                <w:rFonts w:hint="eastAsia" w:ascii="宋体" w:hAnsi="宋体" w:cs="宋体"/>
                <w:color w:val="000000"/>
                <w:kern w:val="0"/>
                <w:sz w:val="24"/>
                <w:highlight w:val="none"/>
                <w:lang w:eastAsia="zh-CN"/>
              </w:rPr>
              <w:t>一</w:t>
            </w:r>
            <w:r>
              <w:rPr>
                <w:rFonts w:ascii="宋体" w:hAnsi="宋体" w:cs="宋体"/>
                <w:color w:val="000000"/>
                <w:kern w:val="0"/>
                <w:sz w:val="24"/>
                <w:highlight w:val="none"/>
              </w:rPr>
              <w:t>年</w:t>
            </w:r>
            <w:r>
              <w:rPr>
                <w:rFonts w:hint="eastAsia" w:ascii="宋体" w:hAnsi="宋体" w:cs="宋体"/>
                <w:color w:val="000000"/>
                <w:kern w:val="0"/>
                <w:sz w:val="24"/>
                <w:highlight w:val="none"/>
              </w:rPr>
              <w:t>免费质保，</w:t>
            </w:r>
            <w:r>
              <w:rPr>
                <w:rFonts w:hint="eastAsia" w:ascii="宋体" w:hAnsi="宋体" w:cs="宋体"/>
                <w:color w:val="000000"/>
                <w:kern w:val="0"/>
                <w:sz w:val="24"/>
                <w:highlight w:val="none"/>
                <w:lang w:eastAsia="zh-CN"/>
              </w:rPr>
              <w:t>一</w:t>
            </w:r>
            <w:r>
              <w:rPr>
                <w:rFonts w:hint="eastAsia" w:ascii="宋体" w:hAnsi="宋体" w:cs="宋体"/>
                <w:color w:val="000000"/>
                <w:kern w:val="0"/>
                <w:sz w:val="24"/>
                <w:highlight w:val="none"/>
              </w:rPr>
              <w:t>年免费上</w:t>
            </w:r>
            <w:r>
              <w:rPr>
                <w:rFonts w:ascii="宋体" w:hAnsi="宋体" w:cs="宋体"/>
                <w:color w:val="000000"/>
                <w:kern w:val="0"/>
                <w:sz w:val="24"/>
                <w:highlight w:val="none"/>
              </w:rPr>
              <w:t>门</w:t>
            </w:r>
            <w:r>
              <w:rPr>
                <w:rFonts w:hint="eastAsia" w:ascii="宋体" w:hAnsi="宋体" w:cs="宋体"/>
                <w:color w:val="000000"/>
                <w:kern w:val="0"/>
                <w:sz w:val="24"/>
                <w:highlight w:val="none"/>
              </w:rPr>
              <w:t>服务，提供承诺函。设备（产品）制造商承诺的质保期优于本采购要求的，按承诺执行。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548" w:type="dxa"/>
            <w:vAlign w:val="center"/>
          </w:tcPr>
          <w:p>
            <w:pPr>
              <w:widowControl/>
              <w:snapToGrid w:val="0"/>
              <w:spacing w:line="360" w:lineRule="auto"/>
              <w:jc w:val="center"/>
              <w:rPr>
                <w:rFonts w:ascii="宋体" w:hAnsi="宋体" w:cs="宋体"/>
                <w:color w:val="000000"/>
                <w:kern w:val="0"/>
                <w:sz w:val="24"/>
              </w:rPr>
            </w:pPr>
            <w:r>
              <w:rPr>
                <w:rFonts w:hint="eastAsia" w:ascii="宋体" w:hAnsi="宋体" w:cs="宋体"/>
                <w:color w:val="000000"/>
                <w:kern w:val="0"/>
                <w:sz w:val="24"/>
              </w:rPr>
              <w:t>交货时间及地点</w:t>
            </w:r>
          </w:p>
        </w:tc>
        <w:tc>
          <w:tcPr>
            <w:tcW w:w="7575" w:type="dxa"/>
            <w:vAlign w:val="center"/>
          </w:tcPr>
          <w:p>
            <w:pPr>
              <w:widowControl/>
              <w:snapToGrid w:val="0"/>
              <w:spacing w:line="360" w:lineRule="auto"/>
              <w:rPr>
                <w:rFonts w:ascii="宋体" w:hAnsi="宋体" w:cs="宋体"/>
                <w:color w:val="000000"/>
                <w:kern w:val="0"/>
                <w:sz w:val="24"/>
                <w:u w:val="single"/>
              </w:rPr>
            </w:pPr>
            <w:r>
              <w:rPr>
                <w:rFonts w:hint="eastAsia" w:ascii="宋体" w:hAnsi="宋体" w:cs="宋体"/>
                <w:color w:val="000000"/>
                <w:kern w:val="0"/>
                <w:sz w:val="24"/>
              </w:rPr>
              <w:t>交货时间：合同签订后2</w:t>
            </w:r>
            <w:r>
              <w:rPr>
                <w:rFonts w:ascii="宋体" w:hAnsi="宋体" w:cs="宋体"/>
                <w:color w:val="000000"/>
                <w:kern w:val="0"/>
                <w:sz w:val="24"/>
              </w:rPr>
              <w:t>0</w:t>
            </w:r>
            <w:r>
              <w:rPr>
                <w:rFonts w:hint="eastAsia" w:ascii="宋体" w:hAnsi="宋体" w:cs="宋体"/>
                <w:color w:val="000000"/>
                <w:kern w:val="0"/>
                <w:sz w:val="24"/>
              </w:rPr>
              <w:t>日内验收合格并交付使用。</w:t>
            </w:r>
          </w:p>
          <w:p>
            <w:pPr>
              <w:widowControl/>
              <w:snapToGrid w:val="0"/>
              <w:spacing w:line="360" w:lineRule="auto"/>
              <w:rPr>
                <w:rFonts w:ascii="宋体" w:hAnsi="宋体" w:cs="宋体"/>
                <w:color w:val="000000"/>
                <w:kern w:val="0"/>
                <w:sz w:val="24"/>
              </w:rPr>
            </w:pPr>
            <w:r>
              <w:rPr>
                <w:rFonts w:hint="eastAsia" w:ascii="宋体" w:hAnsi="宋体" w:cs="宋体"/>
                <w:color w:val="000000"/>
                <w:kern w:val="0"/>
                <w:sz w:val="24"/>
              </w:rPr>
              <w:t>地点：采购人指定的交货地点。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8" w:type="dxa"/>
            <w:vAlign w:val="center"/>
          </w:tcPr>
          <w:p>
            <w:pPr>
              <w:widowControl/>
              <w:snapToGrid w:val="0"/>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履约保证金及付款</w:t>
            </w:r>
          </w:p>
        </w:tc>
        <w:tc>
          <w:tcPr>
            <w:tcW w:w="7575" w:type="dxa"/>
            <w:vAlign w:val="center"/>
          </w:tcPr>
          <w:p>
            <w:pPr>
              <w:widowControl/>
              <w:snapToGrid w:val="0"/>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8" w:type="dxa"/>
            <w:vAlign w:val="center"/>
          </w:tcPr>
          <w:p>
            <w:pPr>
              <w:widowControl/>
              <w:snapToGrid w:val="0"/>
              <w:spacing w:line="360" w:lineRule="auto"/>
              <w:jc w:val="center"/>
              <w:rPr>
                <w:rFonts w:ascii="宋体" w:hAnsi="宋体" w:cs="宋体"/>
                <w:kern w:val="0"/>
                <w:sz w:val="24"/>
              </w:rPr>
            </w:pPr>
            <w:r>
              <w:rPr>
                <w:rFonts w:hint="eastAsia" w:ascii="宋体" w:hAnsi="宋体" w:cs="宋体"/>
                <w:kern w:val="0"/>
                <w:sz w:val="24"/>
              </w:rPr>
              <w:t>价格要求</w:t>
            </w:r>
          </w:p>
        </w:tc>
        <w:tc>
          <w:tcPr>
            <w:tcW w:w="7575" w:type="dxa"/>
            <w:vAlign w:val="center"/>
          </w:tcPr>
          <w:p>
            <w:pPr>
              <w:widowControl/>
              <w:snapToGrid w:val="0"/>
              <w:spacing w:line="360" w:lineRule="auto"/>
              <w:rPr>
                <w:rFonts w:ascii="宋体" w:hAnsi="宋体" w:cs="宋体"/>
                <w:kern w:val="0"/>
                <w:sz w:val="24"/>
              </w:rPr>
            </w:pPr>
            <w:r>
              <w:rPr>
                <w:rFonts w:hint="eastAsia" w:ascii="宋体" w:hAnsi="宋体" w:cs="宋体"/>
                <w:sz w:val="24"/>
              </w:rPr>
              <w:t>报价为采购人指定的目</w:t>
            </w:r>
            <w:r>
              <w:rPr>
                <w:rFonts w:hint="eastAsia" w:ascii="宋体" w:hAnsi="宋体"/>
                <w:sz w:val="24"/>
              </w:rPr>
              <w:t>的地交货价，含运输、搬运、安装</w:t>
            </w:r>
            <w:r>
              <w:rPr>
                <w:rFonts w:ascii="宋体" w:hAnsi="宋体"/>
                <w:sz w:val="24"/>
              </w:rPr>
              <w:t>调试、</w:t>
            </w:r>
            <w:r>
              <w:rPr>
                <w:rFonts w:hint="eastAsia" w:ascii="宋体" w:hAnsi="宋体"/>
                <w:sz w:val="24"/>
              </w:rPr>
              <w:t>售后服务等所</w:t>
            </w:r>
            <w:r>
              <w:rPr>
                <w:rFonts w:ascii="宋体" w:hAnsi="宋体"/>
                <w:sz w:val="24"/>
              </w:rPr>
              <w:t>有</w:t>
            </w:r>
            <w:r>
              <w:rPr>
                <w:rFonts w:hint="eastAsia" w:ascii="宋体" w:hAnsi="宋体"/>
                <w:sz w:val="24"/>
              </w:rPr>
              <w:t>费用。采购人不支付报价以外的</w:t>
            </w:r>
            <w:r>
              <w:rPr>
                <w:rFonts w:hint="eastAsia" w:ascii="宋体" w:hAnsi="宋体" w:cs="宋体"/>
                <w:sz w:val="24"/>
              </w:rPr>
              <w:t>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8" w:type="dxa"/>
          </w:tcPr>
          <w:p>
            <w:pPr>
              <w:pStyle w:val="58"/>
              <w:jc w:val="center"/>
              <w:rPr>
                <w:b/>
                <w:sz w:val="24"/>
              </w:rPr>
            </w:pPr>
          </w:p>
          <w:p>
            <w:pPr>
              <w:pStyle w:val="58"/>
              <w:ind w:left="21" w:right="13"/>
              <w:jc w:val="center"/>
              <w:rPr>
                <w:sz w:val="24"/>
              </w:rPr>
            </w:pPr>
            <w:r>
              <w:rPr>
                <w:sz w:val="24"/>
              </w:rPr>
              <w:t>报价范围及</w:t>
            </w:r>
          </w:p>
          <w:p>
            <w:pPr>
              <w:pStyle w:val="58"/>
              <w:ind w:left="21" w:right="13"/>
              <w:jc w:val="center"/>
              <w:rPr>
                <w:rFonts w:ascii="宋体" w:hAnsi="宋体" w:cs="宋体"/>
                <w:kern w:val="0"/>
                <w:sz w:val="24"/>
              </w:rPr>
            </w:pPr>
            <w:r>
              <w:rPr>
                <w:sz w:val="24"/>
              </w:rPr>
              <w:t>说明</w:t>
            </w:r>
          </w:p>
        </w:tc>
        <w:tc>
          <w:tcPr>
            <w:tcW w:w="7575" w:type="dxa"/>
          </w:tcPr>
          <w:p>
            <w:pPr>
              <w:pStyle w:val="58"/>
              <w:spacing w:line="420" w:lineRule="exact"/>
              <w:ind w:left="107" w:right="87"/>
              <w:rPr>
                <w:rFonts w:ascii="宋体" w:hAnsi="宋体" w:cs="宋体"/>
                <w:sz w:val="24"/>
              </w:rPr>
            </w:pPr>
            <w:r>
              <w:rPr>
                <w:spacing w:val="-5"/>
                <w:sz w:val="24"/>
              </w:rPr>
              <w:t>所有</w:t>
            </w:r>
            <w:r>
              <w:rPr>
                <w:rFonts w:hint="eastAsia"/>
                <w:spacing w:val="-5"/>
                <w:sz w:val="24"/>
              </w:rPr>
              <w:t>磋商报价</w:t>
            </w:r>
            <w:r>
              <w:rPr>
                <w:spacing w:val="-5"/>
                <w:sz w:val="24"/>
              </w:rPr>
              <w:t>均以人民币元为计算单位。供应商所报总价应包括</w:t>
            </w:r>
            <w:r>
              <w:rPr>
                <w:spacing w:val="-3"/>
                <w:sz w:val="24"/>
              </w:rPr>
              <w:t>其履行本项目合同</w:t>
            </w:r>
            <w:r>
              <w:rPr>
                <w:sz w:val="24"/>
              </w:rPr>
              <w:t>（如果成交</w:t>
            </w:r>
            <w:r>
              <w:rPr>
                <w:spacing w:val="-22"/>
                <w:sz w:val="24"/>
              </w:rPr>
              <w:t>）</w:t>
            </w:r>
            <w:r>
              <w:rPr>
                <w:spacing w:val="-4"/>
                <w:sz w:val="24"/>
              </w:rPr>
              <w:t>所需的所有费用，包括但不限于</w:t>
            </w:r>
            <w:r>
              <w:rPr>
                <w:spacing w:val="-7"/>
                <w:sz w:val="24"/>
              </w:rPr>
              <w:t>所投入的全部人工成本、管理费、利润和税金等与项目有关的一</w:t>
            </w:r>
            <w:r>
              <w:rPr>
                <w:sz w:val="24"/>
              </w:rPr>
              <w:t>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8" w:type="dxa"/>
            <w:vAlign w:val="center"/>
          </w:tcPr>
          <w:p>
            <w:pPr>
              <w:widowControl/>
              <w:snapToGrid w:val="0"/>
              <w:spacing w:line="360" w:lineRule="auto"/>
              <w:jc w:val="center"/>
              <w:rPr>
                <w:rFonts w:ascii="宋体" w:hAnsi="宋体" w:cs="宋体"/>
                <w:kern w:val="0"/>
                <w:sz w:val="24"/>
              </w:rPr>
            </w:pPr>
            <w:r>
              <w:rPr>
                <w:rFonts w:hint="eastAsia" w:ascii="宋体" w:hAnsi="宋体" w:cs="宋体"/>
                <w:kern w:val="0"/>
                <w:sz w:val="24"/>
              </w:rPr>
              <w:t>安装调试</w:t>
            </w:r>
          </w:p>
          <w:p>
            <w:pPr>
              <w:widowControl/>
              <w:snapToGrid w:val="0"/>
              <w:spacing w:line="360" w:lineRule="auto"/>
              <w:jc w:val="center"/>
              <w:rPr>
                <w:rFonts w:ascii="宋体" w:hAnsi="宋体" w:cs="宋体"/>
                <w:kern w:val="0"/>
                <w:sz w:val="24"/>
              </w:rPr>
            </w:pPr>
            <w:r>
              <w:rPr>
                <w:rFonts w:hint="eastAsia" w:ascii="宋体" w:hAnsi="宋体" w:cs="宋体"/>
                <w:kern w:val="0"/>
                <w:sz w:val="24"/>
              </w:rPr>
              <w:t>要求</w:t>
            </w:r>
          </w:p>
        </w:tc>
        <w:tc>
          <w:tcPr>
            <w:tcW w:w="7575" w:type="dxa"/>
            <w:vAlign w:val="center"/>
          </w:tcPr>
          <w:p>
            <w:pPr>
              <w:widowControl/>
              <w:snapToGrid w:val="0"/>
              <w:spacing w:line="360" w:lineRule="auto"/>
              <w:rPr>
                <w:rFonts w:ascii="宋体" w:hAnsi="宋体" w:cs="宋体"/>
                <w:sz w:val="24"/>
              </w:rPr>
            </w:pPr>
            <w:r>
              <w:rPr>
                <w:rFonts w:hint="eastAsia" w:ascii="宋体" w:hAnsi="宋体" w:cs="宋体"/>
                <w:sz w:val="24"/>
              </w:rPr>
              <w:t>投标人应安排有类似项目实施和交付经验的工程师现场进行安装调试。安装调试过程中应遵循安全施工的规则，按约定的交付时间完成安装调试工作。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8" w:type="dxa"/>
            <w:vAlign w:val="center"/>
          </w:tcPr>
          <w:p>
            <w:pPr>
              <w:widowControl/>
              <w:snapToGrid w:val="0"/>
              <w:spacing w:line="360" w:lineRule="auto"/>
              <w:jc w:val="center"/>
              <w:rPr>
                <w:rFonts w:ascii="宋体" w:hAnsi="宋体" w:cs="宋体"/>
                <w:color w:val="000000"/>
                <w:kern w:val="0"/>
                <w:sz w:val="24"/>
              </w:rPr>
            </w:pPr>
            <w:r>
              <w:rPr>
                <w:rFonts w:hint="eastAsia" w:ascii="宋体" w:hAnsi="宋体" w:cs="宋体"/>
                <w:color w:val="000000"/>
                <w:kern w:val="0"/>
                <w:sz w:val="24"/>
              </w:rPr>
              <w:t>节能环保要求</w:t>
            </w:r>
          </w:p>
        </w:tc>
        <w:tc>
          <w:tcPr>
            <w:tcW w:w="7575" w:type="dxa"/>
            <w:vAlign w:val="center"/>
          </w:tcPr>
          <w:p>
            <w:pPr>
              <w:widowControl/>
              <w:snapToGrid w:val="0"/>
              <w:spacing w:line="360" w:lineRule="auto"/>
              <w:rPr>
                <w:rFonts w:ascii="宋体" w:hAnsi="宋体" w:cs="宋体"/>
                <w:color w:val="000000"/>
                <w:kern w:val="0"/>
                <w:sz w:val="24"/>
              </w:rPr>
            </w:pPr>
            <w:r>
              <w:rPr>
                <w:rFonts w:hint="eastAsia" w:ascii="宋体" w:hAnsi="宋体" w:cs="宋体"/>
                <w:color w:val="000000"/>
                <w:kern w:val="0"/>
                <w:sz w:val="24"/>
              </w:rPr>
              <w:t>投标人所投产品应符合财政部、发改委、生态环境部关于节能环保的要求（提供所投产品查询截图或产品的有效认证证书附于投标文件中）。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8" w:type="dxa"/>
            <w:vAlign w:val="center"/>
          </w:tcPr>
          <w:p>
            <w:pPr>
              <w:spacing w:line="360" w:lineRule="auto"/>
              <w:rPr>
                <w:rFonts w:ascii="宋体" w:hAnsi="宋体" w:cs="宋体"/>
                <w:color w:val="000000"/>
                <w:kern w:val="0"/>
                <w:sz w:val="24"/>
              </w:rPr>
            </w:pPr>
            <w:r>
              <w:rPr>
                <w:rFonts w:ascii="宋体" w:hAnsi="宋体" w:cs="宋体"/>
                <w:color w:val="000000"/>
                <w:kern w:val="0"/>
                <w:sz w:val="24"/>
              </w:rPr>
              <w:t>知识产权</w:t>
            </w:r>
          </w:p>
          <w:p>
            <w:pPr>
              <w:widowControl/>
              <w:snapToGrid w:val="0"/>
              <w:spacing w:line="360" w:lineRule="auto"/>
              <w:jc w:val="center"/>
              <w:rPr>
                <w:rFonts w:ascii="宋体" w:hAnsi="宋体" w:cs="宋体"/>
                <w:color w:val="000000"/>
                <w:kern w:val="0"/>
                <w:sz w:val="24"/>
              </w:rPr>
            </w:pPr>
          </w:p>
        </w:tc>
        <w:tc>
          <w:tcPr>
            <w:tcW w:w="7575" w:type="dxa"/>
            <w:vAlign w:val="center"/>
          </w:tcPr>
          <w:p>
            <w:pPr>
              <w:spacing w:line="360" w:lineRule="auto"/>
              <w:rPr>
                <w:rFonts w:ascii="宋体" w:hAnsi="宋体"/>
                <w:color w:val="000000"/>
                <w:sz w:val="24"/>
              </w:rPr>
            </w:pPr>
            <w:r>
              <w:rPr>
                <w:rFonts w:hint="eastAsia" w:ascii="宋体" w:hAnsi="宋体"/>
                <w:color w:val="000000"/>
                <w:sz w:val="24"/>
              </w:rPr>
              <w:t>1、投标人</w:t>
            </w:r>
            <w:r>
              <w:rPr>
                <w:rFonts w:ascii="宋体" w:hAnsi="宋体"/>
                <w:color w:val="000000"/>
                <w:sz w:val="24"/>
              </w:rPr>
              <w:t>须保证采购人在中华人民共和国境内使用投标货物、资料、技术、服务或其任何一部分时，享有不受限制的无偿使用权，不会产生因第三方提出侵犯其专利权、商标权或其它知识产权而引起的法律或经济纠纷。如</w:t>
            </w:r>
            <w:r>
              <w:rPr>
                <w:rFonts w:hint="eastAsia" w:ascii="宋体" w:hAnsi="宋体"/>
                <w:color w:val="000000"/>
                <w:sz w:val="24"/>
              </w:rPr>
              <w:t>投标人</w:t>
            </w:r>
            <w:r>
              <w:rPr>
                <w:rFonts w:ascii="宋体" w:hAnsi="宋体"/>
                <w:color w:val="000000"/>
                <w:sz w:val="24"/>
              </w:rPr>
              <w:t>不拥有</w:t>
            </w:r>
            <w:r>
              <w:rPr>
                <w:rFonts w:hint="eastAsia" w:ascii="宋体" w:hAnsi="宋体"/>
                <w:color w:val="000000"/>
                <w:sz w:val="24"/>
              </w:rPr>
              <w:t>相应</w:t>
            </w:r>
            <w:r>
              <w:rPr>
                <w:rFonts w:ascii="宋体" w:hAnsi="宋体"/>
                <w:color w:val="000000"/>
                <w:sz w:val="24"/>
              </w:rPr>
              <w:t>的知识产权，则在投标</w:t>
            </w:r>
            <w:r>
              <w:rPr>
                <w:rFonts w:hint="eastAsia" w:ascii="宋体" w:hAnsi="宋体"/>
                <w:color w:val="000000"/>
                <w:sz w:val="24"/>
              </w:rPr>
              <w:t>总</w:t>
            </w:r>
            <w:r>
              <w:rPr>
                <w:rFonts w:ascii="宋体" w:hAnsi="宋体"/>
                <w:color w:val="000000"/>
                <w:sz w:val="24"/>
              </w:rPr>
              <w:t>价中必须包括合法获取该知识产权的一切相关费用</w:t>
            </w:r>
            <w:r>
              <w:rPr>
                <w:rFonts w:hint="eastAsia" w:ascii="宋体" w:hAnsi="宋体"/>
                <w:color w:val="000000"/>
                <w:sz w:val="24"/>
              </w:rPr>
              <w:t>，</w:t>
            </w:r>
            <w:r>
              <w:rPr>
                <w:rFonts w:ascii="宋体" w:hAnsi="宋体"/>
                <w:color w:val="000000"/>
                <w:sz w:val="24"/>
              </w:rPr>
              <w:t>如因此导致采购人损失的，</w:t>
            </w:r>
            <w:r>
              <w:rPr>
                <w:rFonts w:hint="eastAsia" w:ascii="宋体" w:hAnsi="宋体"/>
                <w:color w:val="000000"/>
                <w:sz w:val="24"/>
              </w:rPr>
              <w:t>投标人</w:t>
            </w:r>
            <w:r>
              <w:rPr>
                <w:rFonts w:ascii="宋体" w:hAnsi="宋体"/>
                <w:color w:val="000000"/>
                <w:sz w:val="24"/>
              </w:rPr>
              <w:t>须承担全部赔偿责任。</w:t>
            </w:r>
          </w:p>
          <w:p>
            <w:pPr>
              <w:spacing w:line="360" w:lineRule="auto"/>
              <w:rPr>
                <w:rFonts w:ascii="宋体" w:hAnsi="宋体" w:cs="宋体"/>
                <w:color w:val="000000"/>
                <w:kern w:val="0"/>
                <w:sz w:val="24"/>
              </w:rPr>
            </w:pPr>
            <w:r>
              <w:rPr>
                <w:rFonts w:hint="eastAsia" w:ascii="宋体" w:hAnsi="宋体"/>
                <w:color w:val="000000"/>
                <w:sz w:val="24"/>
              </w:rPr>
              <w:t>2、投标人</w:t>
            </w:r>
            <w:r>
              <w:rPr>
                <w:rFonts w:ascii="宋体" w:hAnsi="宋体"/>
                <w:color w:val="000000"/>
                <w:sz w:val="24"/>
              </w:rPr>
              <w:t>如欲在项目实施过程中采用自有知识成果，须在投标文件中声明，并提供相关知识产权证明文件。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widowControl/>
              <w:snapToGrid w:val="0"/>
              <w:spacing w:line="360" w:lineRule="auto"/>
              <w:jc w:val="center"/>
              <w:rPr>
                <w:rFonts w:ascii="宋体" w:hAnsi="宋体" w:cs="宋体"/>
                <w:color w:val="000000"/>
                <w:kern w:val="0"/>
                <w:sz w:val="24"/>
              </w:rPr>
            </w:pPr>
            <w:r>
              <w:rPr>
                <w:rFonts w:hint="eastAsia" w:ascii="宋体" w:hAnsi="宋体" w:cs="宋体"/>
                <w:color w:val="000000"/>
                <w:kern w:val="0"/>
                <w:sz w:val="24"/>
              </w:rPr>
              <w:t>备品备件及耗材等要求</w:t>
            </w:r>
          </w:p>
        </w:tc>
        <w:tc>
          <w:tcPr>
            <w:tcW w:w="7575" w:type="dxa"/>
            <w:vAlign w:val="center"/>
          </w:tcPr>
          <w:p>
            <w:pPr>
              <w:widowControl/>
              <w:snapToGrid w:val="0"/>
              <w:spacing w:line="360" w:lineRule="auto"/>
              <w:rPr>
                <w:rFonts w:ascii="宋体" w:hAnsi="宋体" w:cs="宋体"/>
                <w:color w:val="000000"/>
                <w:kern w:val="0"/>
                <w:sz w:val="24"/>
              </w:rPr>
            </w:pPr>
            <w:r>
              <w:rPr>
                <w:rFonts w:hint="eastAsia" w:ascii="宋体" w:hAnsi="宋体" w:cs="宋体"/>
                <w:bCs/>
                <w:color w:val="000000"/>
                <w:kern w:val="0"/>
                <w:sz w:val="24"/>
              </w:rPr>
              <w:t>投标人应对保证货物正常运行的备品备件报出单价，并说明获得的来源渠道。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widowControl/>
              <w:snapToGrid w:val="0"/>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售后服务保障</w:t>
            </w:r>
          </w:p>
        </w:tc>
        <w:tc>
          <w:tcPr>
            <w:tcW w:w="7575" w:type="dxa"/>
            <w:vAlign w:val="center"/>
          </w:tcPr>
          <w:p>
            <w:pPr>
              <w:spacing w:line="360" w:lineRule="auto"/>
              <w:rPr>
                <w:rFonts w:ascii="宋体" w:hAnsi="宋体"/>
                <w:color w:val="000000"/>
                <w:sz w:val="24"/>
                <w:highlight w:val="none"/>
              </w:rPr>
            </w:pPr>
            <w:r>
              <w:rPr>
                <w:rFonts w:hint="eastAsia" w:ascii="宋体" w:hAnsi="宋体"/>
                <w:color w:val="000000"/>
                <w:sz w:val="24"/>
                <w:highlight w:val="none"/>
              </w:rPr>
              <w:t>投标人所投产品均属于国家规定“三包”范围的，并保证产品质量保证期不低于“三包”规定；质量保证期承诺优于国家“三包”规定的，按供应商实际承诺执行。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60" w:lineRule="auto"/>
              <w:jc w:val="center"/>
              <w:rPr>
                <w:rFonts w:ascii="宋体" w:hAnsi="宋体" w:cs="宋体"/>
                <w:color w:val="000000"/>
                <w:kern w:val="0"/>
                <w:sz w:val="24"/>
              </w:rPr>
            </w:pPr>
            <w:r>
              <w:rPr>
                <w:rFonts w:hint="eastAsia" w:ascii="宋体" w:hAnsi="宋体" w:cs="宋体"/>
                <w:color w:val="000000"/>
                <w:kern w:val="0"/>
                <w:sz w:val="24"/>
              </w:rPr>
              <w:t>验收条件及标准</w:t>
            </w:r>
          </w:p>
        </w:tc>
        <w:tc>
          <w:tcPr>
            <w:tcW w:w="7575" w:type="dxa"/>
            <w:vAlign w:val="center"/>
          </w:tcPr>
          <w:p>
            <w:pPr>
              <w:spacing w:line="360" w:lineRule="auto"/>
              <w:rPr>
                <w:rFonts w:ascii="宋体" w:hAnsi="宋体" w:cs="宋体"/>
                <w:color w:val="000000"/>
                <w:kern w:val="0"/>
                <w:sz w:val="24"/>
              </w:rPr>
            </w:pPr>
            <w:r>
              <w:rPr>
                <w:rFonts w:hint="eastAsia" w:ascii="宋体" w:hAnsi="宋体" w:cs="宋体"/>
                <w:color w:val="000000"/>
                <w:kern w:val="0"/>
                <w:sz w:val="24"/>
              </w:rPr>
              <w:t>1.投标货物分送到货后，由</w:t>
            </w:r>
            <w:r>
              <w:rPr>
                <w:rFonts w:hint="eastAsia" w:ascii="宋体" w:hAnsi="宋体" w:cs="宋体"/>
                <w:color w:val="000000"/>
                <w:kern w:val="0"/>
                <w:sz w:val="24"/>
                <w:lang w:val="en-US" w:eastAsia="zh-CN"/>
              </w:rPr>
              <w:t>供应商</w:t>
            </w:r>
            <w:r>
              <w:rPr>
                <w:rFonts w:hint="eastAsia" w:ascii="宋体" w:hAnsi="宋体" w:cs="宋体"/>
                <w:color w:val="000000"/>
                <w:kern w:val="0"/>
                <w:sz w:val="24"/>
              </w:rPr>
              <w:t>的技术人员现场安装调试。</w:t>
            </w:r>
          </w:p>
          <w:p>
            <w:pPr>
              <w:spacing w:line="360" w:lineRule="auto"/>
              <w:rPr>
                <w:rFonts w:ascii="宋体" w:hAnsi="宋体" w:cs="宋体"/>
                <w:color w:val="000000"/>
                <w:kern w:val="0"/>
                <w:sz w:val="18"/>
                <w:szCs w:val="18"/>
              </w:rPr>
            </w:pPr>
            <w:r>
              <w:rPr>
                <w:rFonts w:hint="eastAsia" w:ascii="宋体" w:hAnsi="宋体" w:cs="宋体"/>
                <w:color w:val="000000"/>
                <w:kern w:val="0"/>
                <w:sz w:val="24"/>
              </w:rPr>
              <w:t>2.安装调试完成，由采购人按要求组织验收。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60" w:lineRule="auto"/>
              <w:jc w:val="center"/>
              <w:rPr>
                <w:rFonts w:ascii="宋体" w:hAnsi="宋体" w:cs="宋体"/>
                <w:color w:val="000000"/>
                <w:kern w:val="0"/>
                <w:sz w:val="24"/>
              </w:rPr>
            </w:pPr>
            <w:r>
              <w:rPr>
                <w:rFonts w:hint="eastAsia" w:ascii="宋体" w:hAnsi="宋体" w:cs="宋体"/>
                <w:color w:val="000000"/>
                <w:kern w:val="0"/>
                <w:sz w:val="24"/>
              </w:rPr>
              <w:t>验收方法及方案</w:t>
            </w:r>
          </w:p>
        </w:tc>
        <w:tc>
          <w:tcPr>
            <w:tcW w:w="7575" w:type="dxa"/>
            <w:vAlign w:val="center"/>
          </w:tcPr>
          <w:p>
            <w:pPr>
              <w:spacing w:line="360" w:lineRule="auto"/>
              <w:rPr>
                <w:rFonts w:ascii="宋体" w:hAnsi="宋体" w:cs="宋体"/>
                <w:color w:val="000000"/>
                <w:kern w:val="0"/>
                <w:sz w:val="24"/>
              </w:rPr>
            </w:pPr>
            <w:r>
              <w:rPr>
                <w:rFonts w:hint="eastAsia" w:ascii="宋体" w:hAnsi="宋体" w:cs="宋体"/>
                <w:color w:val="000000"/>
                <w:kern w:val="0"/>
                <w:sz w:val="24"/>
              </w:rPr>
              <w:t>1.货物送达采购人指定位置后由采购人明确的专人负责对货物品种、数量、规格等进行点验、接收；</w:t>
            </w:r>
          </w:p>
          <w:p>
            <w:pPr>
              <w:spacing w:line="360" w:lineRule="auto"/>
              <w:rPr>
                <w:rFonts w:ascii="宋体" w:hAnsi="宋体" w:cs="宋体"/>
                <w:color w:val="000000"/>
                <w:kern w:val="0"/>
                <w:sz w:val="24"/>
              </w:rPr>
            </w:pPr>
            <w:r>
              <w:rPr>
                <w:rFonts w:hint="eastAsia" w:ascii="宋体" w:hAnsi="宋体" w:cs="宋体"/>
                <w:color w:val="000000"/>
                <w:kern w:val="0"/>
                <w:sz w:val="24"/>
              </w:rPr>
              <w:t>2.采购人成立验收小组，严格按照配备计划、产品标准、投标文件对货物进行验收；</w:t>
            </w:r>
          </w:p>
          <w:p>
            <w:pPr>
              <w:spacing w:line="360" w:lineRule="auto"/>
              <w:rPr>
                <w:rFonts w:ascii="宋体" w:hAnsi="宋体" w:cs="宋体"/>
                <w:color w:val="000000"/>
                <w:kern w:val="0"/>
                <w:sz w:val="24"/>
              </w:rPr>
            </w:pPr>
            <w:r>
              <w:rPr>
                <w:rFonts w:hint="eastAsia" w:ascii="宋体" w:hAnsi="宋体" w:cs="宋体"/>
                <w:color w:val="000000"/>
                <w:kern w:val="0"/>
                <w:sz w:val="24"/>
              </w:rPr>
              <w:t>3.经全部检验合格后供应商方可持验收报告及其它相关手续办理结款手续；</w:t>
            </w:r>
          </w:p>
          <w:p>
            <w:pPr>
              <w:spacing w:line="360" w:lineRule="auto"/>
              <w:rPr>
                <w:rFonts w:ascii="宋体" w:hAnsi="宋体" w:cs="宋体"/>
                <w:color w:val="000000"/>
                <w:kern w:val="0"/>
                <w:sz w:val="24"/>
              </w:rPr>
            </w:pPr>
            <w:r>
              <w:rPr>
                <w:rFonts w:hint="eastAsia" w:ascii="宋体" w:hAnsi="宋体" w:cs="宋体"/>
                <w:color w:val="000000"/>
                <w:kern w:val="0"/>
                <w:sz w:val="24"/>
              </w:rPr>
              <w:t>4.中标人承担项目验收检测的一切费用；</w:t>
            </w:r>
          </w:p>
        </w:tc>
      </w:tr>
    </w:tbl>
    <w:p>
      <w:pPr>
        <w:spacing w:line="360" w:lineRule="auto"/>
        <w:rPr>
          <w:rFonts w:ascii="宋体" w:hAnsi="宋体"/>
          <w:sz w:val="24"/>
        </w:rPr>
      </w:pPr>
      <w:r>
        <w:rPr>
          <w:rFonts w:hint="eastAsia" w:ascii="宋体" w:hAnsi="宋体"/>
          <w:sz w:val="24"/>
        </w:rPr>
        <w:t>注：本表为样式表，使用时应重新打印，并可增加特殊的条款要求。</w:t>
      </w:r>
    </w:p>
    <w:bookmarkEnd w:id="565"/>
    <w:bookmarkEnd w:id="566"/>
    <w:bookmarkEnd w:id="567"/>
    <w:p>
      <w:pPr>
        <w:rPr>
          <w:rFonts w:ascii="宋体" w:hAnsi="宋体" w:cs="宋体"/>
          <w:b/>
          <w:sz w:val="32"/>
          <w:szCs w:val="32"/>
        </w:rPr>
      </w:pPr>
      <w:bookmarkStart w:id="568" w:name="_Toc20427"/>
      <w:bookmarkStart w:id="569" w:name="_Toc2772"/>
      <w:bookmarkStart w:id="570" w:name="_Toc9162"/>
      <w:bookmarkStart w:id="571" w:name="_Toc44924404"/>
      <w:r>
        <w:rPr>
          <w:rFonts w:hint="eastAsia" w:ascii="宋体" w:hAnsi="宋体" w:cs="宋体"/>
          <w:b/>
          <w:sz w:val="32"/>
          <w:szCs w:val="32"/>
        </w:rPr>
        <w:br w:type="page"/>
      </w:r>
    </w:p>
    <w:p>
      <w:pPr>
        <w:spacing w:line="360" w:lineRule="auto"/>
        <w:jc w:val="center"/>
        <w:outlineLvl w:val="0"/>
        <w:rPr>
          <w:rFonts w:ascii="宋体" w:hAnsi="宋体" w:cs="宋体"/>
          <w:b/>
          <w:sz w:val="32"/>
          <w:szCs w:val="32"/>
        </w:rPr>
      </w:pPr>
      <w:r>
        <w:rPr>
          <w:rFonts w:hint="eastAsia" w:ascii="宋体" w:hAnsi="宋体" w:cs="宋体"/>
          <w:b/>
          <w:sz w:val="32"/>
          <w:szCs w:val="32"/>
        </w:rPr>
        <w:t>第五部分 磋商项目资料表</w:t>
      </w:r>
      <w:bookmarkEnd w:id="568"/>
      <w:bookmarkEnd w:id="569"/>
      <w:bookmarkEnd w:id="570"/>
      <w:bookmarkEnd w:id="571"/>
    </w:p>
    <w:p>
      <w:pPr>
        <w:spacing w:line="336" w:lineRule="auto"/>
        <w:ind w:firstLine="480" w:firstLineChars="200"/>
        <w:rPr>
          <w:rFonts w:ascii="宋体" w:hAnsi="宋体"/>
          <w:b/>
          <w:sz w:val="24"/>
        </w:rPr>
      </w:pPr>
      <w:r>
        <w:rPr>
          <w:rFonts w:hint="eastAsia" w:ascii="宋体" w:hAnsi="宋体"/>
          <w:sz w:val="24"/>
        </w:rPr>
        <w:t>本表关于要采购的货物的具体资料是对磋商供应商须知的具体补充和修改，如有矛盾，应以本资料表为准。</w:t>
      </w:r>
      <w:r>
        <w:rPr>
          <w:rFonts w:hint="eastAsia" w:ascii="宋体" w:hAnsi="宋体"/>
          <w:b/>
          <w:sz w:val="24"/>
        </w:rPr>
        <w:t>本项目资料表中注“*”为磋商供应商必须满足的条件，如不满足，将被视为无效响应。</w:t>
      </w:r>
    </w:p>
    <w:tbl>
      <w:tblPr>
        <w:tblStyle w:val="26"/>
        <w:tblW w:w="89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79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jc w:val="center"/>
        </w:trPr>
        <w:tc>
          <w:tcPr>
            <w:tcW w:w="962" w:type="dxa"/>
            <w:vAlign w:val="center"/>
          </w:tcPr>
          <w:p>
            <w:pPr>
              <w:snapToGrid w:val="0"/>
              <w:spacing w:line="336" w:lineRule="auto"/>
              <w:jc w:val="center"/>
              <w:rPr>
                <w:rFonts w:ascii="宋体" w:hAnsi="宋体"/>
                <w:sz w:val="24"/>
              </w:rPr>
            </w:pPr>
            <w:r>
              <w:rPr>
                <w:rFonts w:hint="eastAsia" w:ascii="宋体" w:hAnsi="宋体"/>
                <w:sz w:val="24"/>
              </w:rPr>
              <w:t>条款号</w:t>
            </w:r>
          </w:p>
        </w:tc>
        <w:tc>
          <w:tcPr>
            <w:tcW w:w="7964" w:type="dxa"/>
            <w:vAlign w:val="center"/>
          </w:tcPr>
          <w:p>
            <w:pPr>
              <w:snapToGrid w:val="0"/>
              <w:spacing w:line="336" w:lineRule="auto"/>
              <w:jc w:val="center"/>
              <w:rPr>
                <w:rFonts w:ascii="宋体" w:hAnsi="宋体"/>
                <w:b/>
                <w:bCs/>
                <w:sz w:val="24"/>
              </w:rPr>
            </w:pPr>
            <w:r>
              <w:rPr>
                <w:rFonts w:hint="eastAsia" w:ascii="宋体" w:hAnsi="宋体"/>
                <w:b/>
                <w:bCs/>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8" w:hRule="atLeast"/>
          <w:jc w:val="center"/>
        </w:trPr>
        <w:tc>
          <w:tcPr>
            <w:tcW w:w="8926" w:type="dxa"/>
            <w:gridSpan w:val="2"/>
            <w:vAlign w:val="center"/>
          </w:tcPr>
          <w:p>
            <w:pPr>
              <w:snapToGrid w:val="0"/>
              <w:spacing w:line="336" w:lineRule="auto"/>
              <w:jc w:val="center"/>
              <w:rPr>
                <w:rFonts w:ascii="宋体" w:hAnsi="宋体"/>
                <w:b/>
                <w:bCs/>
                <w:sz w:val="24"/>
              </w:rPr>
            </w:pPr>
            <w:r>
              <w:rPr>
                <w:rFonts w:hint="eastAsia" w:ascii="宋体" w:hAnsi="宋体"/>
                <w:b/>
                <w:bCs/>
                <w:sz w:val="24"/>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962" w:type="dxa"/>
            <w:tcBorders>
              <w:bottom w:val="single" w:color="auto" w:sz="4" w:space="0"/>
            </w:tcBorders>
            <w:vAlign w:val="center"/>
          </w:tcPr>
          <w:p>
            <w:pPr>
              <w:snapToGrid w:val="0"/>
              <w:spacing w:line="336" w:lineRule="auto"/>
              <w:jc w:val="center"/>
              <w:rPr>
                <w:rFonts w:ascii="宋体" w:hAnsi="宋体"/>
                <w:sz w:val="24"/>
                <w:highlight w:val="yellow"/>
              </w:rPr>
            </w:pPr>
            <w:r>
              <w:rPr>
                <w:rFonts w:hint="eastAsia" w:ascii="宋体" w:hAnsi="宋体"/>
                <w:sz w:val="24"/>
              </w:rPr>
              <w:t>1</w:t>
            </w:r>
          </w:p>
        </w:tc>
        <w:tc>
          <w:tcPr>
            <w:tcW w:w="7964" w:type="dxa"/>
            <w:tcBorders>
              <w:bottom w:val="single" w:color="auto" w:sz="4" w:space="0"/>
            </w:tcBorders>
            <w:vAlign w:val="center"/>
          </w:tcPr>
          <w:p>
            <w:pPr>
              <w:widowControl/>
              <w:spacing w:line="336" w:lineRule="auto"/>
              <w:ind w:left="1200" w:hanging="1200" w:hangingChars="500"/>
              <w:jc w:val="left"/>
              <w:rPr>
                <w:rFonts w:hint="eastAsia" w:ascii="宋体" w:hAnsi="宋体" w:eastAsia="宋体"/>
                <w:color w:val="000000"/>
                <w:sz w:val="24"/>
                <w:highlight w:val="none"/>
                <w:lang w:eastAsia="zh-CN"/>
              </w:rPr>
            </w:pPr>
            <w:r>
              <w:rPr>
                <w:rFonts w:hint="eastAsia" w:ascii="宋体" w:hAnsi="宋体"/>
                <w:color w:val="000000"/>
                <w:sz w:val="24"/>
                <w:highlight w:val="none"/>
              </w:rPr>
              <w:t>项目名称：</w:t>
            </w:r>
            <w:r>
              <w:rPr>
                <w:rFonts w:hint="eastAsia" w:ascii="宋体" w:hAnsi="宋体"/>
                <w:color w:val="000000"/>
                <w:sz w:val="24"/>
                <w:highlight w:val="none"/>
                <w:lang w:eastAsia="zh-CN"/>
              </w:rPr>
              <w:t>南阳市中级人民法院警用装备采购项目</w:t>
            </w:r>
          </w:p>
          <w:p>
            <w:pPr>
              <w:widowControl/>
              <w:spacing w:line="336" w:lineRule="auto"/>
              <w:jc w:val="left"/>
              <w:rPr>
                <w:rFonts w:ascii="宋体" w:hAnsi="宋体"/>
                <w:sz w:val="24"/>
                <w:highlight w:val="yellow"/>
              </w:rPr>
            </w:pPr>
            <w:r>
              <w:rPr>
                <w:rFonts w:hint="eastAsia" w:ascii="宋体" w:hAnsi="宋体"/>
                <w:color w:val="000000"/>
                <w:sz w:val="24"/>
              </w:rPr>
              <w:t>项目编号：HNZB[2021]NY035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962" w:type="dxa"/>
            <w:tcBorders>
              <w:top w:val="single" w:color="auto" w:sz="4" w:space="0"/>
            </w:tcBorders>
            <w:vAlign w:val="center"/>
          </w:tcPr>
          <w:p>
            <w:pPr>
              <w:snapToGrid w:val="0"/>
              <w:spacing w:line="336" w:lineRule="auto"/>
              <w:jc w:val="center"/>
              <w:rPr>
                <w:rFonts w:ascii="宋体" w:hAnsi="宋体"/>
                <w:sz w:val="24"/>
              </w:rPr>
            </w:pPr>
            <w:r>
              <w:rPr>
                <w:rFonts w:hint="eastAsia" w:ascii="宋体" w:hAnsi="宋体"/>
                <w:sz w:val="24"/>
              </w:rPr>
              <w:t>2</w:t>
            </w:r>
          </w:p>
        </w:tc>
        <w:tc>
          <w:tcPr>
            <w:tcW w:w="7964" w:type="dxa"/>
            <w:tcBorders>
              <w:top w:val="single" w:color="auto" w:sz="4" w:space="0"/>
            </w:tcBorders>
            <w:vAlign w:val="center"/>
          </w:tcPr>
          <w:p>
            <w:pPr>
              <w:snapToGrid w:val="0"/>
              <w:spacing w:line="336" w:lineRule="auto"/>
              <w:rPr>
                <w:rFonts w:ascii="宋体" w:hAnsi="宋体"/>
                <w:sz w:val="24"/>
              </w:rPr>
            </w:pPr>
            <w:r>
              <w:rPr>
                <w:rFonts w:hint="eastAsia" w:ascii="宋体" w:hAnsi="宋体"/>
                <w:sz w:val="24"/>
              </w:rPr>
              <w:t>采购人名称：河南省南阳市中级人民法院</w:t>
            </w:r>
          </w:p>
          <w:p>
            <w:pPr>
              <w:snapToGrid w:val="0"/>
              <w:spacing w:line="336" w:lineRule="auto"/>
              <w:rPr>
                <w:rFonts w:ascii="宋体" w:hAnsi="宋体"/>
                <w:sz w:val="24"/>
              </w:rPr>
            </w:pPr>
            <w:r>
              <w:rPr>
                <w:rFonts w:hint="eastAsia" w:ascii="宋体" w:hAnsi="宋体"/>
                <w:sz w:val="24"/>
              </w:rPr>
              <w:t>地    址：南阳市新华东路1468号</w:t>
            </w:r>
          </w:p>
          <w:p>
            <w:pPr>
              <w:snapToGrid w:val="0"/>
              <w:spacing w:line="336" w:lineRule="auto"/>
              <w:rPr>
                <w:rFonts w:ascii="宋体" w:hAnsi="宋体"/>
                <w:sz w:val="24"/>
              </w:rPr>
            </w:pPr>
            <w:r>
              <w:rPr>
                <w:rFonts w:hint="eastAsia" w:ascii="宋体" w:hAnsi="宋体"/>
                <w:sz w:val="24"/>
              </w:rPr>
              <w:t>联 系 人：马先生</w:t>
            </w:r>
          </w:p>
          <w:p>
            <w:pPr>
              <w:snapToGrid w:val="0"/>
              <w:spacing w:line="336" w:lineRule="auto"/>
              <w:rPr>
                <w:rFonts w:ascii="宋体" w:hAnsi="宋体"/>
                <w:sz w:val="24"/>
              </w:rPr>
            </w:pPr>
            <w:r>
              <w:rPr>
                <w:rFonts w:hint="eastAsia" w:ascii="宋体" w:hAnsi="宋体"/>
                <w:sz w:val="24"/>
              </w:rPr>
              <w:t>联系方式：0377-63079933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9" w:hRule="atLeast"/>
          <w:jc w:val="center"/>
        </w:trPr>
        <w:tc>
          <w:tcPr>
            <w:tcW w:w="962" w:type="dxa"/>
            <w:vAlign w:val="center"/>
          </w:tcPr>
          <w:p>
            <w:pPr>
              <w:snapToGrid w:val="0"/>
              <w:spacing w:line="336" w:lineRule="auto"/>
              <w:jc w:val="center"/>
              <w:rPr>
                <w:rFonts w:ascii="宋体" w:hAnsi="宋体"/>
                <w:sz w:val="24"/>
              </w:rPr>
            </w:pPr>
            <w:r>
              <w:rPr>
                <w:rFonts w:hint="eastAsia" w:ascii="宋体" w:hAnsi="宋体"/>
                <w:sz w:val="24"/>
              </w:rPr>
              <w:t>3</w:t>
            </w:r>
          </w:p>
        </w:tc>
        <w:tc>
          <w:tcPr>
            <w:tcW w:w="7964" w:type="dxa"/>
          </w:tcPr>
          <w:p>
            <w:pPr>
              <w:snapToGrid w:val="0"/>
              <w:spacing w:line="336" w:lineRule="auto"/>
              <w:rPr>
                <w:rFonts w:ascii="宋体" w:hAnsi="宋体"/>
                <w:sz w:val="24"/>
              </w:rPr>
            </w:pPr>
            <w:r>
              <w:rPr>
                <w:rFonts w:hint="eastAsia" w:ascii="宋体" w:hAnsi="宋体"/>
                <w:sz w:val="24"/>
              </w:rPr>
              <w:t>采购代理机构名称：河南招标采购服务有限公司</w:t>
            </w:r>
          </w:p>
          <w:p>
            <w:pPr>
              <w:snapToGrid w:val="0"/>
              <w:spacing w:line="336" w:lineRule="auto"/>
              <w:rPr>
                <w:rFonts w:ascii="宋体" w:hAnsi="宋体"/>
                <w:sz w:val="24"/>
              </w:rPr>
            </w:pPr>
            <w:r>
              <w:rPr>
                <w:rFonts w:hint="eastAsia" w:ascii="宋体" w:hAnsi="宋体"/>
                <w:sz w:val="24"/>
              </w:rPr>
              <w:t>联系人：张女士</w:t>
            </w:r>
          </w:p>
          <w:p>
            <w:pPr>
              <w:snapToGrid w:val="0"/>
              <w:spacing w:line="336" w:lineRule="auto"/>
              <w:rPr>
                <w:rFonts w:ascii="宋体" w:hAnsi="宋体"/>
                <w:sz w:val="24"/>
              </w:rPr>
            </w:pPr>
            <w:r>
              <w:rPr>
                <w:rFonts w:hint="eastAsia" w:ascii="宋体" w:hAnsi="宋体"/>
                <w:sz w:val="24"/>
              </w:rPr>
              <w:t>电话：0377-63533599  18537736625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962" w:type="dxa"/>
            <w:vAlign w:val="center"/>
          </w:tcPr>
          <w:p>
            <w:pPr>
              <w:snapToGrid w:val="0"/>
              <w:spacing w:line="336" w:lineRule="auto"/>
              <w:jc w:val="center"/>
              <w:rPr>
                <w:rFonts w:ascii="宋体" w:hAnsi="宋体"/>
                <w:sz w:val="24"/>
              </w:rPr>
            </w:pPr>
            <w:r>
              <w:rPr>
                <w:rFonts w:hint="eastAsia" w:ascii="宋体" w:hAnsi="宋体"/>
                <w:sz w:val="24"/>
              </w:rPr>
              <w:t>4</w:t>
            </w:r>
          </w:p>
        </w:tc>
        <w:tc>
          <w:tcPr>
            <w:tcW w:w="7964" w:type="dxa"/>
          </w:tcPr>
          <w:p>
            <w:pPr>
              <w:snapToGrid w:val="0"/>
              <w:spacing w:line="336" w:lineRule="auto"/>
              <w:rPr>
                <w:rFonts w:ascii="宋体" w:hAnsi="宋体"/>
                <w:sz w:val="24"/>
              </w:rPr>
            </w:pPr>
            <w:r>
              <w:rPr>
                <w:rFonts w:hint="eastAsia" w:ascii="宋体" w:hAnsi="宋体"/>
                <w:sz w:val="24"/>
              </w:rPr>
              <w:t>现场勘查：不组织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962" w:type="dxa"/>
            <w:tcBorders>
              <w:bottom w:val="single" w:color="auto" w:sz="6" w:space="0"/>
            </w:tcBorders>
            <w:vAlign w:val="center"/>
          </w:tcPr>
          <w:p>
            <w:pPr>
              <w:snapToGrid w:val="0"/>
              <w:spacing w:line="336" w:lineRule="auto"/>
              <w:jc w:val="center"/>
              <w:rPr>
                <w:rFonts w:ascii="宋体" w:hAnsi="宋体"/>
                <w:sz w:val="24"/>
              </w:rPr>
            </w:pPr>
            <w:r>
              <w:rPr>
                <w:rFonts w:hint="eastAsia" w:ascii="宋体" w:hAnsi="宋体"/>
                <w:sz w:val="24"/>
              </w:rPr>
              <w:t>5</w:t>
            </w:r>
          </w:p>
        </w:tc>
        <w:tc>
          <w:tcPr>
            <w:tcW w:w="7964" w:type="dxa"/>
            <w:tcBorders>
              <w:bottom w:val="single" w:color="auto" w:sz="6" w:space="0"/>
            </w:tcBorders>
          </w:tcPr>
          <w:p>
            <w:pPr>
              <w:tabs>
                <w:tab w:val="left" w:pos="588"/>
              </w:tabs>
              <w:snapToGrid w:val="0"/>
              <w:spacing w:line="336" w:lineRule="auto"/>
              <w:rPr>
                <w:rFonts w:ascii="宋体" w:hAnsi="宋体"/>
                <w:sz w:val="24"/>
              </w:rPr>
            </w:pPr>
            <w:r>
              <w:rPr>
                <w:rFonts w:hint="eastAsia" w:ascii="宋体" w:hAnsi="宋体"/>
                <w:sz w:val="24"/>
              </w:rPr>
              <w:t>*磋商供应商资格要求：</w:t>
            </w:r>
          </w:p>
          <w:p>
            <w:pPr>
              <w:spacing w:line="450" w:lineRule="exact"/>
              <w:rPr>
                <w:rFonts w:ascii="宋体" w:hAnsi="宋体"/>
                <w:sz w:val="24"/>
              </w:rPr>
            </w:pPr>
            <w:r>
              <w:rPr>
                <w:rFonts w:hint="eastAsia" w:ascii="宋体" w:hAnsi="宋体"/>
                <w:sz w:val="24"/>
              </w:rPr>
              <w:t>满足竞争性磋商公告“二、申请人资格要求”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962" w:type="dxa"/>
            <w:tcBorders>
              <w:bottom w:val="single" w:color="auto" w:sz="6" w:space="0"/>
            </w:tcBorders>
            <w:vAlign w:val="center"/>
          </w:tcPr>
          <w:p>
            <w:pPr>
              <w:snapToGrid w:val="0"/>
              <w:spacing w:line="336" w:lineRule="auto"/>
              <w:jc w:val="center"/>
              <w:rPr>
                <w:rFonts w:ascii="宋体" w:hAnsi="宋体"/>
                <w:sz w:val="24"/>
              </w:rPr>
            </w:pPr>
            <w:r>
              <w:rPr>
                <w:rFonts w:hint="eastAsia" w:ascii="宋体" w:hAnsi="宋体"/>
                <w:sz w:val="24"/>
              </w:rPr>
              <w:t>6</w:t>
            </w:r>
          </w:p>
        </w:tc>
        <w:tc>
          <w:tcPr>
            <w:tcW w:w="7964" w:type="dxa"/>
            <w:tcBorders>
              <w:bottom w:val="single" w:color="auto" w:sz="6" w:space="0"/>
            </w:tcBorders>
          </w:tcPr>
          <w:p>
            <w:pPr>
              <w:snapToGrid w:val="0"/>
              <w:spacing w:line="336" w:lineRule="auto"/>
              <w:rPr>
                <w:rFonts w:ascii="宋体" w:hAnsi="宋体"/>
                <w:sz w:val="24"/>
              </w:rPr>
            </w:pPr>
            <w:r>
              <w:rPr>
                <w:rFonts w:hint="eastAsia" w:ascii="宋体" w:hAnsi="宋体"/>
                <w:sz w:val="24"/>
              </w:rPr>
              <w:t>语言：中文，磋商供应商提供的外文资料应附有相应的中文译本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70" w:hRule="atLeast"/>
          <w:jc w:val="center"/>
        </w:trPr>
        <w:tc>
          <w:tcPr>
            <w:tcW w:w="8926" w:type="dxa"/>
            <w:gridSpan w:val="2"/>
            <w:vAlign w:val="center"/>
          </w:tcPr>
          <w:p>
            <w:pPr>
              <w:snapToGrid w:val="0"/>
              <w:spacing w:line="336" w:lineRule="auto"/>
              <w:jc w:val="center"/>
              <w:rPr>
                <w:rFonts w:ascii="宋体" w:hAnsi="宋体"/>
                <w:b/>
                <w:bCs/>
                <w:sz w:val="24"/>
              </w:rPr>
            </w:pPr>
            <w:r>
              <w:rPr>
                <w:rFonts w:hint="eastAsia" w:ascii="宋体" w:hAnsi="宋体"/>
                <w:b/>
                <w:bCs/>
                <w:sz w:val="24"/>
              </w:rPr>
              <w:t>投  标  报  价  和  货  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962" w:type="dxa"/>
            <w:vAlign w:val="center"/>
          </w:tcPr>
          <w:p>
            <w:pPr>
              <w:snapToGrid w:val="0"/>
              <w:spacing w:line="336" w:lineRule="auto"/>
              <w:jc w:val="center"/>
              <w:rPr>
                <w:rFonts w:ascii="宋体" w:hAnsi="宋体"/>
                <w:sz w:val="24"/>
              </w:rPr>
            </w:pPr>
            <w:r>
              <w:rPr>
                <w:rFonts w:hint="eastAsia" w:ascii="宋体" w:hAnsi="宋体"/>
                <w:sz w:val="24"/>
              </w:rPr>
              <w:t>7</w:t>
            </w:r>
          </w:p>
        </w:tc>
        <w:tc>
          <w:tcPr>
            <w:tcW w:w="7964" w:type="dxa"/>
          </w:tcPr>
          <w:p>
            <w:pPr>
              <w:snapToGrid w:val="0"/>
              <w:spacing w:line="336" w:lineRule="auto"/>
              <w:jc w:val="left"/>
              <w:rPr>
                <w:rFonts w:ascii="宋体" w:hAnsi="宋体"/>
                <w:sz w:val="24"/>
              </w:rPr>
            </w:pPr>
            <w:r>
              <w:rPr>
                <w:rFonts w:hint="eastAsia" w:ascii="宋体" w:hAnsi="宋体"/>
                <w:sz w:val="24"/>
              </w:rPr>
              <w:t>磋商报价为：目的地交货价（含货物运保费、安装调试培训、售后服务等相关费用）。</w:t>
            </w:r>
          </w:p>
          <w:p>
            <w:pPr>
              <w:spacing w:line="336" w:lineRule="auto"/>
              <w:rPr>
                <w:rFonts w:ascii="宋体" w:hAnsi="宋体"/>
                <w:sz w:val="24"/>
              </w:rPr>
            </w:pPr>
            <w:r>
              <w:rPr>
                <w:rFonts w:hint="eastAsia" w:ascii="宋体" w:hAnsi="宋体"/>
                <w:sz w:val="24"/>
              </w:rPr>
              <w:t>相关费用（由成交供应商承担的费用）：包括运保费、伴随服务费和代理服务费。</w:t>
            </w:r>
          </w:p>
          <w:p>
            <w:pPr>
              <w:spacing w:line="336" w:lineRule="auto"/>
              <w:rPr>
                <w:rFonts w:ascii="宋体" w:hAnsi="宋体"/>
                <w:sz w:val="24"/>
              </w:rPr>
            </w:pPr>
            <w:r>
              <w:rPr>
                <w:rFonts w:hint="eastAsia" w:ascii="宋体" w:hAnsi="宋体"/>
                <w:sz w:val="24"/>
              </w:rPr>
              <w:t>代理服务费：参照执行原国家计委《招标代理服务收费管理暂行办法》（计价格【2002】1980号）和《国家发展和改革委员会办公厅关于招标代理服务费有关问题的通知》（发改办价格【2003】857号）的规定。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62" w:type="dxa"/>
            <w:vAlign w:val="center"/>
          </w:tcPr>
          <w:p>
            <w:pPr>
              <w:snapToGrid w:val="0"/>
              <w:spacing w:line="336" w:lineRule="auto"/>
              <w:jc w:val="center"/>
              <w:rPr>
                <w:rFonts w:ascii="宋体" w:hAnsi="宋体"/>
                <w:sz w:val="24"/>
              </w:rPr>
            </w:pPr>
            <w:r>
              <w:rPr>
                <w:rFonts w:hint="eastAsia" w:ascii="宋体" w:hAnsi="宋体"/>
                <w:sz w:val="24"/>
              </w:rPr>
              <w:t>8</w:t>
            </w:r>
          </w:p>
        </w:tc>
        <w:tc>
          <w:tcPr>
            <w:tcW w:w="7964" w:type="dxa"/>
            <w:vAlign w:val="center"/>
          </w:tcPr>
          <w:p>
            <w:pPr>
              <w:tabs>
                <w:tab w:val="left" w:pos="692"/>
              </w:tabs>
              <w:snapToGrid w:val="0"/>
              <w:spacing w:line="336" w:lineRule="auto"/>
              <w:rPr>
                <w:rFonts w:ascii="宋体" w:hAnsi="宋体"/>
                <w:sz w:val="24"/>
              </w:rPr>
            </w:pPr>
            <w:r>
              <w:rPr>
                <w:rFonts w:hint="eastAsia" w:ascii="宋体" w:hAnsi="宋体"/>
                <w:sz w:val="24"/>
              </w:rPr>
              <w:t>磋商货币：人民币。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8926" w:type="dxa"/>
            <w:gridSpan w:val="2"/>
            <w:vAlign w:val="center"/>
          </w:tcPr>
          <w:p>
            <w:pPr>
              <w:snapToGrid w:val="0"/>
              <w:spacing w:line="336" w:lineRule="auto"/>
              <w:jc w:val="center"/>
              <w:rPr>
                <w:rFonts w:ascii="宋体" w:hAnsi="宋体"/>
                <w:b/>
                <w:bCs/>
                <w:sz w:val="24"/>
              </w:rPr>
            </w:pPr>
            <w:r>
              <w:rPr>
                <w:rFonts w:hint="eastAsia" w:ascii="宋体" w:hAnsi="宋体"/>
                <w:b/>
                <w:bCs/>
                <w:sz w:val="24"/>
              </w:rPr>
              <w:t>磋商响应文件的编制和递交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3" w:hRule="atLeast"/>
          <w:jc w:val="center"/>
        </w:trPr>
        <w:tc>
          <w:tcPr>
            <w:tcW w:w="962" w:type="dxa"/>
            <w:vAlign w:val="center"/>
          </w:tcPr>
          <w:p>
            <w:pPr>
              <w:snapToGrid w:val="0"/>
              <w:spacing w:line="336" w:lineRule="auto"/>
              <w:jc w:val="center"/>
              <w:rPr>
                <w:rFonts w:ascii="宋体" w:hAnsi="宋体"/>
                <w:sz w:val="24"/>
              </w:rPr>
            </w:pPr>
            <w:r>
              <w:rPr>
                <w:rFonts w:hint="eastAsia" w:ascii="宋体" w:hAnsi="宋体"/>
                <w:sz w:val="24"/>
              </w:rPr>
              <w:t>9</w:t>
            </w:r>
          </w:p>
        </w:tc>
        <w:tc>
          <w:tcPr>
            <w:tcW w:w="7964" w:type="dxa"/>
            <w:tcBorders>
              <w:top w:val="single" w:color="auto" w:sz="12" w:space="0"/>
            </w:tcBorders>
          </w:tcPr>
          <w:p>
            <w:pPr>
              <w:snapToGrid w:val="0"/>
              <w:spacing w:line="336" w:lineRule="auto"/>
              <w:rPr>
                <w:rFonts w:ascii="宋体" w:hAnsi="宋体"/>
                <w:sz w:val="24"/>
              </w:rPr>
            </w:pPr>
            <w:r>
              <w:rPr>
                <w:rFonts w:hint="eastAsia" w:ascii="宋体" w:hAnsi="宋体"/>
                <w:sz w:val="24"/>
              </w:rPr>
              <w:t>*磋商保证金金额：</w:t>
            </w:r>
          </w:p>
          <w:p>
            <w:pPr>
              <w:snapToGrid w:val="0"/>
              <w:spacing w:line="336" w:lineRule="auto"/>
              <w:rPr>
                <w:rFonts w:ascii="宋体" w:hAnsi="宋体"/>
                <w:sz w:val="24"/>
              </w:rPr>
            </w:pPr>
            <w:r>
              <w:rPr>
                <w:rFonts w:hint="eastAsia" w:ascii="宋体" w:hAnsi="宋体"/>
                <w:sz w:val="24"/>
              </w:rPr>
              <w:t>根据河南省财政厅关于优化政府采购营商环境有关问题的通知（豫财购（2019）4号），</w:t>
            </w:r>
            <w:r>
              <w:rPr>
                <w:rFonts w:ascii="宋体" w:hAnsi="宋体" w:cs="宋体"/>
                <w:kern w:val="0"/>
                <w:sz w:val="24"/>
              </w:rPr>
              <w:t>本项目不再要求缴纳</w:t>
            </w:r>
            <w:r>
              <w:rPr>
                <w:rFonts w:hint="eastAsia" w:ascii="宋体" w:hAnsi="宋体" w:cs="宋体"/>
                <w:kern w:val="0"/>
                <w:sz w:val="24"/>
              </w:rPr>
              <w:t>磋商</w:t>
            </w:r>
            <w:r>
              <w:rPr>
                <w:rFonts w:ascii="宋体" w:hAnsi="宋体" w:cs="宋体"/>
                <w:kern w:val="0"/>
                <w:sz w:val="24"/>
              </w:rPr>
              <w:t>保证金</w:t>
            </w:r>
            <w:r>
              <w:rPr>
                <w:rFonts w:hint="eastAsia" w:ascii="宋体" w:hAnsi="宋体" w:cs="宋体"/>
                <w:kern w:val="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962" w:type="dxa"/>
            <w:vAlign w:val="center"/>
          </w:tcPr>
          <w:p>
            <w:pPr>
              <w:snapToGrid w:val="0"/>
              <w:spacing w:line="336" w:lineRule="auto"/>
              <w:jc w:val="center"/>
              <w:rPr>
                <w:rFonts w:ascii="宋体" w:hAnsi="宋体"/>
                <w:sz w:val="24"/>
              </w:rPr>
            </w:pPr>
            <w:r>
              <w:rPr>
                <w:rFonts w:hint="eastAsia" w:ascii="宋体" w:hAnsi="宋体"/>
                <w:sz w:val="24"/>
              </w:rPr>
              <w:t>10</w:t>
            </w:r>
          </w:p>
        </w:tc>
        <w:tc>
          <w:tcPr>
            <w:tcW w:w="7964" w:type="dxa"/>
            <w:vAlign w:val="center"/>
          </w:tcPr>
          <w:p>
            <w:pPr>
              <w:snapToGrid w:val="0"/>
              <w:spacing w:line="336" w:lineRule="auto"/>
              <w:rPr>
                <w:rFonts w:ascii="宋体" w:hAnsi="宋体"/>
                <w:sz w:val="24"/>
              </w:rPr>
            </w:pPr>
            <w:r>
              <w:rPr>
                <w:rFonts w:hint="eastAsia" w:ascii="宋体" w:hAnsi="宋体"/>
                <w:sz w:val="24"/>
              </w:rPr>
              <w:t>*磋商响应文件有效期：从磋商之日起60天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962" w:type="dxa"/>
            <w:vAlign w:val="center"/>
          </w:tcPr>
          <w:p>
            <w:pPr>
              <w:snapToGrid w:val="0"/>
              <w:spacing w:line="336" w:lineRule="auto"/>
              <w:jc w:val="center"/>
              <w:rPr>
                <w:rFonts w:ascii="宋体" w:hAnsi="宋体"/>
                <w:sz w:val="24"/>
              </w:rPr>
            </w:pPr>
            <w:r>
              <w:rPr>
                <w:rFonts w:hint="eastAsia" w:ascii="宋体" w:hAnsi="宋体"/>
                <w:sz w:val="24"/>
              </w:rPr>
              <w:t>11</w:t>
            </w:r>
          </w:p>
        </w:tc>
        <w:tc>
          <w:tcPr>
            <w:tcW w:w="7964" w:type="dxa"/>
            <w:vAlign w:val="center"/>
          </w:tcPr>
          <w:p>
            <w:pPr>
              <w:snapToGrid w:val="0"/>
              <w:spacing w:line="336" w:lineRule="auto"/>
              <w:rPr>
                <w:sz w:val="24"/>
              </w:rPr>
            </w:pPr>
            <w:r>
              <w:rPr>
                <w:rFonts w:hint="eastAsia" w:ascii="宋体" w:hAnsi="宋体"/>
                <w:sz w:val="24"/>
              </w:rPr>
              <w:t>*</w:t>
            </w:r>
            <w:r>
              <w:rPr>
                <w:rFonts w:hint="eastAsia"/>
                <w:sz w:val="24"/>
              </w:rPr>
              <w:t>响应文件份数：壹正叁副，电子版一份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962" w:type="dxa"/>
            <w:vAlign w:val="center"/>
          </w:tcPr>
          <w:p>
            <w:pPr>
              <w:snapToGrid w:val="0"/>
              <w:spacing w:line="336" w:lineRule="auto"/>
              <w:jc w:val="center"/>
              <w:rPr>
                <w:rFonts w:ascii="宋体" w:hAnsi="宋体"/>
                <w:sz w:val="24"/>
              </w:rPr>
            </w:pPr>
            <w:r>
              <w:rPr>
                <w:rFonts w:hint="eastAsia" w:ascii="宋体" w:hAnsi="宋体"/>
                <w:sz w:val="24"/>
              </w:rPr>
              <w:t>12</w:t>
            </w:r>
          </w:p>
        </w:tc>
        <w:tc>
          <w:tcPr>
            <w:tcW w:w="7964" w:type="dxa"/>
            <w:vAlign w:val="center"/>
          </w:tcPr>
          <w:p>
            <w:pPr>
              <w:snapToGrid w:val="0"/>
              <w:spacing w:line="336" w:lineRule="auto"/>
              <w:rPr>
                <w:sz w:val="24"/>
              </w:rPr>
            </w:pPr>
            <w:r>
              <w:rPr>
                <w:rFonts w:hint="eastAsia" w:ascii="宋体" w:hAnsi="宋体"/>
                <w:sz w:val="24"/>
              </w:rPr>
              <w:t>*</w:t>
            </w:r>
            <w:r>
              <w:rPr>
                <w:rFonts w:hint="eastAsia"/>
                <w:sz w:val="24"/>
              </w:rPr>
              <w:t>响应文件编制：</w:t>
            </w:r>
          </w:p>
          <w:p>
            <w:pPr>
              <w:snapToGrid w:val="0"/>
              <w:spacing w:line="336" w:lineRule="auto"/>
              <w:rPr>
                <w:sz w:val="24"/>
              </w:rPr>
            </w:pPr>
            <w:r>
              <w:rPr>
                <w:rFonts w:hint="eastAsia"/>
                <w:sz w:val="24"/>
              </w:rPr>
              <w:t>响应文件按磋商文件格式要求进行编制，纸质版需应采用白底A4纸张打印，</w:t>
            </w:r>
            <w:r>
              <w:rPr>
                <w:rFonts w:hint="eastAsia" w:asciiTheme="minorEastAsia" w:hAnsiTheme="minorEastAsia" w:cstheme="minorEastAsia"/>
                <w:sz w:val="24"/>
              </w:rPr>
              <w:t>装订成册，不得散放、不得行间插字、涂改或增删。如有修改错漏处，必须由供应商的法定代表人或其授权代表签字和盖章。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962" w:type="dxa"/>
            <w:vAlign w:val="center"/>
          </w:tcPr>
          <w:p>
            <w:pPr>
              <w:snapToGrid w:val="0"/>
              <w:spacing w:line="336" w:lineRule="auto"/>
              <w:jc w:val="center"/>
              <w:rPr>
                <w:rFonts w:ascii="宋体" w:hAnsi="宋体"/>
                <w:sz w:val="24"/>
              </w:rPr>
            </w:pPr>
            <w:r>
              <w:rPr>
                <w:rFonts w:hint="eastAsia" w:ascii="宋体" w:hAnsi="宋体"/>
                <w:sz w:val="24"/>
              </w:rPr>
              <w:t>13</w:t>
            </w:r>
          </w:p>
        </w:tc>
        <w:tc>
          <w:tcPr>
            <w:tcW w:w="7964" w:type="dxa"/>
            <w:vAlign w:val="center"/>
          </w:tcPr>
          <w:p>
            <w:pPr>
              <w:snapToGrid w:val="0"/>
              <w:spacing w:line="336" w:lineRule="auto"/>
              <w:rPr>
                <w:kern w:val="0"/>
                <w:sz w:val="24"/>
              </w:rPr>
            </w:pPr>
            <w:r>
              <w:rPr>
                <w:rFonts w:hint="eastAsia" w:ascii="宋体" w:hAnsi="宋体"/>
                <w:sz w:val="24"/>
              </w:rPr>
              <w:t>*</w:t>
            </w:r>
            <w:r>
              <w:rPr>
                <w:rFonts w:hint="eastAsia"/>
                <w:kern w:val="0"/>
                <w:sz w:val="24"/>
              </w:rPr>
              <w:t>封套上写明：</w:t>
            </w:r>
          </w:p>
          <w:p>
            <w:pPr>
              <w:snapToGrid w:val="0"/>
              <w:spacing w:line="336" w:lineRule="auto"/>
              <w:rPr>
                <w:sz w:val="24"/>
              </w:rPr>
            </w:pPr>
            <w:r>
              <w:rPr>
                <w:rFonts w:hint="eastAsia"/>
                <w:sz w:val="24"/>
              </w:rPr>
              <w:t>响应文件（正本/副本）</w:t>
            </w:r>
          </w:p>
          <w:p>
            <w:pPr>
              <w:snapToGrid w:val="0"/>
              <w:spacing w:line="336" w:lineRule="auto"/>
              <w:rPr>
                <w:sz w:val="24"/>
              </w:rPr>
            </w:pPr>
            <w:r>
              <w:rPr>
                <w:rFonts w:hint="eastAsia"/>
                <w:sz w:val="24"/>
              </w:rPr>
              <w:t xml:space="preserve">项目名称： </w:t>
            </w:r>
          </w:p>
          <w:p>
            <w:pPr>
              <w:snapToGrid w:val="0"/>
              <w:spacing w:line="336" w:lineRule="auto"/>
              <w:rPr>
                <w:sz w:val="24"/>
              </w:rPr>
            </w:pPr>
            <w:r>
              <w:rPr>
                <w:rFonts w:hint="eastAsia"/>
                <w:sz w:val="24"/>
              </w:rPr>
              <w:t>项目编号：</w:t>
            </w:r>
          </w:p>
          <w:p>
            <w:pPr>
              <w:snapToGrid w:val="0"/>
              <w:spacing w:line="336" w:lineRule="auto"/>
              <w:rPr>
                <w:sz w:val="24"/>
              </w:rPr>
            </w:pPr>
            <w:r>
              <w:rPr>
                <w:rFonts w:hint="eastAsia"/>
                <w:sz w:val="24"/>
              </w:rPr>
              <w:t>响应人名称（公章）：</w:t>
            </w:r>
          </w:p>
          <w:p>
            <w:pPr>
              <w:snapToGrid w:val="0"/>
              <w:spacing w:line="336" w:lineRule="auto"/>
              <w:rPr>
                <w:sz w:val="24"/>
              </w:rPr>
            </w:pPr>
            <w:r>
              <w:rPr>
                <w:rFonts w:hint="eastAsia"/>
                <w:sz w:val="24"/>
              </w:rPr>
              <w:t>在  年   月   日   时   分之前不得启封：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962" w:type="dxa"/>
            <w:vAlign w:val="center"/>
          </w:tcPr>
          <w:p>
            <w:pPr>
              <w:snapToGrid w:val="0"/>
              <w:spacing w:line="336" w:lineRule="auto"/>
              <w:jc w:val="center"/>
              <w:rPr>
                <w:rFonts w:ascii="宋体" w:hAnsi="宋体"/>
                <w:sz w:val="24"/>
              </w:rPr>
            </w:pPr>
            <w:r>
              <w:rPr>
                <w:rFonts w:hint="eastAsia" w:ascii="宋体" w:hAnsi="宋体"/>
                <w:sz w:val="24"/>
              </w:rPr>
              <w:t>14</w:t>
            </w:r>
          </w:p>
        </w:tc>
        <w:tc>
          <w:tcPr>
            <w:tcW w:w="7964" w:type="dxa"/>
            <w:vAlign w:val="center"/>
          </w:tcPr>
          <w:p>
            <w:pPr>
              <w:autoSpaceDE w:val="0"/>
              <w:autoSpaceDN w:val="0"/>
              <w:adjustRightInd w:val="0"/>
              <w:snapToGrid w:val="0"/>
              <w:spacing w:line="336" w:lineRule="auto"/>
              <w:rPr>
                <w:rFonts w:ascii="宋体" w:hAnsi="宋体"/>
                <w:spacing w:val="2"/>
                <w:sz w:val="24"/>
              </w:rPr>
            </w:pPr>
            <w:r>
              <w:rPr>
                <w:rFonts w:hint="eastAsia" w:ascii="宋体" w:hAnsi="宋体"/>
                <w:sz w:val="24"/>
              </w:rPr>
              <w:t>*</w:t>
            </w:r>
            <w:r>
              <w:rPr>
                <w:rFonts w:hint="eastAsia" w:ascii="宋体" w:hAnsi="宋体"/>
                <w:spacing w:val="2"/>
                <w:sz w:val="24"/>
              </w:rPr>
              <w:t>响应文件的递交时间及地点：</w:t>
            </w:r>
          </w:p>
          <w:p>
            <w:pPr>
              <w:autoSpaceDE w:val="0"/>
              <w:autoSpaceDN w:val="0"/>
              <w:adjustRightInd w:val="0"/>
              <w:snapToGrid w:val="0"/>
              <w:spacing w:line="336" w:lineRule="auto"/>
              <w:rPr>
                <w:rFonts w:ascii="宋体" w:hAnsi="宋体"/>
                <w:color w:val="000000"/>
                <w:spacing w:val="2"/>
                <w:sz w:val="24"/>
              </w:rPr>
            </w:pPr>
            <w:r>
              <w:rPr>
                <w:rFonts w:hint="eastAsia" w:ascii="宋体" w:hAnsi="宋体"/>
                <w:spacing w:val="2"/>
                <w:sz w:val="24"/>
              </w:rPr>
              <w:t>时间：</w:t>
            </w:r>
            <w:r>
              <w:rPr>
                <w:rFonts w:hint="eastAsia" w:ascii="宋体" w:hAnsi="宋体"/>
                <w:color w:val="000000"/>
                <w:sz w:val="24"/>
              </w:rPr>
              <w:t>2021年8月30日15时00分</w:t>
            </w:r>
          </w:p>
          <w:p>
            <w:pPr>
              <w:pStyle w:val="11"/>
              <w:spacing w:line="336" w:lineRule="auto"/>
              <w:ind w:firstLine="0" w:firstLineChars="0"/>
              <w:rPr>
                <w:rFonts w:ascii="宋体" w:hAnsi="宋体"/>
                <w:szCs w:val="24"/>
              </w:rPr>
            </w:pPr>
            <w:r>
              <w:rPr>
                <w:rFonts w:hint="eastAsia" w:ascii="宋体" w:hAnsi="宋体"/>
                <w:szCs w:val="24"/>
              </w:rPr>
              <w:t>地点：河南招标采购服务有限公司南阳分公司（南阳市孔明路与范蠡路交叉口南100米学府公寓2号楼13A层）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962" w:type="dxa"/>
            <w:vAlign w:val="center"/>
          </w:tcPr>
          <w:p>
            <w:pPr>
              <w:snapToGrid w:val="0"/>
              <w:spacing w:line="336" w:lineRule="auto"/>
              <w:jc w:val="center"/>
              <w:rPr>
                <w:rFonts w:ascii="宋体" w:hAnsi="宋体"/>
                <w:sz w:val="24"/>
              </w:rPr>
            </w:pPr>
            <w:r>
              <w:rPr>
                <w:rFonts w:hint="eastAsia" w:ascii="宋体" w:hAnsi="宋体"/>
                <w:sz w:val="24"/>
              </w:rPr>
              <w:t>15</w:t>
            </w:r>
          </w:p>
        </w:tc>
        <w:tc>
          <w:tcPr>
            <w:tcW w:w="7964" w:type="dxa"/>
            <w:vAlign w:val="center"/>
          </w:tcPr>
          <w:p>
            <w:pPr>
              <w:snapToGrid w:val="0"/>
              <w:spacing w:line="336" w:lineRule="auto"/>
              <w:rPr>
                <w:rFonts w:ascii="宋体" w:hAnsi="宋体"/>
                <w:sz w:val="24"/>
              </w:rPr>
            </w:pPr>
            <w:bookmarkStart w:id="572" w:name="OLE_LINK2"/>
            <w:r>
              <w:rPr>
                <w:rFonts w:hint="eastAsia"/>
                <w:b/>
                <w:bCs/>
                <w:sz w:val="24"/>
              </w:rPr>
              <w:t>最高限价：人民币：223</w:t>
            </w:r>
            <w:r>
              <w:rPr>
                <w:rFonts w:hint="eastAsia"/>
                <w:b/>
                <w:bCs/>
                <w:sz w:val="24"/>
                <w:lang w:val="en-US" w:eastAsia="zh-CN"/>
              </w:rPr>
              <w:t>00</w:t>
            </w:r>
            <w:r>
              <w:rPr>
                <w:rFonts w:hint="eastAsia"/>
                <w:b/>
                <w:bCs/>
                <w:sz w:val="24"/>
              </w:rPr>
              <w:t>0</w:t>
            </w:r>
            <w:r>
              <w:rPr>
                <w:rFonts w:hint="eastAsia"/>
                <w:b/>
                <w:sz w:val="24"/>
              </w:rPr>
              <w:t>.00</w:t>
            </w:r>
            <w:r>
              <w:rPr>
                <w:rFonts w:hint="eastAsia"/>
                <w:b/>
                <w:bCs/>
                <w:kern w:val="0"/>
                <w:sz w:val="24"/>
                <w:shd w:val="clear" w:color="auto" w:fill="FFFFFF"/>
              </w:rPr>
              <w:t>元</w:t>
            </w:r>
            <w:bookmarkEnd w:id="572"/>
            <w:r>
              <w:rPr>
                <w:rFonts w:hint="eastAsia"/>
                <w:b/>
                <w:bCs/>
                <w:kern w:val="0"/>
                <w:sz w:val="24"/>
                <w:shd w:val="clear" w:color="auto" w:fill="FFFFFF"/>
              </w:rPr>
              <w:t>。投标报价高于控制价视为无效标。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62" w:type="dxa"/>
            <w:vAlign w:val="center"/>
          </w:tcPr>
          <w:p>
            <w:pPr>
              <w:snapToGrid w:val="0"/>
              <w:spacing w:line="336" w:lineRule="auto"/>
              <w:jc w:val="center"/>
              <w:rPr>
                <w:rFonts w:ascii="宋体" w:hAnsi="宋体"/>
                <w:sz w:val="24"/>
              </w:rPr>
            </w:pPr>
            <w:r>
              <w:rPr>
                <w:rFonts w:hint="eastAsia" w:ascii="宋体" w:hAnsi="宋体"/>
                <w:sz w:val="24"/>
              </w:rPr>
              <w:t>16</w:t>
            </w:r>
          </w:p>
        </w:tc>
        <w:tc>
          <w:tcPr>
            <w:tcW w:w="7964" w:type="dxa"/>
            <w:vAlign w:val="center"/>
          </w:tcPr>
          <w:p>
            <w:pPr>
              <w:snapToGrid w:val="0"/>
              <w:spacing w:line="336" w:lineRule="auto"/>
              <w:rPr>
                <w:rFonts w:ascii="宋体" w:hAnsi="宋体"/>
                <w:sz w:val="24"/>
              </w:rPr>
            </w:pPr>
            <w:r>
              <w:rPr>
                <w:rFonts w:hint="eastAsia" w:ascii="宋体" w:hAnsi="宋体"/>
                <w:sz w:val="24"/>
              </w:rPr>
              <w:t>资格证明文件：</w:t>
            </w:r>
          </w:p>
          <w:p>
            <w:pPr>
              <w:spacing w:line="336" w:lineRule="auto"/>
              <w:rPr>
                <w:rFonts w:ascii="宋体" w:hAnsi="宋体"/>
                <w:sz w:val="24"/>
              </w:rPr>
            </w:pPr>
            <w:r>
              <w:rPr>
                <w:rFonts w:hint="eastAsia" w:ascii="宋体" w:hAnsi="宋体"/>
                <w:sz w:val="24"/>
              </w:rPr>
              <w:t xml:space="preserve">*1、营业执照； </w:t>
            </w:r>
          </w:p>
          <w:p>
            <w:pPr>
              <w:spacing w:line="336" w:lineRule="auto"/>
              <w:rPr>
                <w:rFonts w:ascii="宋体" w:hAnsi="宋体"/>
                <w:sz w:val="24"/>
              </w:rPr>
            </w:pPr>
            <w:r>
              <w:rPr>
                <w:rFonts w:hint="eastAsia" w:ascii="宋体" w:hAnsi="宋体"/>
                <w:sz w:val="24"/>
              </w:rPr>
              <w:t>*2、法定代表人授权委托书原件；</w:t>
            </w:r>
          </w:p>
          <w:p>
            <w:pPr>
              <w:spacing w:line="336" w:lineRule="auto"/>
              <w:rPr>
                <w:rFonts w:ascii="宋体" w:hAnsi="宋体"/>
                <w:sz w:val="24"/>
              </w:rPr>
            </w:pPr>
            <w:r>
              <w:rPr>
                <w:rFonts w:hint="eastAsia" w:ascii="宋体" w:hAnsi="宋体"/>
                <w:sz w:val="24"/>
              </w:rPr>
              <w:t>*3、供应商参加政府采购活动前三年内在经营活动中没有重大违法记录的书面声明；</w:t>
            </w:r>
          </w:p>
          <w:p>
            <w:pPr>
              <w:pStyle w:val="3"/>
              <w:numPr>
                <w:ilvl w:val="0"/>
                <w:numId w:val="0"/>
              </w:numPr>
              <w:spacing w:line="360" w:lineRule="auto"/>
              <w:jc w:val="both"/>
              <w:rPr>
                <w:rFonts w:ascii="宋体" w:hAnsi="宋体" w:eastAsia="宋体"/>
                <w:kern w:val="2"/>
                <w:sz w:val="24"/>
                <w:szCs w:val="24"/>
              </w:rPr>
            </w:pPr>
            <w:bookmarkStart w:id="573" w:name="_Toc19965"/>
            <w:r>
              <w:rPr>
                <w:rFonts w:hint="eastAsia" w:ascii="宋体" w:hAnsi="宋体" w:eastAsia="宋体"/>
                <w:kern w:val="2"/>
                <w:sz w:val="24"/>
                <w:szCs w:val="24"/>
              </w:rPr>
              <w:t>*4、提供2018年、2019年、2020年经审计的财务报告；如截止到开标时间投标人成立时间不足要求时限的，须提供近三个月内其基本开户银行出具的资信证明；</w:t>
            </w:r>
            <w:bookmarkEnd w:id="573"/>
            <w:r>
              <w:rPr>
                <w:rFonts w:hint="eastAsia" w:ascii="宋体" w:hAnsi="宋体" w:eastAsia="宋体"/>
                <w:kern w:val="2"/>
                <w:sz w:val="24"/>
                <w:szCs w:val="24"/>
              </w:rPr>
              <w:t xml:space="preserve"> </w:t>
            </w:r>
          </w:p>
          <w:p>
            <w:pPr>
              <w:spacing w:line="336" w:lineRule="auto"/>
              <w:rPr>
                <w:rFonts w:ascii="宋体" w:hAnsi="宋体"/>
                <w:sz w:val="24"/>
              </w:rPr>
            </w:pPr>
            <w:r>
              <w:rPr>
                <w:rFonts w:hint="eastAsia" w:ascii="宋体" w:hAnsi="宋体"/>
                <w:sz w:val="24"/>
              </w:rPr>
              <w:t>*5、提供2021年1月以来任意连续3个月纳税和社保证明材料&lt;依法免税企业，应提供相关证明文件&gt;；</w:t>
            </w:r>
            <w:bookmarkStart w:id="799" w:name="_GoBack"/>
            <w:bookmarkEnd w:id="799"/>
          </w:p>
          <w:p>
            <w:pPr>
              <w:spacing w:line="336" w:lineRule="auto"/>
              <w:rPr>
                <w:rFonts w:ascii="宋体" w:hAnsi="宋体"/>
                <w:sz w:val="24"/>
              </w:rPr>
            </w:pPr>
            <w:r>
              <w:rPr>
                <w:rFonts w:hint="eastAsia" w:ascii="宋体" w:hAnsi="宋体"/>
                <w:sz w:val="24"/>
              </w:rPr>
              <w:t>*6、反商业贿赂承诺书；</w:t>
            </w:r>
          </w:p>
          <w:p>
            <w:pPr>
              <w:pStyle w:val="45"/>
              <w:spacing w:line="336" w:lineRule="auto"/>
              <w:ind w:left="0" w:leftChars="0" w:firstLine="0" w:firstLineChars="0"/>
              <w:rPr>
                <w:rFonts w:ascii="宋体" w:hAnsi="宋体"/>
                <w:sz w:val="24"/>
              </w:rPr>
            </w:pPr>
            <w:r>
              <w:rPr>
                <w:rFonts w:hint="eastAsia" w:ascii="宋体" w:hAnsi="宋体"/>
                <w:sz w:val="24"/>
              </w:rPr>
              <w:t>*7、具有履行合同所必须的设备和专业技术能力（提供承诺书）；</w:t>
            </w:r>
          </w:p>
          <w:p>
            <w:pPr>
              <w:pStyle w:val="45"/>
              <w:spacing w:line="336" w:lineRule="auto"/>
              <w:ind w:left="0" w:leftChars="0" w:firstLine="0" w:firstLineChars="0"/>
              <w:rPr>
                <w:rFonts w:ascii="宋体" w:hAnsi="宋体"/>
                <w:sz w:val="24"/>
              </w:rPr>
            </w:pPr>
            <w:r>
              <w:rPr>
                <w:rFonts w:hint="eastAsia" w:ascii="宋体" w:hAnsi="宋体"/>
                <w:sz w:val="24"/>
              </w:rPr>
              <w:t>*8、信用查询</w:t>
            </w:r>
          </w:p>
          <w:p>
            <w:pPr>
              <w:tabs>
                <w:tab w:val="left" w:pos="152"/>
                <w:tab w:val="left" w:pos="588"/>
              </w:tabs>
              <w:snapToGrid w:val="0"/>
              <w:spacing w:line="336" w:lineRule="auto"/>
              <w:rPr>
                <w:rFonts w:ascii="宋体" w:hAnsi="宋体"/>
                <w:sz w:val="24"/>
              </w:rPr>
            </w:pPr>
            <w:r>
              <w:rPr>
                <w:rFonts w:hint="eastAsia" w:ascii="宋体" w:hAnsi="宋体"/>
                <w:sz w:val="24"/>
              </w:rPr>
              <w:t>9、磋商文件中和法律法规规定的资格文件</w:t>
            </w:r>
            <w:r>
              <w:rPr>
                <w:rFonts w:hint="eastAsia" w:ascii="宋体" w:hAnsi="宋体"/>
                <w:bCs/>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62" w:type="dxa"/>
            <w:vAlign w:val="center"/>
          </w:tcPr>
          <w:p>
            <w:pPr>
              <w:snapToGrid w:val="0"/>
              <w:spacing w:line="336" w:lineRule="auto"/>
              <w:jc w:val="center"/>
              <w:rPr>
                <w:rFonts w:ascii="宋体" w:hAnsi="宋体"/>
                <w:sz w:val="24"/>
              </w:rPr>
            </w:pPr>
            <w:r>
              <w:rPr>
                <w:rFonts w:hint="eastAsia" w:ascii="宋体" w:hAnsi="宋体"/>
                <w:sz w:val="24"/>
              </w:rPr>
              <w:t>17</w:t>
            </w:r>
          </w:p>
        </w:tc>
        <w:tc>
          <w:tcPr>
            <w:tcW w:w="7964" w:type="dxa"/>
            <w:vAlign w:val="center"/>
          </w:tcPr>
          <w:p>
            <w:pPr>
              <w:spacing w:line="336" w:lineRule="auto"/>
              <w:rPr>
                <w:rFonts w:ascii="宋体" w:hAnsi="宋体"/>
                <w:sz w:val="24"/>
              </w:rPr>
            </w:pPr>
            <w:r>
              <w:rPr>
                <w:rFonts w:hint="eastAsia" w:ascii="宋体" w:hAnsi="宋体"/>
                <w:sz w:val="24"/>
              </w:rPr>
              <w:t>政府采购专业信用担保机构：</w:t>
            </w:r>
          </w:p>
          <w:p>
            <w:pPr>
              <w:spacing w:line="336" w:lineRule="auto"/>
              <w:rPr>
                <w:rFonts w:ascii="宋体" w:hAnsi="宋体"/>
                <w:sz w:val="24"/>
              </w:rPr>
            </w:pPr>
            <w:r>
              <w:rPr>
                <w:rFonts w:hint="eastAsia" w:ascii="宋体" w:hAnsi="宋体"/>
                <w:sz w:val="24"/>
              </w:rPr>
              <w:t>1、中国投资担保有限公司</w:t>
            </w:r>
          </w:p>
          <w:p>
            <w:pPr>
              <w:spacing w:line="336" w:lineRule="auto"/>
              <w:rPr>
                <w:rFonts w:ascii="宋体" w:hAnsi="宋体"/>
                <w:sz w:val="24"/>
              </w:rPr>
            </w:pPr>
            <w:r>
              <w:rPr>
                <w:rFonts w:hint="eastAsia" w:ascii="宋体" w:hAnsi="宋体"/>
                <w:sz w:val="24"/>
              </w:rPr>
              <w:t>　 联系人：余青    手机：139 1032 4084</w:t>
            </w:r>
            <w:r>
              <w:rPr>
                <w:rFonts w:hint="eastAsia" w:ascii="宋体" w:hAnsi="宋体"/>
                <w:sz w:val="24"/>
              </w:rPr>
              <w:br w:type="textWrapping"/>
            </w:r>
            <w:r>
              <w:rPr>
                <w:rFonts w:hint="eastAsia" w:ascii="宋体" w:hAnsi="宋体"/>
                <w:sz w:val="24"/>
              </w:rPr>
              <w:t>　 联系电话：（010）8882 2652</w:t>
            </w:r>
            <w:r>
              <w:rPr>
                <w:rFonts w:hint="eastAsia" w:ascii="宋体" w:hAnsi="宋体"/>
                <w:sz w:val="24"/>
              </w:rPr>
              <w:br w:type="textWrapping"/>
            </w:r>
            <w:r>
              <w:rPr>
                <w:rFonts w:hint="eastAsia" w:ascii="宋体" w:hAnsi="宋体"/>
                <w:sz w:val="24"/>
              </w:rPr>
              <w:t>　 传  真：（010）6843 7040</w:t>
            </w:r>
            <w:r>
              <w:rPr>
                <w:rFonts w:hint="eastAsia" w:ascii="宋体" w:hAnsi="宋体"/>
                <w:sz w:val="24"/>
              </w:rPr>
              <w:br w:type="textWrapping"/>
            </w:r>
            <w:r>
              <w:rPr>
                <w:rFonts w:hint="eastAsia" w:ascii="宋体" w:hAnsi="宋体"/>
                <w:sz w:val="24"/>
              </w:rPr>
              <w:t>　 电子邮箱：</w:t>
            </w:r>
            <w:r>
              <w:fldChar w:fldCharType="begin"/>
            </w:r>
            <w:r>
              <w:instrText xml:space="preserve"> HYPERLINK "mailto:yuqing@guaranty.com.cn" </w:instrText>
            </w:r>
            <w:r>
              <w:fldChar w:fldCharType="separate"/>
            </w:r>
            <w:r>
              <w:rPr>
                <w:rFonts w:hint="eastAsia" w:ascii="宋体" w:hAnsi="宋体"/>
                <w:sz w:val="24"/>
              </w:rPr>
              <w:t>yuqing@guaranty.com.cn</w:t>
            </w:r>
            <w:r>
              <w:rPr>
                <w:rFonts w:hint="eastAsia" w:ascii="宋体" w:hAnsi="宋体"/>
                <w:sz w:val="24"/>
              </w:rPr>
              <w:fldChar w:fldCharType="end"/>
            </w:r>
            <w:r>
              <w:rPr>
                <w:rFonts w:hint="eastAsia" w:ascii="宋体" w:hAnsi="宋体"/>
                <w:sz w:val="24"/>
              </w:rPr>
              <w:br w:type="textWrapping"/>
            </w:r>
            <w:r>
              <w:rPr>
                <w:rFonts w:hint="eastAsia" w:ascii="宋体" w:hAnsi="宋体"/>
                <w:sz w:val="24"/>
              </w:rPr>
              <w:t>　 地址：北京市海淀区西三环北路100号金玉大厦九层</w:t>
            </w:r>
            <w:r>
              <w:rPr>
                <w:rFonts w:hint="eastAsia" w:ascii="宋体" w:hAnsi="宋体"/>
                <w:sz w:val="24"/>
              </w:rPr>
              <w:br w:type="textWrapping"/>
            </w:r>
            <w:r>
              <w:rPr>
                <w:rFonts w:hint="eastAsia" w:ascii="宋体" w:hAnsi="宋体"/>
                <w:sz w:val="24"/>
              </w:rPr>
              <w:t>2、河南省中小企业担保集团股份有限公司</w:t>
            </w:r>
            <w:r>
              <w:rPr>
                <w:rFonts w:hint="eastAsia" w:ascii="宋体" w:hAnsi="宋体"/>
                <w:sz w:val="24"/>
              </w:rPr>
              <w:br w:type="textWrapping"/>
            </w:r>
            <w:r>
              <w:rPr>
                <w:rFonts w:hint="eastAsia" w:ascii="宋体" w:hAnsi="宋体"/>
                <w:sz w:val="24"/>
              </w:rPr>
              <w:t>　　联系人：李广达   手机：139 0383 9877</w:t>
            </w:r>
            <w:r>
              <w:rPr>
                <w:rFonts w:hint="eastAsia" w:ascii="宋体" w:hAnsi="宋体"/>
                <w:sz w:val="24"/>
              </w:rPr>
              <w:br w:type="textWrapping"/>
            </w:r>
            <w:r>
              <w:rPr>
                <w:rFonts w:hint="eastAsia" w:ascii="宋体" w:hAnsi="宋体"/>
                <w:sz w:val="24"/>
              </w:rPr>
              <w:t>　　联系电话：（0371）8612 2082  8617 9782</w:t>
            </w:r>
            <w:r>
              <w:rPr>
                <w:rFonts w:hint="eastAsia" w:ascii="宋体" w:hAnsi="宋体"/>
                <w:sz w:val="24"/>
              </w:rPr>
              <w:br w:type="textWrapping"/>
            </w:r>
            <w:r>
              <w:rPr>
                <w:rFonts w:hint="eastAsia" w:ascii="宋体" w:hAnsi="宋体"/>
                <w:sz w:val="24"/>
              </w:rPr>
              <w:t>　　传真：（0371）8617 9809</w:t>
            </w:r>
            <w:r>
              <w:rPr>
                <w:rFonts w:hint="eastAsia" w:ascii="宋体" w:hAnsi="宋体"/>
                <w:sz w:val="24"/>
              </w:rPr>
              <w:br w:type="textWrapping"/>
            </w:r>
            <w:r>
              <w:rPr>
                <w:rFonts w:hint="eastAsia" w:ascii="宋体" w:hAnsi="宋体"/>
                <w:sz w:val="24"/>
              </w:rPr>
              <w:t>　　电子邮箱：</w:t>
            </w:r>
            <w:r>
              <w:fldChar w:fldCharType="begin"/>
            </w:r>
            <w:r>
              <w:instrText xml:space="preserve"> HYPERLINK "mailto:lgd1965@tom.com" </w:instrText>
            </w:r>
            <w:r>
              <w:fldChar w:fldCharType="separate"/>
            </w:r>
            <w:r>
              <w:rPr>
                <w:rFonts w:hint="eastAsia" w:ascii="宋体" w:hAnsi="宋体"/>
                <w:sz w:val="24"/>
              </w:rPr>
              <w:t>lgd1965@tom.com</w:t>
            </w:r>
            <w:r>
              <w:rPr>
                <w:rFonts w:hint="eastAsia" w:ascii="宋体" w:hAnsi="宋体"/>
                <w:sz w:val="24"/>
              </w:rPr>
              <w:fldChar w:fldCharType="end"/>
            </w:r>
            <w:r>
              <w:rPr>
                <w:rFonts w:hint="eastAsia" w:ascii="宋体" w:hAnsi="宋体"/>
                <w:sz w:val="24"/>
              </w:rPr>
              <w:br w:type="textWrapping"/>
            </w:r>
            <w:r>
              <w:rPr>
                <w:rFonts w:hint="eastAsia" w:ascii="宋体" w:hAnsi="宋体"/>
                <w:sz w:val="24"/>
              </w:rPr>
              <w:t>　　地址：郑州市郑东新区商务外环路25号王鼎</w:t>
            </w:r>
            <w:r>
              <w:fldChar w:fldCharType="begin"/>
            </w:r>
            <w:r>
              <w:instrText xml:space="preserve"> HYPERLINK "http://guoji.caigou2003.com/" \t "_blank" </w:instrText>
            </w:r>
            <w:r>
              <w:fldChar w:fldCharType="separate"/>
            </w:r>
            <w:r>
              <w:rPr>
                <w:rFonts w:hint="eastAsia" w:ascii="宋体" w:hAnsi="宋体"/>
                <w:sz w:val="24"/>
              </w:rPr>
              <w:t>国际</w:t>
            </w:r>
            <w:r>
              <w:rPr>
                <w:rFonts w:hint="eastAsia" w:ascii="宋体" w:hAnsi="宋体"/>
                <w:sz w:val="24"/>
              </w:rPr>
              <w:fldChar w:fldCharType="end"/>
            </w:r>
            <w:r>
              <w:rPr>
                <w:rFonts w:hint="eastAsia" w:ascii="宋体" w:hAnsi="宋体"/>
                <w:sz w:val="24"/>
              </w:rPr>
              <w:t>27层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62" w:type="dxa"/>
            <w:vAlign w:val="center"/>
          </w:tcPr>
          <w:p>
            <w:pPr>
              <w:snapToGrid w:val="0"/>
              <w:spacing w:line="336" w:lineRule="auto"/>
              <w:jc w:val="center"/>
              <w:rPr>
                <w:rFonts w:ascii="宋体" w:hAnsi="宋体"/>
                <w:sz w:val="24"/>
              </w:rPr>
            </w:pPr>
            <w:r>
              <w:rPr>
                <w:rFonts w:hint="eastAsia" w:ascii="宋体" w:hAnsi="宋体"/>
                <w:sz w:val="24"/>
              </w:rPr>
              <w:t>18</w:t>
            </w:r>
          </w:p>
        </w:tc>
        <w:tc>
          <w:tcPr>
            <w:tcW w:w="7964" w:type="dxa"/>
            <w:vAlign w:val="center"/>
          </w:tcPr>
          <w:p>
            <w:pPr>
              <w:pStyle w:val="8"/>
              <w:spacing w:after="0" w:line="336" w:lineRule="auto"/>
              <w:ind w:firstLine="0"/>
              <w:rPr>
                <w:rFonts w:ascii="宋体" w:hAnsi="宋体"/>
                <w:sz w:val="24"/>
                <w:szCs w:val="24"/>
              </w:rPr>
            </w:pPr>
            <w:r>
              <w:rPr>
                <w:rFonts w:hint="eastAsia" w:ascii="宋体" w:hAnsi="宋体"/>
                <w:sz w:val="24"/>
                <w:szCs w:val="24"/>
              </w:rPr>
              <w:t>技术文件：</w:t>
            </w:r>
          </w:p>
          <w:p>
            <w:pPr>
              <w:spacing w:line="336" w:lineRule="auto"/>
              <w:jc w:val="left"/>
              <w:rPr>
                <w:rFonts w:ascii="宋体" w:hAnsi="宋体" w:cs="宋体"/>
                <w:b/>
                <w:sz w:val="24"/>
              </w:rPr>
            </w:pPr>
            <w:r>
              <w:rPr>
                <w:rFonts w:hint="eastAsia" w:ascii="宋体" w:hAnsi="宋体" w:cs="宋体"/>
                <w:b/>
                <w:sz w:val="24"/>
              </w:rPr>
              <w:t>1、供应商提供详细描述产品性能的技术支持资料供评标参考，并保证这些技术证明材料与投标货物的真实功能、性能参数的一致性。如不提供或提供的不完整将是自己的责任，承担为投标带来的不利因素。</w:t>
            </w:r>
          </w:p>
          <w:p>
            <w:pPr>
              <w:spacing w:line="336" w:lineRule="auto"/>
              <w:jc w:val="left"/>
              <w:rPr>
                <w:rFonts w:ascii="宋体" w:hAnsi="宋体" w:cs="宋体"/>
                <w:sz w:val="24"/>
              </w:rPr>
            </w:pPr>
            <w:r>
              <w:rPr>
                <w:rFonts w:hint="eastAsia" w:ascii="宋体" w:hAnsi="宋体" w:cs="宋体"/>
                <w:sz w:val="24"/>
              </w:rPr>
              <w:t>*2、投标产品中如有政府采购强制采购产品的，供应商提供该产品节能证书或其他证明材料。</w:t>
            </w:r>
          </w:p>
          <w:p>
            <w:pPr>
              <w:spacing w:line="336" w:lineRule="auto"/>
              <w:jc w:val="left"/>
              <w:rPr>
                <w:rFonts w:ascii="宋体" w:hAnsi="宋体" w:cs="宋体"/>
                <w:sz w:val="24"/>
              </w:rPr>
            </w:pPr>
            <w:r>
              <w:rPr>
                <w:rFonts w:hint="eastAsia" w:ascii="宋体" w:hAnsi="宋体" w:cs="宋体"/>
                <w:sz w:val="24"/>
              </w:rPr>
              <w:t>*3、投标产品如列入国家强制性产品认证的产品，须提供通过国家3C认证的有关证明材料。</w:t>
            </w:r>
          </w:p>
          <w:p>
            <w:pPr>
              <w:spacing w:line="336" w:lineRule="auto"/>
              <w:jc w:val="left"/>
              <w:rPr>
                <w:rFonts w:ascii="宋体" w:hAnsi="宋体" w:cs="宋体"/>
                <w:sz w:val="24"/>
              </w:rPr>
            </w:pPr>
            <w:r>
              <w:rPr>
                <w:rFonts w:hint="eastAsia" w:ascii="宋体" w:hAnsi="宋体" w:cs="宋体"/>
                <w:sz w:val="24"/>
              </w:rPr>
              <w:t>4、投标货物的制造、安装和检验标准。</w:t>
            </w:r>
          </w:p>
          <w:p>
            <w:pPr>
              <w:spacing w:line="336" w:lineRule="auto"/>
              <w:jc w:val="left"/>
              <w:rPr>
                <w:rFonts w:ascii="宋体" w:hAnsi="宋体" w:cs="宋体"/>
                <w:sz w:val="24"/>
              </w:rPr>
            </w:pPr>
            <w:r>
              <w:rPr>
                <w:rFonts w:hint="eastAsia" w:ascii="宋体" w:hAnsi="宋体" w:cs="宋体"/>
                <w:sz w:val="24"/>
              </w:rPr>
              <w:t>5、按技术规格规定提供备件和专用工具清单。</w:t>
            </w:r>
          </w:p>
          <w:p>
            <w:pPr>
              <w:spacing w:line="336" w:lineRule="auto"/>
              <w:jc w:val="left"/>
              <w:rPr>
                <w:rFonts w:ascii="宋体" w:hAnsi="宋体" w:cs="宋体"/>
                <w:sz w:val="24"/>
              </w:rPr>
            </w:pPr>
            <w:r>
              <w:rPr>
                <w:rFonts w:hint="eastAsia" w:ascii="宋体" w:hAnsi="宋体" w:cs="宋体"/>
                <w:sz w:val="24"/>
              </w:rPr>
              <w:t>6、质保期外运行所需的随机备件、备品备件和易损件， 应详细列出名称、规格、数量及单价。</w:t>
            </w:r>
          </w:p>
          <w:p>
            <w:pPr>
              <w:spacing w:line="336" w:lineRule="auto"/>
              <w:jc w:val="left"/>
              <w:rPr>
                <w:rFonts w:ascii="宋体" w:hAnsi="宋体" w:cs="宋体"/>
                <w:sz w:val="24"/>
              </w:rPr>
            </w:pPr>
            <w:r>
              <w:rPr>
                <w:rFonts w:hint="eastAsia" w:ascii="宋体" w:hAnsi="宋体" w:cs="宋体"/>
                <w:sz w:val="24"/>
              </w:rPr>
              <w:t>7、制造商提供制造、检测、检验标准。</w:t>
            </w:r>
          </w:p>
          <w:p>
            <w:pPr>
              <w:spacing w:line="336" w:lineRule="auto"/>
              <w:jc w:val="left"/>
              <w:rPr>
                <w:rFonts w:ascii="宋体" w:hAnsi="宋体" w:cs="宋体"/>
                <w:sz w:val="24"/>
              </w:rPr>
            </w:pPr>
            <w:r>
              <w:rPr>
                <w:rFonts w:hint="eastAsia" w:ascii="宋体" w:hAnsi="宋体" w:cs="宋体"/>
                <w:sz w:val="24"/>
              </w:rPr>
              <w:t>8、提供设备生产、检验、包装、运输、报关、仓储、交货、安装、编程调试、验收、培训、维保服务等方面的工作及质量保证体系文件和资料。</w:t>
            </w:r>
          </w:p>
          <w:p>
            <w:pPr>
              <w:spacing w:line="336" w:lineRule="auto"/>
              <w:jc w:val="left"/>
              <w:rPr>
                <w:rFonts w:ascii="宋体" w:hAnsi="宋体" w:cs="宋体"/>
                <w:sz w:val="24"/>
              </w:rPr>
            </w:pPr>
            <w:r>
              <w:rPr>
                <w:rFonts w:hint="eastAsia" w:ascii="宋体" w:hAnsi="宋体" w:cs="宋体"/>
                <w:sz w:val="24"/>
              </w:rPr>
              <w:t>9、所投货物均应提供配置明细表并且配置明细表中的所有配件必须是唯一的，不得有选择性配置，所提供配件必须是正规厂家生产的原装正品。如果对投标货物的标准配置或配件有更换或调整的，必须提供原生产厂家的变更和调整确认材料，提供的设备配件应单独列出其技术性能、标准、产地、生产厂家及享受何种保修服务。</w:t>
            </w:r>
          </w:p>
          <w:p>
            <w:pPr>
              <w:spacing w:line="336" w:lineRule="auto"/>
              <w:jc w:val="left"/>
              <w:rPr>
                <w:rFonts w:ascii="宋体" w:hAnsi="宋体" w:cs="宋体"/>
                <w:sz w:val="24"/>
              </w:rPr>
            </w:pPr>
            <w:r>
              <w:rPr>
                <w:rFonts w:hint="eastAsia" w:ascii="宋体" w:hAnsi="宋体" w:cs="宋体"/>
                <w:sz w:val="24"/>
              </w:rPr>
              <w:t>10、投标人必须提供所投标货物的标准配置清单及详细技术规格、参数。</w:t>
            </w:r>
          </w:p>
          <w:p>
            <w:pPr>
              <w:tabs>
                <w:tab w:val="left" w:pos="152"/>
                <w:tab w:val="left" w:pos="588"/>
              </w:tabs>
              <w:snapToGrid w:val="0"/>
              <w:spacing w:line="336" w:lineRule="auto"/>
              <w:rPr>
                <w:rFonts w:ascii="宋体" w:hAnsi="宋体"/>
                <w:sz w:val="24"/>
              </w:rPr>
            </w:pPr>
            <w:r>
              <w:rPr>
                <w:rFonts w:hint="eastAsia" w:ascii="宋体" w:hAnsi="宋体" w:cs="宋体"/>
                <w:sz w:val="24"/>
              </w:rPr>
              <w:t>11、磋商文件要求的其它技术证明资料。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54" w:hRule="atLeast"/>
          <w:jc w:val="center"/>
        </w:trPr>
        <w:tc>
          <w:tcPr>
            <w:tcW w:w="8926" w:type="dxa"/>
            <w:gridSpan w:val="2"/>
          </w:tcPr>
          <w:p>
            <w:pPr>
              <w:snapToGrid w:val="0"/>
              <w:spacing w:line="336" w:lineRule="auto"/>
              <w:jc w:val="center"/>
              <w:rPr>
                <w:rFonts w:ascii="宋体" w:hAnsi="宋体"/>
                <w:b/>
                <w:bCs/>
                <w:sz w:val="24"/>
              </w:rPr>
            </w:pPr>
            <w:r>
              <w:rPr>
                <w:rFonts w:hint="eastAsia" w:ascii="宋体" w:hAnsi="宋体"/>
                <w:b/>
                <w:bCs/>
                <w:sz w:val="24"/>
              </w:rPr>
              <w:t>评        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62" w:type="dxa"/>
            <w:tcBorders>
              <w:bottom w:val="single" w:color="auto" w:sz="4" w:space="0"/>
            </w:tcBorders>
            <w:vAlign w:val="center"/>
          </w:tcPr>
          <w:p>
            <w:pPr>
              <w:snapToGrid w:val="0"/>
              <w:spacing w:line="336" w:lineRule="auto"/>
              <w:jc w:val="center"/>
              <w:rPr>
                <w:rFonts w:ascii="宋体" w:hAnsi="宋体"/>
                <w:sz w:val="24"/>
              </w:rPr>
            </w:pPr>
            <w:r>
              <w:rPr>
                <w:rFonts w:hint="eastAsia" w:ascii="宋体" w:hAnsi="宋体"/>
                <w:sz w:val="24"/>
              </w:rPr>
              <w:t>19</w:t>
            </w:r>
          </w:p>
        </w:tc>
        <w:tc>
          <w:tcPr>
            <w:tcW w:w="7964" w:type="dxa"/>
            <w:tcBorders>
              <w:bottom w:val="single" w:color="auto" w:sz="4" w:space="0"/>
            </w:tcBorders>
          </w:tcPr>
          <w:p>
            <w:pPr>
              <w:pStyle w:val="6"/>
              <w:snapToGrid w:val="0"/>
              <w:spacing w:line="336" w:lineRule="auto"/>
              <w:ind w:firstLine="0" w:firstLineChars="0"/>
              <w:rPr>
                <w:rFonts w:ascii="宋体" w:hAnsi="宋体"/>
                <w:spacing w:val="6"/>
                <w:sz w:val="24"/>
                <w:szCs w:val="24"/>
              </w:rPr>
            </w:pPr>
            <w:r>
              <w:rPr>
                <w:rFonts w:hint="eastAsia" w:ascii="宋体" w:hAnsi="宋体"/>
                <w:sz w:val="24"/>
                <w:szCs w:val="24"/>
              </w:rPr>
              <w:t>评审方法：综合评分法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62" w:type="dxa"/>
            <w:tcBorders>
              <w:bottom w:val="single" w:color="auto" w:sz="4" w:space="0"/>
            </w:tcBorders>
            <w:vAlign w:val="center"/>
          </w:tcPr>
          <w:p>
            <w:pPr>
              <w:snapToGrid w:val="0"/>
              <w:spacing w:line="336" w:lineRule="auto"/>
              <w:jc w:val="center"/>
              <w:rPr>
                <w:rFonts w:ascii="宋体" w:hAnsi="宋体"/>
                <w:sz w:val="24"/>
              </w:rPr>
            </w:pPr>
            <w:r>
              <w:rPr>
                <w:rFonts w:hint="eastAsia" w:ascii="宋体" w:hAnsi="宋体"/>
                <w:sz w:val="24"/>
              </w:rPr>
              <w:t>20</w:t>
            </w:r>
          </w:p>
        </w:tc>
        <w:tc>
          <w:tcPr>
            <w:tcW w:w="7964" w:type="dxa"/>
            <w:tcBorders>
              <w:bottom w:val="single" w:color="auto" w:sz="4" w:space="0"/>
            </w:tcBorders>
          </w:tcPr>
          <w:p>
            <w:pPr>
              <w:spacing w:line="336" w:lineRule="auto"/>
              <w:rPr>
                <w:rFonts w:ascii="宋体" w:hAnsi="宋体" w:cs="仿宋_GB2312"/>
                <w:b/>
                <w:sz w:val="24"/>
              </w:rPr>
            </w:pPr>
            <w:r>
              <w:rPr>
                <w:rFonts w:hint="eastAsia" w:ascii="宋体" w:hAnsi="宋体" w:cs="仿宋_GB2312"/>
                <w:b/>
                <w:sz w:val="24"/>
              </w:rPr>
              <w:t>评议：</w:t>
            </w:r>
          </w:p>
          <w:p>
            <w:pPr>
              <w:spacing w:line="336" w:lineRule="auto"/>
              <w:rPr>
                <w:rFonts w:ascii="宋体" w:hAnsi="宋体" w:cs="仿宋_GB2312"/>
                <w:b/>
                <w:sz w:val="24"/>
              </w:rPr>
            </w:pPr>
            <w:r>
              <w:rPr>
                <w:rFonts w:hint="eastAsia" w:ascii="宋体" w:hAnsi="宋体" w:cs="仿宋_GB2312"/>
                <w:b/>
                <w:sz w:val="24"/>
              </w:rPr>
              <w:t>1.磋商小组根据磋商响应文件和磋商内容，</w:t>
            </w:r>
            <w:r>
              <w:rPr>
                <w:rFonts w:hint="eastAsia" w:ascii="宋体" w:hAnsi="宋体" w:cs="仿宋_GB2312"/>
                <w:sz w:val="24"/>
              </w:rPr>
              <w:t>实质性响应磋商文件要求的供应商，</w:t>
            </w:r>
            <w:r>
              <w:rPr>
                <w:rFonts w:hint="eastAsia" w:ascii="宋体" w:hAnsi="宋体" w:cs="仿宋_GB2312"/>
                <w:b/>
                <w:sz w:val="24"/>
              </w:rPr>
              <w:t>在规定的时间内进行二次（最终）报价。</w:t>
            </w:r>
          </w:p>
          <w:p>
            <w:pPr>
              <w:spacing w:line="336" w:lineRule="auto"/>
              <w:rPr>
                <w:rFonts w:ascii="宋体" w:hAnsi="宋体" w:cs="仿宋_GB2312"/>
                <w:sz w:val="24"/>
              </w:rPr>
            </w:pPr>
            <w:r>
              <w:rPr>
                <w:rFonts w:hint="eastAsia" w:ascii="宋体" w:hAnsi="宋体" w:cs="仿宋_GB2312"/>
                <w:sz w:val="24"/>
              </w:rPr>
              <w:t>2. 磋商小组根据磋商文件中的评审因素进行评比，打分。</w:t>
            </w:r>
          </w:p>
          <w:p>
            <w:pPr>
              <w:spacing w:line="336" w:lineRule="auto"/>
              <w:rPr>
                <w:rFonts w:ascii="宋体" w:hAnsi="宋体" w:cs="仿宋_GB2312"/>
                <w:sz w:val="24"/>
              </w:rPr>
            </w:pPr>
            <w:r>
              <w:rPr>
                <w:rFonts w:hint="eastAsia" w:ascii="宋体" w:hAnsi="宋体" w:cs="仿宋_GB2312"/>
                <w:sz w:val="24"/>
              </w:rPr>
              <w:t>3、按照供应商综合得分由高到低排序，推荐三名成交候选人，（如果出现综合得分相同的供应商，技术部分得分高者优先）。</w:t>
            </w:r>
          </w:p>
          <w:p>
            <w:pPr>
              <w:pStyle w:val="6"/>
              <w:snapToGrid w:val="0"/>
              <w:spacing w:line="336" w:lineRule="auto"/>
              <w:ind w:firstLine="0" w:firstLineChars="0"/>
              <w:rPr>
                <w:rFonts w:ascii="宋体" w:hAnsi="宋体"/>
                <w:sz w:val="24"/>
                <w:szCs w:val="24"/>
              </w:rPr>
            </w:pPr>
            <w:r>
              <w:rPr>
                <w:rFonts w:hint="eastAsia" w:ascii="宋体" w:hAnsi="宋体" w:cs="仿宋_GB2312"/>
                <w:sz w:val="24"/>
                <w:szCs w:val="24"/>
              </w:rPr>
              <w:t>注：</w:t>
            </w:r>
            <w:r>
              <w:rPr>
                <w:rFonts w:hint="eastAsia" w:ascii="宋体" w:hAnsi="宋体"/>
                <w:sz w:val="24"/>
                <w:szCs w:val="24"/>
              </w:rPr>
              <w:t>对供应商为监狱企业、福利性企业或供应商为小型和微型的价格给予6%的扣除，用扣除后的价格参加评议。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 w:hRule="atLeast"/>
          <w:jc w:val="center"/>
        </w:trPr>
        <w:tc>
          <w:tcPr>
            <w:tcW w:w="962" w:type="dxa"/>
            <w:tcBorders>
              <w:top w:val="single" w:color="auto" w:sz="4" w:space="0"/>
            </w:tcBorders>
            <w:vAlign w:val="center"/>
          </w:tcPr>
          <w:p>
            <w:pPr>
              <w:snapToGrid w:val="0"/>
              <w:spacing w:line="336" w:lineRule="auto"/>
              <w:jc w:val="center"/>
              <w:rPr>
                <w:rFonts w:ascii="宋体" w:hAnsi="宋体"/>
                <w:sz w:val="24"/>
              </w:rPr>
            </w:pPr>
            <w:r>
              <w:rPr>
                <w:rFonts w:hint="eastAsia" w:ascii="宋体" w:hAnsi="宋体"/>
                <w:sz w:val="24"/>
              </w:rPr>
              <w:t>21</w:t>
            </w:r>
          </w:p>
        </w:tc>
        <w:tc>
          <w:tcPr>
            <w:tcW w:w="7964" w:type="dxa"/>
            <w:tcBorders>
              <w:top w:val="single" w:color="auto" w:sz="4" w:space="0"/>
            </w:tcBorders>
          </w:tcPr>
          <w:p>
            <w:pPr>
              <w:snapToGrid w:val="0"/>
              <w:spacing w:line="336" w:lineRule="auto"/>
              <w:rPr>
                <w:rFonts w:ascii="宋体" w:hAnsi="宋体"/>
                <w:bCs/>
                <w:sz w:val="24"/>
              </w:rPr>
            </w:pPr>
            <w:r>
              <w:rPr>
                <w:rFonts w:hint="eastAsia" w:ascii="宋体" w:hAnsi="宋体"/>
                <w:spacing w:val="6"/>
                <w:sz w:val="24"/>
              </w:rPr>
              <w:t>评分标准（详见第六部分磋商评审办法）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962" w:type="dxa"/>
            <w:vAlign w:val="center"/>
          </w:tcPr>
          <w:p>
            <w:pPr>
              <w:snapToGrid w:val="0"/>
              <w:spacing w:line="336" w:lineRule="auto"/>
              <w:jc w:val="center"/>
              <w:rPr>
                <w:rFonts w:ascii="宋体" w:hAnsi="宋体"/>
                <w:sz w:val="24"/>
              </w:rPr>
            </w:pPr>
            <w:r>
              <w:rPr>
                <w:rFonts w:hint="eastAsia" w:ascii="宋体" w:hAnsi="宋体"/>
                <w:sz w:val="24"/>
              </w:rPr>
              <w:t>22</w:t>
            </w:r>
          </w:p>
        </w:tc>
        <w:tc>
          <w:tcPr>
            <w:tcW w:w="7964" w:type="dxa"/>
          </w:tcPr>
          <w:p>
            <w:pPr>
              <w:snapToGrid w:val="0"/>
              <w:spacing w:line="336" w:lineRule="auto"/>
              <w:rPr>
                <w:rFonts w:ascii="宋体" w:hAnsi="宋体"/>
                <w:sz w:val="24"/>
              </w:rPr>
            </w:pPr>
            <w:r>
              <w:rPr>
                <w:rFonts w:hint="eastAsia" w:ascii="宋体" w:hAnsi="宋体"/>
                <w:sz w:val="24"/>
              </w:rPr>
              <w:t>付款条件的偏离：不接受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962" w:type="dxa"/>
            <w:vAlign w:val="center"/>
          </w:tcPr>
          <w:p>
            <w:pPr>
              <w:snapToGrid w:val="0"/>
              <w:spacing w:line="336" w:lineRule="auto"/>
              <w:jc w:val="center"/>
              <w:rPr>
                <w:rFonts w:ascii="宋体" w:hAnsi="宋体"/>
                <w:sz w:val="24"/>
              </w:rPr>
            </w:pPr>
            <w:r>
              <w:rPr>
                <w:rFonts w:hint="eastAsia" w:ascii="宋体" w:hAnsi="宋体"/>
                <w:sz w:val="24"/>
              </w:rPr>
              <w:t>23</w:t>
            </w:r>
          </w:p>
        </w:tc>
        <w:tc>
          <w:tcPr>
            <w:tcW w:w="7964" w:type="dxa"/>
            <w:vAlign w:val="center"/>
          </w:tcPr>
          <w:p>
            <w:pPr>
              <w:snapToGrid w:val="0"/>
              <w:spacing w:line="336" w:lineRule="auto"/>
              <w:rPr>
                <w:rFonts w:ascii="宋体" w:hAnsi="宋体"/>
                <w:sz w:val="24"/>
              </w:rPr>
            </w:pPr>
            <w:r>
              <w:rPr>
                <w:rFonts w:hint="eastAsia" w:ascii="宋体" w:hAnsi="宋体"/>
                <w:sz w:val="24"/>
              </w:rPr>
              <w:t>中小企业划分标准所属行业：工业</w:t>
            </w:r>
          </w:p>
        </w:tc>
      </w:tr>
    </w:tbl>
    <w:p>
      <w:pPr>
        <w:pStyle w:val="3"/>
        <w:numPr>
          <w:ilvl w:val="0"/>
          <w:numId w:val="0"/>
        </w:numPr>
        <w:spacing w:line="336" w:lineRule="auto"/>
        <w:jc w:val="both"/>
        <w:rPr>
          <w:rFonts w:ascii="宋体" w:hAnsi="宋体"/>
          <w:sz w:val="24"/>
          <w:szCs w:val="24"/>
        </w:rPr>
      </w:pPr>
    </w:p>
    <w:p>
      <w:pPr>
        <w:spacing w:line="336" w:lineRule="auto"/>
        <w:rPr>
          <w:sz w:val="24"/>
        </w:rPr>
      </w:pPr>
      <w:r>
        <w:rPr>
          <w:sz w:val="24"/>
        </w:rPr>
        <w:br w:type="page"/>
      </w:r>
    </w:p>
    <w:p>
      <w:pPr>
        <w:spacing w:line="360" w:lineRule="auto"/>
        <w:jc w:val="center"/>
        <w:outlineLvl w:val="0"/>
        <w:rPr>
          <w:rFonts w:ascii="宋体" w:hAnsi="宋体" w:cs="宋体"/>
          <w:b/>
          <w:sz w:val="32"/>
          <w:szCs w:val="32"/>
        </w:rPr>
      </w:pPr>
      <w:bookmarkStart w:id="574" w:name="_Toc5420"/>
      <w:bookmarkStart w:id="575" w:name="_Toc20159"/>
      <w:bookmarkStart w:id="576" w:name="_Toc13772"/>
      <w:bookmarkStart w:id="577" w:name="_Toc44924405"/>
      <w:r>
        <w:rPr>
          <w:rFonts w:hint="eastAsia" w:ascii="宋体" w:hAnsi="宋体" w:cs="宋体"/>
          <w:b/>
          <w:sz w:val="32"/>
          <w:szCs w:val="32"/>
        </w:rPr>
        <w:t>第六部分 磋商评审办法</w:t>
      </w:r>
      <w:bookmarkEnd w:id="574"/>
      <w:bookmarkEnd w:id="575"/>
      <w:bookmarkEnd w:id="576"/>
    </w:p>
    <w:p>
      <w:pPr>
        <w:spacing w:line="360" w:lineRule="auto"/>
        <w:outlineLvl w:val="1"/>
        <w:rPr>
          <w:rFonts w:ascii="宋体" w:hAnsi="宋体" w:cs="宋体"/>
          <w:b/>
          <w:bCs/>
          <w:sz w:val="24"/>
        </w:rPr>
      </w:pPr>
      <w:bookmarkStart w:id="578" w:name="_Toc4728"/>
      <w:bookmarkStart w:id="579" w:name="_Toc21165"/>
      <w:bookmarkStart w:id="580" w:name="_Toc8601"/>
      <w:r>
        <w:rPr>
          <w:rFonts w:hint="eastAsia" w:ascii="宋体" w:hAnsi="宋体" w:cs="宋体"/>
          <w:b/>
          <w:bCs/>
          <w:sz w:val="24"/>
        </w:rPr>
        <w:t>一、总则</w:t>
      </w:r>
      <w:bookmarkEnd w:id="578"/>
      <w:bookmarkEnd w:id="579"/>
      <w:bookmarkEnd w:id="580"/>
    </w:p>
    <w:p>
      <w:pPr>
        <w:spacing w:line="360" w:lineRule="auto"/>
        <w:rPr>
          <w:rFonts w:ascii="宋体" w:hAnsi="宋体" w:cs="宋体"/>
          <w:bCs/>
          <w:sz w:val="24"/>
        </w:rPr>
      </w:pPr>
      <w:r>
        <w:rPr>
          <w:rFonts w:hint="eastAsia" w:ascii="宋体" w:hAnsi="宋体" w:cs="宋体"/>
          <w:bCs/>
          <w:sz w:val="24"/>
        </w:rPr>
        <w:t>1.1 根据《中华人民共和国政府采购法》、《中华人民共和国政府采购法实施条例》、《政府采购竞争性磋商采购方式管理暂行办法》等法律制度，结合本采购项目特点制定本磋商方法。</w:t>
      </w:r>
    </w:p>
    <w:p>
      <w:pPr>
        <w:spacing w:line="360" w:lineRule="auto"/>
        <w:rPr>
          <w:rFonts w:ascii="宋体" w:hAnsi="宋体" w:cs="宋体"/>
          <w:bCs/>
          <w:sz w:val="24"/>
        </w:rPr>
      </w:pPr>
      <w:r>
        <w:rPr>
          <w:rFonts w:hint="eastAsia" w:ascii="宋体" w:hAnsi="宋体" w:cs="宋体"/>
          <w:bCs/>
          <w:sz w:val="24"/>
        </w:rPr>
        <w:t>1.2 磋商工作由采购人/采购代理机构负责组织，具体磋商由采购人/采购代理机构依法组建的磋商小组负责。</w:t>
      </w:r>
    </w:p>
    <w:p>
      <w:pPr>
        <w:spacing w:line="360" w:lineRule="auto"/>
        <w:rPr>
          <w:rFonts w:ascii="宋体" w:hAnsi="宋体" w:cs="宋体"/>
          <w:bCs/>
          <w:sz w:val="24"/>
        </w:rPr>
      </w:pPr>
      <w:r>
        <w:rPr>
          <w:rFonts w:hint="eastAsia" w:ascii="宋体" w:hAnsi="宋体" w:cs="宋体"/>
          <w:bCs/>
          <w:sz w:val="24"/>
        </w:rPr>
        <w:t>1.3 磋商工作应遵循公平、公正、科学及择优的原则，并以相同的磋商程序和标准对待所有的供应商。</w:t>
      </w:r>
    </w:p>
    <w:p>
      <w:pPr>
        <w:spacing w:line="360" w:lineRule="auto"/>
        <w:rPr>
          <w:rFonts w:ascii="宋体" w:hAnsi="宋体" w:cs="宋体"/>
          <w:bCs/>
          <w:sz w:val="24"/>
        </w:rPr>
      </w:pPr>
      <w:r>
        <w:rPr>
          <w:rFonts w:hint="eastAsia" w:ascii="宋体" w:hAnsi="宋体" w:cs="宋体"/>
          <w:bCs/>
          <w:sz w:val="24"/>
        </w:rPr>
        <w:t>1.4 磋商小组按照竞争性磋商文件规定的磋商程序、评分方法和标准进行评审，并独立履行评审职责。</w:t>
      </w:r>
    </w:p>
    <w:p>
      <w:pPr>
        <w:spacing w:line="360" w:lineRule="auto"/>
        <w:rPr>
          <w:rFonts w:ascii="宋体" w:hAnsi="宋体" w:cs="宋体"/>
          <w:bCs/>
          <w:sz w:val="24"/>
        </w:rPr>
      </w:pPr>
      <w:r>
        <w:rPr>
          <w:rFonts w:hint="eastAsia" w:ascii="宋体" w:hAnsi="宋体" w:cs="宋体"/>
          <w:bCs/>
          <w:sz w:val="24"/>
        </w:rPr>
        <w:t>1.5磋商过程独立、保密。供应商非法干预磋商过程的，其响应文件作无效处理。</w:t>
      </w:r>
    </w:p>
    <w:p>
      <w:pPr>
        <w:spacing w:line="360" w:lineRule="auto"/>
        <w:outlineLvl w:val="1"/>
        <w:rPr>
          <w:rFonts w:ascii="宋体" w:hAnsi="宋体" w:cs="宋体"/>
          <w:b/>
          <w:bCs/>
          <w:sz w:val="24"/>
        </w:rPr>
      </w:pPr>
      <w:bookmarkStart w:id="581" w:name="_Toc28702"/>
      <w:bookmarkStart w:id="582" w:name="_Toc10060"/>
      <w:bookmarkStart w:id="583" w:name="_Toc8200"/>
      <w:r>
        <w:rPr>
          <w:rFonts w:hint="eastAsia" w:ascii="宋体" w:hAnsi="宋体" w:cs="宋体"/>
          <w:b/>
          <w:bCs/>
          <w:sz w:val="24"/>
        </w:rPr>
        <w:t>二、磋商程序</w:t>
      </w:r>
      <w:bookmarkEnd w:id="581"/>
      <w:bookmarkEnd w:id="582"/>
      <w:bookmarkEnd w:id="583"/>
    </w:p>
    <w:p>
      <w:pPr>
        <w:spacing w:line="360" w:lineRule="auto"/>
        <w:rPr>
          <w:rFonts w:ascii="宋体" w:hAnsi="宋体" w:cs="宋体"/>
          <w:bCs/>
          <w:sz w:val="24"/>
        </w:rPr>
      </w:pPr>
      <w:r>
        <w:rPr>
          <w:rFonts w:hint="eastAsia" w:ascii="宋体" w:hAnsi="宋体" w:cs="宋体"/>
          <w:bCs/>
          <w:sz w:val="24"/>
        </w:rPr>
        <w:t>1.查阅竞争性磋商文件。</w:t>
      </w:r>
    </w:p>
    <w:p>
      <w:pPr>
        <w:spacing w:line="360" w:lineRule="auto"/>
        <w:rPr>
          <w:rFonts w:ascii="宋体" w:hAnsi="宋体" w:cs="宋体"/>
          <w:b/>
          <w:bCs/>
          <w:sz w:val="24"/>
        </w:rPr>
      </w:pPr>
      <w:r>
        <w:rPr>
          <w:rFonts w:hint="eastAsia" w:ascii="宋体" w:hAnsi="宋体" w:cs="宋体"/>
          <w:bCs/>
          <w:sz w:val="24"/>
        </w:rPr>
        <w:t>2.初步评审。</w:t>
      </w:r>
    </w:p>
    <w:p>
      <w:pPr>
        <w:spacing w:line="360" w:lineRule="auto"/>
        <w:rPr>
          <w:rFonts w:ascii="宋体" w:hAnsi="宋体" w:cs="宋体"/>
          <w:bCs/>
          <w:sz w:val="24"/>
        </w:rPr>
      </w:pPr>
      <w:r>
        <w:rPr>
          <w:rFonts w:hint="eastAsia" w:ascii="宋体" w:hAnsi="宋体" w:cs="宋体"/>
          <w:bCs/>
          <w:sz w:val="24"/>
        </w:rPr>
        <w:t>初步评审包含资格性审查和符合性审查。</w:t>
      </w:r>
    </w:p>
    <w:p>
      <w:pPr>
        <w:spacing w:line="360" w:lineRule="auto"/>
        <w:rPr>
          <w:rFonts w:ascii="宋体" w:hAnsi="宋体" w:cs="宋体"/>
          <w:bCs/>
          <w:sz w:val="24"/>
        </w:rPr>
      </w:pPr>
      <w:r>
        <w:rPr>
          <w:rFonts w:hint="eastAsia" w:ascii="宋体" w:hAnsi="宋体" w:cs="宋体"/>
          <w:bCs/>
          <w:sz w:val="24"/>
        </w:rPr>
        <w:t>2. 1磋商小组进行资格性审查。</w:t>
      </w:r>
    </w:p>
    <w:p>
      <w:pPr>
        <w:spacing w:line="360" w:lineRule="auto"/>
        <w:rPr>
          <w:rFonts w:ascii="宋体" w:hAnsi="宋体" w:cs="宋体"/>
          <w:bCs/>
          <w:sz w:val="24"/>
        </w:rPr>
      </w:pPr>
      <w:r>
        <w:rPr>
          <w:rFonts w:hint="eastAsia" w:ascii="宋体" w:hAnsi="宋体" w:cs="宋体"/>
          <w:bCs/>
          <w:sz w:val="24"/>
        </w:rPr>
        <w:t>磋商小组应依据法律法规和竞争性磋商文件的规定，对响应文件是否按照规定要求提供资格性证明材料、是否属于禁止参加磋商的供应商等进行审查，以确定供应商是否具备磋商资格。</w:t>
      </w:r>
    </w:p>
    <w:p>
      <w:pPr>
        <w:spacing w:line="360" w:lineRule="auto"/>
        <w:rPr>
          <w:rFonts w:ascii="宋体" w:hAnsi="宋体" w:cs="宋体"/>
          <w:bCs/>
          <w:sz w:val="24"/>
        </w:rPr>
      </w:pPr>
      <w:r>
        <w:rPr>
          <w:rFonts w:hint="eastAsia" w:ascii="宋体" w:hAnsi="宋体" w:cs="宋体"/>
          <w:bCs/>
          <w:sz w:val="24"/>
        </w:rPr>
        <w:t>2. 2磋商小组应依据竞争性磋商文件规定的实质性要求，对符合资格的响应文件进行有效性、完整性和响应程度的符合性审查，以确定参加磋商的供应商名单。应当告知供应商未通过审查的原因。</w:t>
      </w:r>
    </w:p>
    <w:p>
      <w:pPr>
        <w:spacing w:line="360" w:lineRule="auto"/>
        <w:rPr>
          <w:rFonts w:ascii="宋体" w:hAnsi="宋体" w:cs="宋体"/>
          <w:sz w:val="24"/>
        </w:rPr>
      </w:pPr>
      <w:r>
        <w:rPr>
          <w:rFonts w:hint="eastAsia" w:ascii="宋体" w:hAnsi="宋体" w:cs="宋体"/>
          <w:sz w:val="24"/>
        </w:rPr>
        <w:t>2.2.1磋商小组在对响应文件的有效性、完整性和响应程度进行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ascii="宋体" w:hAnsi="宋体" w:cs="宋体"/>
          <w:sz w:val="24"/>
        </w:rPr>
      </w:pPr>
      <w:r>
        <w:rPr>
          <w:rFonts w:hint="eastAsia" w:ascii="宋体" w:hAnsi="宋体" w:cs="宋体"/>
          <w:sz w:val="24"/>
        </w:rPr>
        <w:t>2.2.2 磋商小组要求供应商澄清、说明或者更正响应文件应当以书面形式做出。供应商的澄清、说明或者更正应当由法定代表人或其授权代表签字或者加盖公章。由授权代表签字的，应当附法定代表人授权书。供应商为自然人的，应当由本人签字并附身份证明。</w:t>
      </w:r>
    </w:p>
    <w:p>
      <w:pPr>
        <w:spacing w:line="360" w:lineRule="auto"/>
        <w:rPr>
          <w:rFonts w:ascii="宋体" w:hAnsi="宋体" w:cs="宋体"/>
          <w:sz w:val="24"/>
        </w:rPr>
      </w:pPr>
      <w:r>
        <w:rPr>
          <w:rFonts w:hint="eastAsia" w:ascii="宋体" w:hAnsi="宋体" w:cs="宋体"/>
          <w:sz w:val="24"/>
        </w:rPr>
        <w:t>2.2.3 算术错误将按下列方法更正：响应文件的大写金额和小写金额不一致的，以大写金额为准；磋商总价金额与按分项报价汇总金额不一致的，以分项报价金额计算结果为准；分项报价金额小数点有明显错位的，应以磋商总价为准，并修改分项报价。如果供应商不接受对其算术错误的更正，其响应文件可能被否决。</w:t>
      </w:r>
    </w:p>
    <w:p>
      <w:pPr>
        <w:spacing w:line="360" w:lineRule="auto"/>
        <w:rPr>
          <w:rFonts w:ascii="宋体" w:hAnsi="宋体" w:cs="宋体"/>
          <w:sz w:val="24"/>
        </w:rPr>
      </w:pPr>
      <w:r>
        <w:rPr>
          <w:rFonts w:hint="eastAsia" w:ascii="宋体" w:hAnsi="宋体" w:cs="宋体"/>
          <w:sz w:val="24"/>
        </w:rPr>
        <w:t>2.2.4 在详细评审之前，磋商小组要审查每份响应文件是否实质上响应了竞争性磋商文件的要求。实质上响应该是与竞争性磋商文件要求的关键条款、条件和规格相符，没有重大偏离。对关键条文的偏离、保留或反对，例如关于适用法律、税务、标注为实质性要求的条款等内容的偏离将被认为是实质上的偏离。磋商小组决定响应文件的响应性只根据响应文件本身的真实无误的内容，而不依据外部的证据，但响应文件有违反法律、政策规定和不真实不正确的内容时除外。</w:t>
      </w:r>
    </w:p>
    <w:p>
      <w:pPr>
        <w:spacing w:line="360" w:lineRule="auto"/>
        <w:rPr>
          <w:rFonts w:ascii="宋体" w:hAnsi="宋体" w:cs="宋体"/>
          <w:sz w:val="24"/>
        </w:rPr>
      </w:pPr>
      <w:r>
        <w:rPr>
          <w:rFonts w:hint="eastAsia" w:ascii="宋体" w:hAnsi="宋体" w:cs="宋体"/>
          <w:sz w:val="24"/>
        </w:rPr>
        <w:t>2.2.5没有实质性响应竞争性磋商文件要求的响应文件将被否决。供应商不得通过修正、补充或撤销不合要求的偏离或保留从而使其响应文件成为实质上响应的竞争性磋商文件。有下列情形之一者视为未实质性响应竞争性磋商文件，其响应文件将被否决：</w:t>
      </w:r>
    </w:p>
    <w:p>
      <w:pPr>
        <w:spacing w:line="360" w:lineRule="auto"/>
        <w:rPr>
          <w:rFonts w:ascii="宋体" w:hAnsi="宋体" w:cs="宋体"/>
          <w:sz w:val="24"/>
        </w:rPr>
      </w:pPr>
      <w:r>
        <w:rPr>
          <w:rFonts w:hint="eastAsia" w:ascii="宋体" w:hAnsi="宋体" w:cs="宋体"/>
          <w:sz w:val="24"/>
        </w:rPr>
        <w:t>1）供应商采购人有利害关系可能影响磋商公正性的；</w:t>
      </w:r>
    </w:p>
    <w:p>
      <w:pPr>
        <w:spacing w:line="360" w:lineRule="auto"/>
        <w:rPr>
          <w:rFonts w:ascii="宋体" w:hAnsi="宋体" w:cs="宋体"/>
          <w:sz w:val="24"/>
        </w:rPr>
      </w:pPr>
      <w:r>
        <w:rPr>
          <w:rFonts w:hint="eastAsia" w:ascii="宋体" w:hAnsi="宋体" w:cs="宋体"/>
          <w:sz w:val="24"/>
        </w:rPr>
        <w:t>2）供应商参与项目前期咨询或竞争性磋商文件编制的；</w:t>
      </w:r>
    </w:p>
    <w:p>
      <w:pPr>
        <w:spacing w:line="360" w:lineRule="auto"/>
        <w:rPr>
          <w:rFonts w:ascii="宋体" w:hAnsi="宋体" w:cs="宋体"/>
          <w:sz w:val="24"/>
        </w:rPr>
      </w:pPr>
      <w:r>
        <w:rPr>
          <w:rFonts w:hint="eastAsia" w:ascii="宋体" w:hAnsi="宋体" w:cs="宋体"/>
          <w:sz w:val="24"/>
        </w:rPr>
        <w:t>3）未按竞争性磋商文件要求上传原件的；</w:t>
      </w:r>
    </w:p>
    <w:p>
      <w:pPr>
        <w:spacing w:line="360" w:lineRule="auto"/>
        <w:rPr>
          <w:rFonts w:ascii="宋体" w:hAnsi="宋体" w:cs="宋体"/>
          <w:sz w:val="24"/>
        </w:rPr>
      </w:pPr>
      <w:r>
        <w:rPr>
          <w:rFonts w:hint="eastAsia" w:ascii="宋体" w:hAnsi="宋体" w:cs="宋体"/>
          <w:sz w:val="24"/>
        </w:rPr>
        <w:t>4）响应文件未按竞争性磋商文件的要求签署的；</w:t>
      </w:r>
    </w:p>
    <w:p>
      <w:pPr>
        <w:spacing w:line="360" w:lineRule="auto"/>
        <w:rPr>
          <w:rFonts w:ascii="宋体" w:hAnsi="宋体" w:cs="宋体"/>
          <w:sz w:val="24"/>
        </w:rPr>
      </w:pPr>
      <w:r>
        <w:rPr>
          <w:rFonts w:hint="eastAsia" w:ascii="宋体" w:hAnsi="宋体" w:cs="宋体"/>
          <w:sz w:val="24"/>
        </w:rPr>
        <w:t>5）供应商的磋商函、资格证明材料未提供，或不符合国家规定或者竞争性磋商文件要求的；</w:t>
      </w:r>
    </w:p>
    <w:p>
      <w:pPr>
        <w:spacing w:line="360" w:lineRule="auto"/>
        <w:rPr>
          <w:rFonts w:ascii="宋体" w:hAnsi="宋体" w:cs="宋体"/>
          <w:sz w:val="24"/>
        </w:rPr>
      </w:pPr>
      <w:r>
        <w:rPr>
          <w:rFonts w:hint="eastAsia" w:ascii="宋体" w:hAnsi="宋体" w:cs="宋体"/>
          <w:sz w:val="24"/>
        </w:rPr>
        <w:t>6）同一供应商提交两个以上不同的方案或者磋商价格的，但竞争性磋商文件有要求的除外；</w:t>
      </w:r>
    </w:p>
    <w:p>
      <w:pPr>
        <w:spacing w:line="360" w:lineRule="auto"/>
        <w:rPr>
          <w:rFonts w:ascii="宋体" w:hAnsi="宋体" w:cs="宋体"/>
          <w:sz w:val="24"/>
        </w:rPr>
      </w:pPr>
      <w:r>
        <w:rPr>
          <w:rFonts w:hint="eastAsia" w:ascii="宋体" w:hAnsi="宋体" w:cs="宋体"/>
          <w:sz w:val="24"/>
        </w:rPr>
        <w:t>7）响应文件不满足竞争性磋商文件标注为实质性条款要求的；</w:t>
      </w:r>
    </w:p>
    <w:p>
      <w:pPr>
        <w:spacing w:line="360" w:lineRule="auto"/>
        <w:rPr>
          <w:rFonts w:ascii="宋体" w:hAnsi="宋体" w:cs="宋体"/>
          <w:sz w:val="24"/>
        </w:rPr>
      </w:pPr>
      <w:r>
        <w:rPr>
          <w:rFonts w:hint="eastAsia" w:ascii="宋体" w:hAnsi="宋体" w:cs="宋体"/>
          <w:sz w:val="24"/>
        </w:rPr>
        <w:t>8）磋商价格高于竞争性磋商文件设定的预算价或最高限价的；</w:t>
      </w:r>
    </w:p>
    <w:p>
      <w:pPr>
        <w:spacing w:line="360" w:lineRule="auto"/>
        <w:rPr>
          <w:rFonts w:ascii="宋体" w:hAnsi="宋体" w:cs="宋体"/>
          <w:sz w:val="24"/>
        </w:rPr>
      </w:pPr>
      <w:r>
        <w:rPr>
          <w:rFonts w:hint="eastAsia" w:ascii="宋体" w:hAnsi="宋体" w:cs="宋体"/>
          <w:sz w:val="24"/>
        </w:rPr>
        <w:t>9）</w:t>
      </w:r>
      <w:r>
        <w:rPr>
          <w:rFonts w:hint="eastAsia" w:ascii="宋体" w:hAnsi="宋体"/>
          <w:sz w:val="24"/>
        </w:rPr>
        <w:t>最终（</w:t>
      </w:r>
      <w:r>
        <w:rPr>
          <w:rFonts w:ascii="宋体" w:hAnsi="宋体"/>
          <w:sz w:val="24"/>
        </w:rPr>
        <w:t>二次</w:t>
      </w:r>
      <w:r>
        <w:rPr>
          <w:rFonts w:hint="eastAsia" w:ascii="宋体" w:hAnsi="宋体"/>
          <w:sz w:val="24"/>
        </w:rPr>
        <w:t>）</w:t>
      </w:r>
      <w:r>
        <w:rPr>
          <w:rFonts w:ascii="宋体" w:hAnsi="宋体"/>
          <w:sz w:val="24"/>
        </w:rPr>
        <w:t>报价超过第</w:t>
      </w:r>
      <w:r>
        <w:rPr>
          <w:rFonts w:hint="eastAsia" w:ascii="宋体" w:hAnsi="宋体"/>
          <w:sz w:val="24"/>
        </w:rPr>
        <w:t>一</w:t>
      </w:r>
      <w:r>
        <w:rPr>
          <w:rFonts w:ascii="宋体" w:hAnsi="宋体"/>
          <w:sz w:val="24"/>
        </w:rPr>
        <w:t>次报价</w:t>
      </w:r>
      <w:r>
        <w:rPr>
          <w:rFonts w:hint="eastAsia" w:ascii="宋体" w:hAnsi="宋体"/>
          <w:sz w:val="24"/>
        </w:rPr>
        <w:t>的。</w:t>
      </w:r>
    </w:p>
    <w:p>
      <w:pPr>
        <w:pStyle w:val="45"/>
        <w:ind w:left="0" w:leftChars="0" w:firstLine="0" w:firstLineChars="0"/>
      </w:pPr>
      <w:r>
        <w:rPr>
          <w:rFonts w:hint="eastAsia" w:ascii="宋体" w:hAnsi="宋体"/>
          <w:sz w:val="24"/>
        </w:rPr>
        <w:t>10）</w:t>
      </w:r>
      <w:r>
        <w:rPr>
          <w:rFonts w:hint="eastAsia" w:ascii="宋体" w:hAnsi="宋体" w:cs="宋体"/>
          <w:sz w:val="24"/>
        </w:rPr>
        <w:t>不接受磋商有效期要求的；</w:t>
      </w:r>
    </w:p>
    <w:p>
      <w:pPr>
        <w:spacing w:line="360" w:lineRule="auto"/>
        <w:rPr>
          <w:rFonts w:ascii="宋体" w:hAnsi="宋体" w:cs="宋体"/>
          <w:sz w:val="24"/>
        </w:rPr>
      </w:pPr>
      <w:r>
        <w:rPr>
          <w:rFonts w:hint="eastAsia" w:ascii="宋体" w:hAnsi="宋体" w:cs="宋体"/>
          <w:sz w:val="24"/>
        </w:rPr>
        <w:t>11）供应商有串通磋商、弄虚作假、行贿等违法行为的；</w:t>
      </w:r>
    </w:p>
    <w:p>
      <w:pPr>
        <w:spacing w:line="360" w:lineRule="auto"/>
        <w:rPr>
          <w:rFonts w:ascii="宋体" w:hAnsi="宋体" w:cs="宋体"/>
          <w:sz w:val="24"/>
        </w:rPr>
      </w:pPr>
      <w:r>
        <w:rPr>
          <w:rFonts w:hint="eastAsia" w:ascii="宋体" w:hAnsi="宋体" w:cs="宋体"/>
          <w:sz w:val="24"/>
        </w:rPr>
        <w:t>12）存在竞争性磋商文件中规定的否决响应的其他条款的。</w:t>
      </w:r>
    </w:p>
    <w:p>
      <w:pPr>
        <w:outlineLvl w:val="1"/>
        <w:rPr>
          <w:rFonts w:ascii="宋体" w:hAnsi="宋体" w:cs="宋体"/>
          <w:b/>
          <w:sz w:val="24"/>
        </w:rPr>
      </w:pPr>
      <w:bookmarkStart w:id="584" w:name="_Toc6059"/>
      <w:bookmarkStart w:id="585" w:name="_Toc8157"/>
      <w:bookmarkStart w:id="586" w:name="_Toc7171"/>
      <w:r>
        <w:rPr>
          <w:rFonts w:hint="eastAsia" w:ascii="宋体" w:hAnsi="宋体" w:cs="宋体"/>
          <w:b/>
          <w:sz w:val="24"/>
        </w:rPr>
        <w:t>三、磋商</w:t>
      </w:r>
      <w:bookmarkEnd w:id="584"/>
      <w:bookmarkEnd w:id="585"/>
      <w:bookmarkEnd w:id="586"/>
    </w:p>
    <w:p>
      <w:pPr>
        <w:rPr>
          <w:rFonts w:ascii="宋体" w:hAnsi="宋体" w:cs="宋体"/>
          <w:sz w:val="24"/>
        </w:rPr>
      </w:pPr>
    </w:p>
    <w:p>
      <w:pPr>
        <w:spacing w:line="360" w:lineRule="auto"/>
        <w:jc w:val="left"/>
        <w:rPr>
          <w:rFonts w:ascii="宋体" w:hAnsi="宋体" w:cs="宋体"/>
          <w:bCs/>
          <w:sz w:val="24"/>
        </w:rPr>
      </w:pPr>
      <w:r>
        <w:rPr>
          <w:rFonts w:hint="eastAsia" w:ascii="宋体" w:hAnsi="宋体" w:cs="宋体"/>
          <w:bCs/>
          <w:sz w:val="24"/>
        </w:rPr>
        <w:t>3.1磋商小组所有成员集中与单一供应商分别进行一轮或多轮磋商，并给予所有参加磋商的供应商平等的磋商机会。磋商顺序以随机的方式确定。磋商过程中，磋商小组可以根据磋商情况调整磋商轮次。</w:t>
      </w:r>
    </w:p>
    <w:p>
      <w:pPr>
        <w:spacing w:line="360" w:lineRule="auto"/>
        <w:jc w:val="left"/>
        <w:rPr>
          <w:rFonts w:ascii="宋体" w:hAnsi="宋体" w:cs="宋体"/>
          <w:bCs/>
          <w:sz w:val="24"/>
        </w:rPr>
      </w:pPr>
      <w:r>
        <w:rPr>
          <w:rFonts w:hint="eastAsia" w:ascii="宋体" w:hAnsi="宋体" w:cs="宋体"/>
          <w:bCs/>
          <w:sz w:val="24"/>
        </w:rPr>
        <w:t>3.2每轮磋商开始前，磋商小组应根据竞争性磋商文件的规定，并结合各供应商的响应文件拟定磋商内容。</w:t>
      </w:r>
    </w:p>
    <w:p>
      <w:pPr>
        <w:spacing w:line="360" w:lineRule="auto"/>
        <w:jc w:val="left"/>
        <w:rPr>
          <w:rFonts w:ascii="宋体" w:hAnsi="宋体" w:cs="宋体"/>
          <w:bCs/>
          <w:sz w:val="24"/>
        </w:rPr>
      </w:pPr>
      <w:r>
        <w:rPr>
          <w:rFonts w:hint="eastAsia" w:ascii="宋体" w:hAnsi="宋体" w:cs="宋体"/>
          <w:bCs/>
          <w:sz w:val="24"/>
        </w:rPr>
        <w:t>3.3在磋商过程中，磋商小组可以根据竞争性磋商文件和磋商情况实质性变动竞争性磋商文件的技术、服务要求以及合同草案条款，但不得变动竞争性磋商文件中的其他内容。实质性变动的内容，须经采购人代表书面确认。</w:t>
      </w:r>
    </w:p>
    <w:p>
      <w:pPr>
        <w:spacing w:line="360" w:lineRule="auto"/>
        <w:jc w:val="left"/>
        <w:rPr>
          <w:rFonts w:ascii="宋体" w:hAnsi="宋体" w:cs="宋体"/>
          <w:bCs/>
          <w:sz w:val="24"/>
        </w:rPr>
      </w:pPr>
      <w:r>
        <w:rPr>
          <w:rFonts w:hint="eastAsia" w:ascii="宋体" w:hAnsi="宋体" w:cs="宋体"/>
          <w:bCs/>
          <w:sz w:val="24"/>
        </w:rPr>
        <w:t>3.4对竞争性磋商文件做出的实质性变动是竞争性磋商文件的有效组成部分，磋商小组应当及时以书面形式同时通知所有参加磋商的供应商。</w:t>
      </w:r>
    </w:p>
    <w:p>
      <w:pPr>
        <w:spacing w:line="360" w:lineRule="auto"/>
        <w:jc w:val="left"/>
        <w:rPr>
          <w:rFonts w:ascii="宋体" w:hAnsi="宋体" w:cs="宋体"/>
          <w:bCs/>
          <w:sz w:val="24"/>
        </w:rPr>
      </w:pPr>
      <w:r>
        <w:rPr>
          <w:rFonts w:hint="eastAsia" w:ascii="宋体" w:hAnsi="宋体" w:cs="宋体"/>
          <w:bCs/>
          <w:sz w:val="24"/>
        </w:rPr>
        <w:t>3.5磋商过程中，竞争性磋商文件变动的，供应商应当按照竞争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竞争性磋商文件要求为原则，不得变更为不利于满足竞争性磋商文件规定，否则，其响应文件作为无效处理。</w:t>
      </w:r>
    </w:p>
    <w:p>
      <w:pPr>
        <w:spacing w:line="360" w:lineRule="auto"/>
        <w:jc w:val="left"/>
        <w:rPr>
          <w:rFonts w:ascii="宋体" w:hAnsi="宋体" w:cs="宋体"/>
          <w:bCs/>
          <w:sz w:val="24"/>
        </w:rPr>
      </w:pPr>
      <w:r>
        <w:rPr>
          <w:rFonts w:hint="eastAsia" w:ascii="宋体" w:hAnsi="宋体" w:cs="宋体"/>
          <w:bCs/>
          <w:sz w:val="24"/>
        </w:rPr>
        <w:t>3.6磋商过程中，磋商的任何一方不得透露与磋商有关的其他供应商的技术资料、价格和其他信息。</w:t>
      </w:r>
    </w:p>
    <w:p>
      <w:pPr>
        <w:spacing w:line="360" w:lineRule="auto"/>
        <w:jc w:val="left"/>
        <w:rPr>
          <w:rFonts w:ascii="宋体" w:hAnsi="宋体" w:cs="宋体"/>
          <w:bCs/>
          <w:sz w:val="24"/>
        </w:rPr>
      </w:pPr>
      <w:r>
        <w:rPr>
          <w:rFonts w:hint="eastAsia" w:ascii="宋体" w:hAnsi="宋体" w:cs="宋体"/>
          <w:bCs/>
          <w:sz w:val="24"/>
        </w:rPr>
        <w:t>3.7磋商过程中，磋商小组发现或者知晓供应商存在违法、违纪行为的，磋商小组应当将该供应商响应文件作无效处理，不允许其提交最后报价。</w:t>
      </w:r>
    </w:p>
    <w:p>
      <w:pPr>
        <w:outlineLvl w:val="1"/>
        <w:rPr>
          <w:rFonts w:ascii="宋体" w:hAnsi="宋体" w:cs="宋体"/>
          <w:b/>
          <w:sz w:val="24"/>
        </w:rPr>
      </w:pPr>
      <w:bookmarkStart w:id="587" w:name="_Toc32187"/>
      <w:bookmarkStart w:id="588" w:name="_Toc10828"/>
      <w:bookmarkStart w:id="589" w:name="_Toc19427"/>
      <w:r>
        <w:rPr>
          <w:rFonts w:hint="eastAsia" w:ascii="宋体" w:hAnsi="宋体" w:cs="宋体"/>
          <w:b/>
          <w:sz w:val="24"/>
        </w:rPr>
        <w:t>四、 提交最终报价</w:t>
      </w:r>
      <w:bookmarkEnd w:id="587"/>
      <w:bookmarkEnd w:id="588"/>
      <w:bookmarkEnd w:id="589"/>
    </w:p>
    <w:p>
      <w:pPr>
        <w:spacing w:line="360" w:lineRule="auto"/>
        <w:rPr>
          <w:rFonts w:ascii="宋体" w:hAnsi="宋体" w:cs="宋体"/>
          <w:sz w:val="24"/>
        </w:rPr>
      </w:pPr>
      <w:r>
        <w:rPr>
          <w:rFonts w:hint="eastAsia" w:ascii="宋体" w:hAnsi="宋体" w:cs="宋体"/>
          <w:sz w:val="24"/>
        </w:rPr>
        <w:t>4.1根据《政府采购竞争性磋商采购方式管理暂行办法》规定，磋商结束后，磋商小组要求所有实质性响应的供应商在规定时间内提交最后报价。</w:t>
      </w:r>
    </w:p>
    <w:p>
      <w:pPr>
        <w:spacing w:line="360" w:lineRule="auto"/>
        <w:rPr>
          <w:rFonts w:ascii="宋体" w:hAnsi="宋体" w:cs="宋体"/>
          <w:sz w:val="24"/>
        </w:rPr>
      </w:pPr>
      <w:r>
        <w:rPr>
          <w:rFonts w:hint="eastAsia" w:ascii="宋体" w:hAnsi="宋体" w:cs="宋体"/>
          <w:sz w:val="24"/>
        </w:rPr>
        <w:t>4.2磋商小组认为供应商的报价明显低于其他通过符合性审查供应商的报价，有可能影响产品质量或者不能诚信履约的，应当要求其提供书面说明，必要时提交相关证明材料；供应商不能证明其报价合理性的，磋商小组应当将其作为无效投标处理。</w:t>
      </w:r>
    </w:p>
    <w:p>
      <w:pPr>
        <w:spacing w:line="360" w:lineRule="auto"/>
        <w:rPr>
          <w:rFonts w:ascii="宋体" w:hAnsi="宋体"/>
          <w:color w:val="000000"/>
          <w:sz w:val="24"/>
        </w:rPr>
      </w:pPr>
      <w:r>
        <w:rPr>
          <w:rFonts w:hint="eastAsia" w:ascii="宋体" w:hAnsi="宋体" w:cs="宋体"/>
          <w:sz w:val="24"/>
        </w:rPr>
        <w:t>1) 供应商的说明材料应当按照国家财务会计制度的规定要求，逐项就提供的货</w:t>
      </w:r>
      <w:r>
        <w:rPr>
          <w:rFonts w:hint="eastAsia" w:ascii="宋体" w:hAnsi="宋体"/>
          <w:color w:val="000000"/>
          <w:sz w:val="24"/>
        </w:rPr>
        <w:t>物、工程和服务的主营业务成本、税金及附加、销售费用、管理费用、财务费用、培训费用、售后服务等成本构成事项详细陈述。</w:t>
      </w:r>
    </w:p>
    <w:p>
      <w:pPr>
        <w:spacing w:line="360" w:lineRule="auto"/>
        <w:rPr>
          <w:rFonts w:ascii="宋体" w:hAnsi="宋体"/>
          <w:color w:val="000000"/>
          <w:sz w:val="24"/>
        </w:rPr>
      </w:pPr>
      <w:r>
        <w:rPr>
          <w:rFonts w:hint="eastAsia" w:ascii="宋体" w:hAnsi="宋体"/>
          <w:color w:val="000000"/>
          <w:sz w:val="24"/>
        </w:rPr>
        <w:t>2) 供应商答复后，磋商小组应当结合采购项目采购需求、专业实际情况、财务状况报告、与其他供应商比较情况等就供应商说明进行审查评价。</w:t>
      </w:r>
    </w:p>
    <w:p>
      <w:pPr>
        <w:spacing w:line="360" w:lineRule="auto"/>
        <w:outlineLvl w:val="1"/>
        <w:rPr>
          <w:rFonts w:ascii="宋体" w:hAnsi="宋体" w:cs="宋体"/>
          <w:b/>
          <w:sz w:val="24"/>
        </w:rPr>
      </w:pPr>
      <w:bookmarkStart w:id="590" w:name="_Toc6866"/>
      <w:bookmarkStart w:id="591" w:name="_Toc26697"/>
      <w:bookmarkStart w:id="592" w:name="_Toc29640"/>
      <w:r>
        <w:rPr>
          <w:rFonts w:hint="eastAsia" w:ascii="宋体" w:hAnsi="宋体" w:cs="宋体"/>
          <w:b/>
          <w:sz w:val="24"/>
        </w:rPr>
        <w:t>五、比较与评价</w:t>
      </w:r>
      <w:bookmarkEnd w:id="590"/>
      <w:bookmarkEnd w:id="591"/>
      <w:bookmarkEnd w:id="592"/>
    </w:p>
    <w:p>
      <w:pPr>
        <w:spacing w:line="360" w:lineRule="auto"/>
        <w:rPr>
          <w:rFonts w:ascii="宋体" w:hAnsi="宋体" w:cs="宋体"/>
          <w:bCs/>
          <w:sz w:val="24"/>
        </w:rPr>
      </w:pPr>
      <w:r>
        <w:rPr>
          <w:rFonts w:hint="eastAsia" w:ascii="宋体" w:hAnsi="宋体" w:cs="宋体"/>
          <w:sz w:val="24"/>
        </w:rPr>
        <w:t>5.1经磋商确定</w:t>
      </w:r>
      <w:r>
        <w:rPr>
          <w:rFonts w:hint="eastAsia" w:ascii="宋体" w:hAnsi="宋体" w:cs="宋体"/>
          <w:bCs/>
          <w:sz w:val="24"/>
        </w:rPr>
        <w:t>最终采购需求和提交最后报价的供应商后，由磋商小组采用综合评分法对提交最后报价的供应商的响应文件和最后报价进行综合评分。</w:t>
      </w:r>
    </w:p>
    <w:p>
      <w:pPr>
        <w:spacing w:line="360" w:lineRule="auto"/>
        <w:rPr>
          <w:rFonts w:ascii="宋体" w:hAnsi="宋体" w:cs="宋体"/>
          <w:sz w:val="24"/>
        </w:rPr>
      </w:pPr>
      <w:r>
        <w:rPr>
          <w:rFonts w:hint="eastAsia" w:ascii="宋体" w:hAnsi="宋体" w:cs="宋体"/>
          <w:sz w:val="24"/>
        </w:rPr>
        <w:t>综合评分法，是指响应文件满足竞争性磋商文件全部实质性要求且按评审因素的量化指标评审得分最高的供应商为成交候选供应商的评审方法。</w:t>
      </w:r>
    </w:p>
    <w:p>
      <w:pPr>
        <w:spacing w:line="360" w:lineRule="auto"/>
        <w:rPr>
          <w:rFonts w:ascii="宋体" w:hAnsi="宋体" w:cs="宋体"/>
          <w:sz w:val="24"/>
        </w:rPr>
      </w:pPr>
      <w:r>
        <w:rPr>
          <w:rFonts w:hint="eastAsia" w:ascii="宋体" w:hAnsi="宋体" w:cs="宋体"/>
          <w:sz w:val="24"/>
        </w:rPr>
        <w:t>5.2磋商小组应当根据综合评分情况，按照评审得分由高到低顺序推荐3名成交候选供应商，并编写评审报告。评审得分相同的，按照最后报价由低到高的顺序推荐。评审得分且最后报价相同的，按照技术指标优劣顺序推荐。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rPr>
          <w:rFonts w:ascii="宋体" w:hAnsi="宋体" w:cs="宋体"/>
          <w:sz w:val="24"/>
        </w:rPr>
      </w:pPr>
      <w:r>
        <w:rPr>
          <w:rFonts w:hint="eastAsia" w:ascii="宋体" w:hAnsi="宋体" w:cs="宋体"/>
          <w:sz w:val="24"/>
        </w:rPr>
        <w:t>5.3综合评分明细表</w:t>
      </w:r>
    </w:p>
    <w:p>
      <w:pPr>
        <w:snapToGrid w:val="0"/>
        <w:spacing w:line="360" w:lineRule="auto"/>
        <w:outlineLvl w:val="0"/>
        <w:rPr>
          <w:rFonts w:ascii="宋体" w:hAnsi="宋体" w:cs="宋体"/>
          <w:b/>
          <w:bCs/>
          <w:sz w:val="24"/>
        </w:rPr>
      </w:pPr>
      <w:bookmarkStart w:id="593" w:name="_Toc29476"/>
      <w:bookmarkStart w:id="594" w:name="_Toc7933"/>
      <w:bookmarkStart w:id="595" w:name="_Toc10602"/>
      <w:r>
        <w:rPr>
          <w:rFonts w:hint="eastAsia" w:ascii="宋体" w:hAnsi="宋体" w:cs="宋体"/>
          <w:b/>
          <w:bCs/>
          <w:sz w:val="24"/>
        </w:rPr>
        <w:t>附表：评标细则</w:t>
      </w:r>
      <w:bookmarkEnd w:id="577"/>
      <w:bookmarkEnd w:id="593"/>
      <w:bookmarkEnd w:id="594"/>
      <w:bookmarkEnd w:id="595"/>
    </w:p>
    <w:p>
      <w:pPr>
        <w:spacing w:line="360" w:lineRule="auto"/>
        <w:ind w:firstLine="465"/>
        <w:rPr>
          <w:rFonts w:ascii="宋体" w:hAnsi="宋体"/>
          <w:sz w:val="24"/>
        </w:rPr>
      </w:pPr>
      <w:bookmarkStart w:id="596" w:name="_Toc417810482"/>
      <w:r>
        <w:rPr>
          <w:rFonts w:hint="eastAsia" w:ascii="宋体" w:hAnsi="宋体"/>
          <w:sz w:val="24"/>
        </w:rPr>
        <w:t>（一）总则</w:t>
      </w:r>
      <w:bookmarkEnd w:id="596"/>
    </w:p>
    <w:p>
      <w:pPr>
        <w:spacing w:line="360" w:lineRule="auto"/>
        <w:ind w:firstLine="465"/>
        <w:rPr>
          <w:rFonts w:ascii="宋体" w:hAnsi="宋体"/>
          <w:sz w:val="24"/>
        </w:rPr>
      </w:pPr>
      <w:r>
        <w:rPr>
          <w:rFonts w:hint="eastAsia" w:ascii="宋体" w:hAnsi="宋体"/>
          <w:sz w:val="24"/>
        </w:rPr>
        <w:t>本次评标采用综合评分法，总分为100分。评分过程中采用四舍五入法，保留小数2位。</w:t>
      </w:r>
    </w:p>
    <w:p>
      <w:pPr>
        <w:spacing w:line="360" w:lineRule="auto"/>
        <w:ind w:firstLine="465"/>
        <w:rPr>
          <w:rFonts w:ascii="宋体" w:hAnsi="宋体"/>
          <w:sz w:val="24"/>
        </w:rPr>
      </w:pPr>
      <w:bookmarkStart w:id="597" w:name="_Toc417810483"/>
      <w:r>
        <w:rPr>
          <w:rFonts w:hint="eastAsia" w:ascii="宋体" w:hAnsi="宋体"/>
          <w:sz w:val="24"/>
        </w:rPr>
        <w:t>（二）评标内容及标准</w:t>
      </w:r>
      <w:bookmarkEnd w:id="597"/>
    </w:p>
    <w:p>
      <w:pPr>
        <w:spacing w:line="360" w:lineRule="auto"/>
        <w:ind w:firstLine="465"/>
        <w:rPr>
          <w:rFonts w:ascii="宋体" w:hAnsi="宋体"/>
          <w:sz w:val="24"/>
        </w:rPr>
      </w:pPr>
      <w:r>
        <w:rPr>
          <w:rFonts w:ascii="宋体" w:hAnsi="宋体"/>
          <w:sz w:val="24"/>
        </w:rPr>
        <w:t>1</w:t>
      </w:r>
      <w:r>
        <w:rPr>
          <w:rFonts w:hint="eastAsia" w:ascii="宋体" w:hAnsi="宋体"/>
          <w:sz w:val="24"/>
        </w:rPr>
        <w:t>、价格分</w:t>
      </w:r>
      <w:r>
        <w:rPr>
          <w:rFonts w:hint="eastAsia" w:ascii="宋体" w:hAnsi="宋体"/>
          <w:sz w:val="24"/>
          <w:u w:val="single"/>
        </w:rPr>
        <w:t>（</w:t>
      </w:r>
      <w:r>
        <w:rPr>
          <w:rFonts w:hint="eastAsia" w:ascii="宋体" w:hAnsi="宋体"/>
          <w:sz w:val="24"/>
          <w:u w:val="single"/>
          <w:lang w:val="en-US" w:eastAsia="zh-CN"/>
        </w:rPr>
        <w:t>4</w:t>
      </w:r>
      <w:r>
        <w:rPr>
          <w:rFonts w:hint="eastAsia" w:ascii="宋体" w:hAnsi="宋体"/>
          <w:sz w:val="24"/>
          <w:u w:val="single"/>
        </w:rPr>
        <w:t>0分）</w:t>
      </w:r>
    </w:p>
    <w:p>
      <w:pPr>
        <w:spacing w:line="360" w:lineRule="auto"/>
        <w:ind w:firstLine="480" w:firstLineChars="200"/>
        <w:rPr>
          <w:rFonts w:ascii="宋体" w:hAnsi="宋体"/>
          <w:sz w:val="24"/>
        </w:rPr>
      </w:pPr>
      <w:r>
        <w:rPr>
          <w:rFonts w:hint="eastAsia" w:ascii="宋体" w:hAnsi="宋体"/>
          <w:sz w:val="24"/>
        </w:rPr>
        <w:t>价格分采用低价优先法计算，即满足招标文件要求且投标价格最低的投标报价为评标基准价，其价格分为满分</w:t>
      </w:r>
      <w:r>
        <w:rPr>
          <w:rFonts w:hint="eastAsia" w:ascii="宋体" w:hAnsi="宋体"/>
          <w:sz w:val="24"/>
          <w:lang w:val="en-US" w:eastAsia="zh-CN"/>
        </w:rPr>
        <w:t>4</w:t>
      </w:r>
      <w:r>
        <w:rPr>
          <w:rFonts w:hint="eastAsia" w:ascii="宋体" w:hAnsi="宋体"/>
          <w:sz w:val="24"/>
        </w:rPr>
        <w:t>0分。其他投标人的价格分按照下列公式计算：</w:t>
      </w:r>
    </w:p>
    <w:p>
      <w:pPr>
        <w:spacing w:line="360" w:lineRule="auto"/>
        <w:rPr>
          <w:rFonts w:ascii="宋体" w:hAnsi="宋体"/>
          <w:sz w:val="24"/>
        </w:rPr>
      </w:pPr>
      <w:r>
        <w:rPr>
          <w:rFonts w:hint="eastAsia" w:ascii="宋体" w:hAnsi="宋体"/>
          <w:sz w:val="24"/>
        </w:rPr>
        <w:t>投标报价得分＝（评标基准价/投标报价）×</w:t>
      </w:r>
      <w:r>
        <w:rPr>
          <w:rFonts w:hint="eastAsia" w:ascii="宋体" w:hAnsi="宋体"/>
          <w:sz w:val="24"/>
          <w:lang w:val="en-US" w:eastAsia="zh-CN"/>
        </w:rPr>
        <w:t>4</w:t>
      </w:r>
      <w:r>
        <w:rPr>
          <w:rFonts w:hint="eastAsia" w:ascii="宋体" w:hAnsi="宋体"/>
          <w:sz w:val="24"/>
        </w:rPr>
        <w:t>0</w:t>
      </w:r>
    </w:p>
    <w:p>
      <w:pPr>
        <w:spacing w:line="360" w:lineRule="auto"/>
        <w:ind w:left="480" w:hanging="480" w:hangingChars="200"/>
        <w:rPr>
          <w:rFonts w:ascii="宋体" w:hAnsi="宋体"/>
          <w:sz w:val="24"/>
        </w:rPr>
      </w:pPr>
      <w:r>
        <w:rPr>
          <w:rFonts w:hint="eastAsia" w:ascii="宋体" w:hAnsi="宋体"/>
          <w:sz w:val="24"/>
        </w:rPr>
        <w:t>注：未通过初步评审的投标不参与投标报价得分的计算。</w:t>
      </w:r>
      <w:r>
        <w:rPr>
          <w:rFonts w:hint="eastAsia" w:ascii="宋体" w:hAnsi="宋体"/>
          <w:sz w:val="24"/>
        </w:rPr>
        <w:br w:type="textWrapping"/>
      </w:r>
      <w:r>
        <w:rPr>
          <w:rFonts w:hint="eastAsia" w:ascii="宋体" w:hAnsi="宋体"/>
          <w:sz w:val="24"/>
        </w:rPr>
        <w:t>小微企业（监狱企业、残疾人福利性单位视同小微企业）价格扣除；根据《政府采购促进中小企业发展暂行办法》（财库〔2011〕181号）的规定，对小型和微型企业产品的价格给予6%的价格扣除，用扣除后的价格参与评审。中小微企业产品和监狱企业产品只给予一次价格扣除，不重复给予价格扣除。</w:t>
      </w:r>
    </w:p>
    <w:p>
      <w:pPr>
        <w:pStyle w:val="20"/>
        <w:ind w:firstLine="480" w:firstLineChars="200"/>
        <w:rPr>
          <w:sz w:val="24"/>
          <w:szCs w:val="32"/>
        </w:rPr>
      </w:pPr>
      <w:r>
        <w:rPr>
          <w:rFonts w:hint="eastAsia"/>
          <w:sz w:val="24"/>
          <w:szCs w:val="32"/>
        </w:rPr>
        <w:t>参加政府采购活动的中小企业应当提供《中小企业声明函》和全国企业信用信息公示系统（HTTP://togs.mosaic.gov.c/）小微企业名录的查询截图。监狱企业应当应当提供由省级以上监狱管理局、戒毒管理局（含新疆生产建设兵团）出具的属于监狱企业的证明文件原件。残疾人福利性单位应当提供《残疾人福利性单位声明函》原件。没有提供《中小企业声明函》和全国企业信用信息公示系统（HTTP://togs.mosaic.gov.c/）小微企业名录的查询截图的投标人或不符合《政府采购促进中小企业发展暂行办法》规定的小型、微型企业条件的及不符合财库〔2014〕68号、财库〔2017〕141号规定或未提供相关证明文件的监狱企业、残疾人福利性单位将被视为不接受投标总价的扣除，用原投标总价参与评审。小微企业（监狱企业、残疾人福利性单位视同小微企业）投标报价=小微企业（监狱企业、残疾人福利性单位视同小微企业）报价×（1-6%）。中小企业划型标准见《关于印发中小企业划型标准规定的通知》（工信部联企业[2011]300号）。（小型、微型企业提供中型企业制造的货物的，视同为中型企业）</w:t>
      </w:r>
    </w:p>
    <w:p>
      <w:pPr>
        <w:pStyle w:val="20"/>
        <w:ind w:firstLine="480" w:firstLineChars="200"/>
      </w:pPr>
      <w:r>
        <w:rPr>
          <w:rFonts w:hint="eastAsia"/>
          <w:sz w:val="24"/>
          <w:szCs w:val="32"/>
        </w:rPr>
        <w:t>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rPr>
          <w:rFonts w:ascii="宋体" w:hAnsi="宋体"/>
          <w:sz w:val="24"/>
        </w:rPr>
      </w:pPr>
      <w:r>
        <w:rPr>
          <w:rFonts w:hint="eastAsia" w:ascii="宋体" w:hAnsi="宋体"/>
          <w:sz w:val="24"/>
        </w:rPr>
        <w:t>2、技术部分（</w:t>
      </w:r>
      <w:r>
        <w:rPr>
          <w:rFonts w:hint="eastAsia" w:ascii="宋体" w:hAnsi="宋体"/>
          <w:sz w:val="24"/>
          <w:lang w:val="en-US" w:eastAsia="zh-CN"/>
        </w:rPr>
        <w:t>30</w:t>
      </w:r>
      <w:r>
        <w:rPr>
          <w:rFonts w:hint="eastAsia" w:ascii="宋体" w:hAnsi="宋体"/>
          <w:sz w:val="24"/>
        </w:rPr>
        <w:t>分）</w:t>
      </w:r>
    </w:p>
    <w:p>
      <w:pPr>
        <w:spacing w:line="360" w:lineRule="auto"/>
        <w:ind w:firstLine="465"/>
        <w:rPr>
          <w:rFonts w:ascii="宋体" w:hAnsi="宋体"/>
          <w:color w:val="000000"/>
          <w:sz w:val="24"/>
        </w:rPr>
      </w:pPr>
      <w:r>
        <w:rPr>
          <w:rFonts w:hint="eastAsia" w:ascii="宋体" w:hAnsi="宋体"/>
          <w:color w:val="000000"/>
          <w:sz w:val="24"/>
        </w:rPr>
        <w:t>完全满足磋商文件技术参数的，得</w:t>
      </w:r>
      <w:r>
        <w:rPr>
          <w:rFonts w:hint="eastAsia" w:ascii="宋体" w:hAnsi="宋体"/>
          <w:color w:val="000000"/>
          <w:sz w:val="24"/>
          <w:lang w:val="en-US" w:eastAsia="zh-CN"/>
        </w:rPr>
        <w:t>30</w:t>
      </w:r>
      <w:r>
        <w:rPr>
          <w:rFonts w:hint="eastAsia" w:ascii="宋体" w:hAnsi="宋体"/>
          <w:color w:val="000000"/>
          <w:sz w:val="24"/>
        </w:rPr>
        <w:t>分。</w:t>
      </w:r>
    </w:p>
    <w:p>
      <w:pPr>
        <w:spacing w:line="360" w:lineRule="auto"/>
        <w:ind w:firstLine="465"/>
        <w:rPr>
          <w:rFonts w:ascii="宋体" w:hAnsi="宋体"/>
          <w:color w:val="000000"/>
          <w:sz w:val="24"/>
        </w:rPr>
      </w:pPr>
      <w:r>
        <w:rPr>
          <w:rFonts w:hint="eastAsia" w:ascii="宋体" w:hAnsi="宋体"/>
          <w:color w:val="000000"/>
          <w:sz w:val="24"/>
        </w:rPr>
        <w:t>评标委员会根据投标人提供的产品技术证明等文件，判断所投产品是否满足磋商文件的要求。</w:t>
      </w:r>
    </w:p>
    <w:p>
      <w:pPr>
        <w:spacing w:line="360" w:lineRule="auto"/>
        <w:ind w:firstLine="465"/>
        <w:rPr>
          <w:rFonts w:ascii="宋体" w:hAnsi="宋体"/>
          <w:color w:val="000000"/>
          <w:sz w:val="24"/>
          <w:highlight w:val="none"/>
        </w:rPr>
      </w:pPr>
      <w:r>
        <w:rPr>
          <w:rFonts w:hint="eastAsia" w:ascii="宋体" w:hAnsi="宋体"/>
          <w:color w:val="000000"/>
          <w:sz w:val="24"/>
          <w:highlight w:val="none"/>
        </w:rPr>
        <w:t>其中“★”指标有一项不满足扣0.5分，非“★”指标每有1条不满足扣0.</w:t>
      </w:r>
      <w:r>
        <w:rPr>
          <w:rFonts w:hint="eastAsia" w:ascii="宋体" w:hAnsi="宋体"/>
          <w:color w:val="000000"/>
          <w:sz w:val="24"/>
          <w:highlight w:val="none"/>
          <w:lang w:val="en-US" w:eastAsia="zh-CN"/>
        </w:rPr>
        <w:t>2</w:t>
      </w:r>
      <w:r>
        <w:rPr>
          <w:rFonts w:hint="eastAsia" w:ascii="宋体" w:hAnsi="宋体"/>
          <w:color w:val="000000"/>
          <w:sz w:val="24"/>
          <w:highlight w:val="none"/>
        </w:rPr>
        <w:t>分。</w:t>
      </w:r>
    </w:p>
    <w:p>
      <w:pPr>
        <w:spacing w:line="360" w:lineRule="auto"/>
        <w:ind w:firstLine="465"/>
        <w:rPr>
          <w:rFonts w:ascii="宋体" w:hAnsi="宋体"/>
          <w:color w:val="000000"/>
          <w:sz w:val="24"/>
          <w:highlight w:val="none"/>
        </w:rPr>
      </w:pPr>
      <w:r>
        <w:rPr>
          <w:rFonts w:hint="eastAsia" w:ascii="宋体" w:hAnsi="宋体"/>
          <w:color w:val="000000"/>
          <w:sz w:val="24"/>
          <w:highlight w:val="none"/>
        </w:rPr>
        <w:t>投标文件超过15条不满足视为响应文件有重大或不可接受的偏差，响应文件无效。</w:t>
      </w:r>
    </w:p>
    <w:p>
      <w:pPr>
        <w:spacing w:line="360" w:lineRule="auto"/>
        <w:ind w:firstLine="465"/>
        <w:rPr>
          <w:rFonts w:ascii="宋体" w:hAnsi="宋体"/>
          <w:color w:val="000000"/>
          <w:sz w:val="24"/>
        </w:rPr>
      </w:pPr>
      <w:r>
        <w:rPr>
          <w:rFonts w:hint="eastAsia" w:ascii="宋体" w:hAnsi="宋体"/>
          <w:color w:val="000000"/>
          <w:sz w:val="24"/>
        </w:rPr>
        <w:t>技术参数偏差表中标注“正偏差”或“负偏差”或“无偏差”；正偏差视同满足，负偏差按要求扣分，未提供或不满足招标文件“采购需求”要求的，则扣除对应分值。</w:t>
      </w:r>
    </w:p>
    <w:p>
      <w:pPr>
        <w:spacing w:line="360" w:lineRule="auto"/>
        <w:ind w:firstLine="465"/>
        <w:rPr>
          <w:rFonts w:ascii="宋体" w:hAnsi="宋体"/>
          <w:sz w:val="24"/>
        </w:rPr>
      </w:pPr>
      <w:r>
        <w:rPr>
          <w:rFonts w:hint="eastAsia" w:ascii="宋体" w:hAnsi="宋体"/>
          <w:sz w:val="24"/>
        </w:rPr>
        <w:t>3、商务部分（</w:t>
      </w:r>
      <w:r>
        <w:rPr>
          <w:rFonts w:hint="eastAsia" w:ascii="宋体" w:hAnsi="宋体"/>
          <w:sz w:val="24"/>
          <w:lang w:val="en-US" w:eastAsia="zh-CN"/>
        </w:rPr>
        <w:t>30</w:t>
      </w:r>
      <w:r>
        <w:rPr>
          <w:rFonts w:hint="eastAsia" w:ascii="宋体" w:hAnsi="宋体"/>
          <w:sz w:val="24"/>
        </w:rPr>
        <w:t>分）</w:t>
      </w:r>
    </w:p>
    <w:p>
      <w:pPr>
        <w:spacing w:line="360" w:lineRule="auto"/>
        <w:ind w:firstLine="465"/>
        <w:rPr>
          <w:rFonts w:ascii="宋体" w:hAnsi="宋体"/>
          <w:color w:val="000000"/>
          <w:sz w:val="24"/>
        </w:rPr>
      </w:pPr>
      <w:r>
        <w:rPr>
          <w:rFonts w:hint="eastAsia" w:ascii="宋体" w:hAnsi="宋体"/>
          <w:color w:val="000000"/>
          <w:sz w:val="24"/>
        </w:rPr>
        <w:t>3.1综合实力（</w:t>
      </w:r>
      <w:r>
        <w:rPr>
          <w:rFonts w:hint="eastAsia" w:ascii="宋体" w:hAnsi="宋体"/>
          <w:color w:val="000000"/>
          <w:sz w:val="24"/>
          <w:lang w:val="en-US" w:eastAsia="zh-CN"/>
        </w:rPr>
        <w:t>8</w:t>
      </w:r>
      <w:r>
        <w:rPr>
          <w:rFonts w:hint="eastAsia" w:ascii="宋体" w:hAnsi="宋体"/>
          <w:color w:val="000000"/>
          <w:sz w:val="24"/>
        </w:rPr>
        <w:t>分）</w:t>
      </w:r>
    </w:p>
    <w:p>
      <w:pPr>
        <w:spacing w:line="360" w:lineRule="auto"/>
        <w:ind w:firstLine="465"/>
        <w:rPr>
          <w:rFonts w:ascii="宋体" w:hAnsi="宋体"/>
          <w:color w:val="000000"/>
          <w:sz w:val="24"/>
          <w:highlight w:val="none"/>
        </w:rPr>
      </w:pPr>
      <w:r>
        <w:rPr>
          <w:rFonts w:hint="eastAsia" w:ascii="宋体" w:hAnsi="宋体"/>
          <w:color w:val="000000"/>
          <w:sz w:val="24"/>
          <w:highlight w:val="none"/>
        </w:rPr>
        <w:t>（</w:t>
      </w:r>
      <w:r>
        <w:rPr>
          <w:rFonts w:hint="eastAsia" w:ascii="宋体" w:hAnsi="宋体"/>
          <w:color w:val="000000"/>
          <w:sz w:val="24"/>
          <w:highlight w:val="none"/>
          <w:lang w:val="en-US" w:eastAsia="zh-CN"/>
        </w:rPr>
        <w:t>1</w:t>
      </w:r>
      <w:r>
        <w:rPr>
          <w:rFonts w:hint="eastAsia" w:ascii="宋体" w:hAnsi="宋体"/>
          <w:color w:val="000000"/>
          <w:sz w:val="24"/>
          <w:highlight w:val="none"/>
        </w:rPr>
        <w:t>）供应商所投的执法记录仪产品制造商具有信息技术服务管理体系认证证书和信息安全服务管理体系认证证书，得3分，缺项不得分。</w:t>
      </w:r>
    </w:p>
    <w:p>
      <w:pPr>
        <w:spacing w:line="360" w:lineRule="auto"/>
        <w:ind w:firstLine="465"/>
        <w:rPr>
          <w:rFonts w:ascii="宋体" w:hAnsi="宋体"/>
          <w:color w:val="000000"/>
          <w:sz w:val="24"/>
          <w:highlight w:val="none"/>
        </w:rPr>
      </w:pPr>
      <w:r>
        <w:rPr>
          <w:rFonts w:hint="eastAsia" w:ascii="宋体" w:hAnsi="宋体"/>
          <w:color w:val="000000"/>
          <w:sz w:val="24"/>
          <w:highlight w:val="none"/>
        </w:rPr>
        <w:t>（</w:t>
      </w:r>
      <w:r>
        <w:rPr>
          <w:rFonts w:hint="eastAsia" w:ascii="宋体" w:hAnsi="宋体"/>
          <w:color w:val="000000"/>
          <w:sz w:val="24"/>
          <w:highlight w:val="none"/>
          <w:lang w:val="en-US" w:eastAsia="zh-CN"/>
        </w:rPr>
        <w:t>2</w:t>
      </w:r>
      <w:r>
        <w:rPr>
          <w:rFonts w:hint="eastAsia" w:ascii="宋体" w:hAnsi="宋体"/>
          <w:color w:val="000000"/>
          <w:sz w:val="24"/>
          <w:highlight w:val="none"/>
        </w:rPr>
        <w:t>）供应商所投的执法记录仪产品制造商具有软件成熟度CMMI4级以上证书的得3分，缺项不得分。</w:t>
      </w:r>
    </w:p>
    <w:p>
      <w:pPr>
        <w:spacing w:line="360" w:lineRule="auto"/>
        <w:ind w:firstLine="465"/>
        <w:rPr>
          <w:rFonts w:hint="eastAsia" w:ascii="宋体" w:hAnsi="宋体"/>
          <w:color w:val="000000"/>
          <w:sz w:val="24"/>
          <w:highlight w:val="none"/>
        </w:rPr>
      </w:pPr>
      <w:r>
        <w:rPr>
          <w:rFonts w:hint="eastAsia" w:ascii="宋体" w:hAnsi="宋体"/>
          <w:color w:val="000000"/>
          <w:sz w:val="24"/>
          <w:highlight w:val="none"/>
        </w:rPr>
        <w:t>（</w:t>
      </w:r>
      <w:r>
        <w:rPr>
          <w:rFonts w:hint="eastAsia" w:ascii="宋体" w:hAnsi="宋体"/>
          <w:color w:val="000000"/>
          <w:sz w:val="24"/>
          <w:highlight w:val="none"/>
          <w:lang w:val="en-US" w:eastAsia="zh-CN"/>
        </w:rPr>
        <w:t>3</w:t>
      </w:r>
      <w:r>
        <w:rPr>
          <w:rFonts w:hint="eastAsia" w:ascii="宋体" w:hAnsi="宋体"/>
          <w:color w:val="000000"/>
          <w:sz w:val="24"/>
          <w:highlight w:val="none"/>
        </w:rPr>
        <w:t>）提供近三年以来，所投项目类似业绩（合同和中标通知书扫描件、中标公告截图同时提供）每提供1份，得1分，最多得</w:t>
      </w:r>
      <w:r>
        <w:rPr>
          <w:rFonts w:hint="eastAsia" w:ascii="宋体" w:hAnsi="宋体"/>
          <w:color w:val="000000"/>
          <w:sz w:val="24"/>
          <w:highlight w:val="none"/>
          <w:lang w:val="en-US" w:eastAsia="zh-CN"/>
        </w:rPr>
        <w:t>2</w:t>
      </w:r>
      <w:r>
        <w:rPr>
          <w:rFonts w:hint="eastAsia" w:ascii="宋体" w:hAnsi="宋体"/>
          <w:color w:val="000000"/>
          <w:sz w:val="24"/>
          <w:highlight w:val="none"/>
        </w:rPr>
        <w:t>分。</w:t>
      </w:r>
    </w:p>
    <w:p>
      <w:pPr>
        <w:pStyle w:val="25"/>
        <w:ind w:left="0" w:leftChars="0" w:firstLine="488" w:firstLineChars="2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3.2供货方案（</w:t>
      </w:r>
      <w:r>
        <w:rPr>
          <w:rFonts w:hint="eastAsia" w:ascii="宋体" w:hAnsi="宋体" w:cs="Times New Roman"/>
          <w:color w:val="000000"/>
          <w:kern w:val="2"/>
          <w:sz w:val="24"/>
          <w:szCs w:val="24"/>
          <w:lang w:val="en-US" w:eastAsia="zh-CN" w:bidi="ar-SA"/>
        </w:rPr>
        <w:t>8</w:t>
      </w:r>
      <w:r>
        <w:rPr>
          <w:rFonts w:hint="eastAsia" w:ascii="宋体" w:hAnsi="宋体" w:eastAsia="宋体" w:cs="Times New Roman"/>
          <w:color w:val="000000"/>
          <w:kern w:val="2"/>
          <w:sz w:val="24"/>
          <w:szCs w:val="24"/>
          <w:lang w:val="en-US" w:eastAsia="zh-CN" w:bidi="ar-SA"/>
        </w:rPr>
        <w:t>分）</w:t>
      </w:r>
    </w:p>
    <w:p>
      <w:pPr>
        <w:spacing w:line="360" w:lineRule="auto"/>
        <w:ind w:firstLine="465"/>
        <w:rPr>
          <w:rFonts w:hint="eastAsia" w:ascii="宋体" w:hAnsi="宋体"/>
          <w:color w:val="000000"/>
          <w:sz w:val="24"/>
        </w:rPr>
      </w:pPr>
      <w:r>
        <w:rPr>
          <w:rFonts w:hint="eastAsia" w:ascii="宋体" w:hAnsi="宋体"/>
          <w:color w:val="000000"/>
          <w:sz w:val="24"/>
        </w:rPr>
        <w:t>根据采购人实际需求，针对项目实际情况，对配送制定详细计划方案，提供货物的组织方案及时间安排，综合考虑送货的合理性人员配备情况。</w:t>
      </w:r>
    </w:p>
    <w:p>
      <w:pPr>
        <w:spacing w:line="360" w:lineRule="auto"/>
        <w:ind w:firstLine="465"/>
        <w:rPr>
          <w:rFonts w:hint="eastAsia" w:ascii="宋体" w:hAnsi="宋体"/>
          <w:color w:val="000000"/>
          <w:sz w:val="24"/>
        </w:rPr>
      </w:pPr>
      <w:r>
        <w:rPr>
          <w:rFonts w:hint="eastAsia" w:ascii="宋体" w:hAnsi="宋体"/>
          <w:color w:val="000000"/>
          <w:sz w:val="24"/>
        </w:rPr>
        <w:t>①供应商提供的上述内容在科学性、合理性、本项目针对性、完善程度非常全面准确的，得</w:t>
      </w:r>
      <w:r>
        <w:rPr>
          <w:rFonts w:hint="eastAsia" w:ascii="宋体" w:hAnsi="宋体"/>
          <w:color w:val="000000"/>
          <w:sz w:val="24"/>
          <w:lang w:val="en-US" w:eastAsia="zh-CN"/>
        </w:rPr>
        <w:t>8</w:t>
      </w:r>
      <w:r>
        <w:rPr>
          <w:rFonts w:hint="eastAsia" w:ascii="宋体" w:hAnsi="宋体"/>
          <w:color w:val="000000"/>
          <w:sz w:val="24"/>
        </w:rPr>
        <w:t>分；</w:t>
      </w:r>
    </w:p>
    <w:p>
      <w:pPr>
        <w:spacing w:line="360" w:lineRule="auto"/>
        <w:ind w:firstLine="465"/>
        <w:rPr>
          <w:rFonts w:hint="eastAsia" w:ascii="宋体" w:hAnsi="宋体"/>
          <w:color w:val="000000"/>
          <w:sz w:val="24"/>
        </w:rPr>
      </w:pPr>
      <w:r>
        <w:rPr>
          <w:rFonts w:hint="eastAsia" w:ascii="宋体" w:hAnsi="宋体"/>
          <w:color w:val="000000"/>
          <w:sz w:val="24"/>
        </w:rPr>
        <w:t>②供应商提供的上述内容在科学性、合理性、本项目针对性、完善程度比较全面的，得4分；</w:t>
      </w:r>
    </w:p>
    <w:p>
      <w:pPr>
        <w:spacing w:line="360" w:lineRule="auto"/>
        <w:ind w:firstLine="465"/>
        <w:rPr>
          <w:rFonts w:hint="eastAsia" w:ascii="宋体" w:hAnsi="宋体"/>
          <w:color w:val="000000"/>
          <w:sz w:val="24"/>
        </w:rPr>
      </w:pPr>
      <w:r>
        <w:rPr>
          <w:rFonts w:hint="eastAsia" w:ascii="宋体" w:hAnsi="宋体"/>
          <w:color w:val="000000"/>
          <w:sz w:val="24"/>
        </w:rPr>
        <w:t>③供应商提供的上述内容在科学性、合理性、本项目针对性、完善程度上一般，得2分。</w:t>
      </w:r>
    </w:p>
    <w:p>
      <w:pPr>
        <w:spacing w:line="360" w:lineRule="auto"/>
        <w:ind w:firstLine="465"/>
        <w:rPr>
          <w:rFonts w:hint="default" w:ascii="宋体" w:hAnsi="宋体"/>
          <w:color w:val="000000"/>
          <w:sz w:val="24"/>
          <w:lang w:val="en-US" w:eastAsia="zh-CN"/>
        </w:rPr>
      </w:pPr>
      <w:r>
        <w:rPr>
          <w:rFonts w:hint="eastAsia" w:ascii="宋体" w:hAnsi="宋体"/>
          <w:color w:val="000000"/>
          <w:sz w:val="24"/>
        </w:rPr>
        <w:t>④供应商没有提供上述内容，或提供的不完整的，得0分。</w:t>
      </w:r>
    </w:p>
    <w:p>
      <w:pPr>
        <w:spacing w:line="360" w:lineRule="auto"/>
        <w:ind w:firstLine="465"/>
        <w:rPr>
          <w:rFonts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3</w:t>
      </w:r>
      <w:r>
        <w:rPr>
          <w:rFonts w:hint="eastAsia" w:ascii="宋体" w:hAnsi="宋体"/>
          <w:color w:val="000000"/>
          <w:sz w:val="24"/>
        </w:rPr>
        <w:t>售后服务方案（1</w:t>
      </w:r>
      <w:r>
        <w:rPr>
          <w:rFonts w:hint="eastAsia" w:ascii="宋体" w:hAnsi="宋体"/>
          <w:color w:val="000000"/>
          <w:sz w:val="24"/>
          <w:lang w:val="en-US" w:eastAsia="zh-CN"/>
        </w:rPr>
        <w:t>4</w:t>
      </w:r>
      <w:r>
        <w:rPr>
          <w:rFonts w:hint="eastAsia" w:ascii="宋体" w:hAnsi="宋体"/>
          <w:color w:val="000000"/>
          <w:sz w:val="24"/>
        </w:rPr>
        <w:t>分）</w:t>
      </w:r>
    </w:p>
    <w:p>
      <w:pPr>
        <w:spacing w:line="360" w:lineRule="auto"/>
        <w:ind w:firstLine="465"/>
        <w:rPr>
          <w:rFonts w:ascii="宋体" w:hAnsi="宋体"/>
          <w:color w:val="000000"/>
          <w:sz w:val="24"/>
        </w:rPr>
      </w:pPr>
      <w:r>
        <w:rPr>
          <w:rFonts w:hint="eastAsia" w:ascii="宋体" w:hAnsi="宋体"/>
          <w:color w:val="000000"/>
          <w:sz w:val="24"/>
        </w:rPr>
        <w:t>（1）根据供应商针对本项目提供详细、合理的售后服务计划、售后服务机构及配备专业售后服务技术人员情况（包括24小时电话响应、服务人员24小时到达现场，解决问题时间，并详细提供售后服务人员名单和售后服务地址电话），内容具体全面，可操作性强的，得</w:t>
      </w:r>
      <w:r>
        <w:rPr>
          <w:rFonts w:hint="eastAsia" w:ascii="宋体" w:hAnsi="宋体"/>
          <w:color w:val="000000"/>
          <w:sz w:val="24"/>
          <w:lang w:val="en-US" w:eastAsia="zh-CN"/>
        </w:rPr>
        <w:t>5</w:t>
      </w:r>
      <w:r>
        <w:rPr>
          <w:rFonts w:hint="eastAsia" w:ascii="宋体" w:hAnsi="宋体"/>
          <w:color w:val="000000"/>
          <w:sz w:val="24"/>
        </w:rPr>
        <w:t>分；内容全面，但基本可操作性的得</w:t>
      </w:r>
      <w:r>
        <w:rPr>
          <w:rFonts w:hint="eastAsia" w:ascii="宋体" w:hAnsi="宋体"/>
          <w:color w:val="000000"/>
          <w:sz w:val="24"/>
          <w:lang w:val="en-US" w:eastAsia="zh-CN"/>
        </w:rPr>
        <w:t>3</w:t>
      </w:r>
      <w:r>
        <w:rPr>
          <w:rFonts w:hint="eastAsia" w:ascii="宋体" w:hAnsi="宋体"/>
          <w:color w:val="000000"/>
          <w:sz w:val="24"/>
        </w:rPr>
        <w:t>分；内容不够详实的，得1分；不提供得0分。</w:t>
      </w:r>
    </w:p>
    <w:p>
      <w:pPr>
        <w:spacing w:line="360" w:lineRule="auto"/>
        <w:ind w:firstLine="465"/>
        <w:rPr>
          <w:rFonts w:ascii="宋体" w:hAnsi="宋体"/>
          <w:color w:val="000000"/>
          <w:sz w:val="24"/>
        </w:rPr>
      </w:pPr>
      <w:r>
        <w:rPr>
          <w:rFonts w:hint="eastAsia" w:ascii="宋体" w:hAnsi="宋体"/>
          <w:color w:val="000000"/>
          <w:sz w:val="24"/>
        </w:rPr>
        <w:t>（2）质保期内服务承诺（包括设备出现任何问题，供应商应无条件负责维修等承诺），内容具体全面，可操作性强的，得</w:t>
      </w:r>
      <w:r>
        <w:rPr>
          <w:rFonts w:hint="eastAsia" w:ascii="宋体" w:hAnsi="宋体"/>
          <w:color w:val="000000"/>
          <w:sz w:val="24"/>
          <w:lang w:val="en-US" w:eastAsia="zh-CN"/>
        </w:rPr>
        <w:t>5</w:t>
      </w:r>
      <w:r>
        <w:rPr>
          <w:rFonts w:hint="eastAsia" w:ascii="宋体" w:hAnsi="宋体"/>
          <w:color w:val="000000"/>
          <w:sz w:val="24"/>
        </w:rPr>
        <w:t>分；内容全面，但基本可操作性的得</w:t>
      </w:r>
      <w:r>
        <w:rPr>
          <w:rFonts w:hint="eastAsia" w:ascii="宋体" w:hAnsi="宋体"/>
          <w:color w:val="000000"/>
          <w:sz w:val="24"/>
          <w:lang w:val="en-US" w:eastAsia="zh-CN"/>
        </w:rPr>
        <w:t>3</w:t>
      </w:r>
      <w:r>
        <w:rPr>
          <w:rFonts w:hint="eastAsia" w:ascii="宋体" w:hAnsi="宋体"/>
          <w:color w:val="000000"/>
          <w:sz w:val="24"/>
        </w:rPr>
        <w:t>分；内容不够详实的，得1分；不提供得0分。</w:t>
      </w:r>
    </w:p>
    <w:p>
      <w:pPr>
        <w:spacing w:line="360" w:lineRule="auto"/>
        <w:ind w:firstLine="465"/>
        <w:rPr>
          <w:rFonts w:ascii="宋体" w:hAnsi="宋体"/>
          <w:color w:val="000000"/>
          <w:sz w:val="24"/>
        </w:rPr>
      </w:pPr>
      <w:r>
        <w:rPr>
          <w:rFonts w:hint="eastAsia" w:ascii="宋体" w:hAnsi="宋体"/>
          <w:color w:val="000000"/>
          <w:sz w:val="24"/>
        </w:rPr>
        <w:t>（3）质保期外服务承诺（包括免费维保期的时间、有偿服务的价格等），内容具体全面，可操作性强的，得4分；内容全面，但基本可操作性的得2分；内容不够详实的，得1分；不提供得0分。</w:t>
      </w:r>
    </w:p>
    <w:p>
      <w:pPr>
        <w:spacing w:line="360" w:lineRule="auto"/>
        <w:ind w:firstLine="465"/>
        <w:rPr>
          <w:rFonts w:ascii="宋体" w:hAnsi="宋体"/>
          <w:color w:val="000000"/>
          <w:sz w:val="24"/>
        </w:rPr>
      </w:pPr>
      <w:r>
        <w:rPr>
          <w:rFonts w:hint="eastAsia" w:ascii="宋体" w:hAnsi="宋体"/>
          <w:b/>
          <w:bCs/>
          <w:color w:val="000000"/>
          <w:sz w:val="24"/>
        </w:rPr>
        <w:t>注：</w:t>
      </w:r>
      <w:r>
        <w:rPr>
          <w:rFonts w:hint="eastAsia" w:ascii="宋体" w:hAnsi="宋体"/>
          <w:color w:val="000000"/>
          <w:sz w:val="24"/>
        </w:rPr>
        <w:t>评标委员会认为投标人的报价明显低于其他通过符合性审查投标人的报价，有可能影响产品质量或者不能诚信履约的，应当要求其提供书面说明，必要时提交相关证明材料；投标人不能证明其报价合理性的，评标委员会应当将其作为无效投标处理。</w:t>
      </w:r>
    </w:p>
    <w:p>
      <w:pPr>
        <w:spacing w:line="360" w:lineRule="auto"/>
        <w:ind w:firstLine="465"/>
        <w:rPr>
          <w:rFonts w:ascii="宋体" w:hAnsi="宋体"/>
          <w:color w:val="000000"/>
          <w:sz w:val="24"/>
        </w:rPr>
      </w:pPr>
      <w:r>
        <w:rPr>
          <w:rFonts w:hint="eastAsia" w:ascii="宋体" w:hAnsi="宋体"/>
          <w:color w:val="000000"/>
          <w:sz w:val="24"/>
        </w:rPr>
        <w:t>1) 投标人的说明材料应当按照国家财务会计制度的规定要求，逐项就提供的货物、工程和服务的主营业务成本、税金及附加、销售费用、管理费用、财务费用、培训费用、售后服务等成本构成事项详细陈述。</w:t>
      </w:r>
    </w:p>
    <w:p>
      <w:pPr>
        <w:spacing w:line="360" w:lineRule="auto"/>
        <w:ind w:firstLine="465"/>
        <w:rPr>
          <w:rFonts w:ascii="宋体" w:hAnsi="宋体"/>
          <w:color w:val="000000"/>
          <w:sz w:val="24"/>
        </w:rPr>
      </w:pPr>
      <w:r>
        <w:rPr>
          <w:rFonts w:hint="eastAsia" w:ascii="宋体" w:hAnsi="宋体"/>
          <w:color w:val="000000"/>
          <w:sz w:val="24"/>
        </w:rPr>
        <w:t>2) 投标人答复后，评标委员会应当结合采购项目采购需求、专业实际情况、财务状况报告、与其他投标人比较情况等就投标人说明进行审查评价。</w:t>
      </w:r>
    </w:p>
    <w:p>
      <w:pPr>
        <w:pStyle w:val="3"/>
        <w:keepNext w:val="0"/>
        <w:widowControl w:val="0"/>
        <w:numPr>
          <w:ilvl w:val="0"/>
          <w:numId w:val="0"/>
        </w:numPr>
        <w:spacing w:line="360" w:lineRule="auto"/>
        <w:rPr>
          <w:rFonts w:hint="eastAsia" w:ascii="宋体" w:hAnsi="宋体" w:eastAsia="宋体"/>
          <w:b/>
          <w:sz w:val="32"/>
          <w:szCs w:val="32"/>
        </w:rPr>
      </w:pPr>
      <w:bookmarkStart w:id="598" w:name="_Toc17180"/>
      <w:bookmarkStart w:id="599" w:name="_Toc44924406"/>
      <w:bookmarkStart w:id="600" w:name="_Toc6238"/>
      <w:bookmarkStart w:id="601" w:name="_Toc31726"/>
    </w:p>
    <w:p>
      <w:pPr>
        <w:rPr>
          <w:rFonts w:hint="eastAsia" w:ascii="宋体" w:hAnsi="宋体" w:eastAsia="宋体"/>
          <w:b/>
          <w:sz w:val="32"/>
          <w:szCs w:val="32"/>
        </w:rPr>
      </w:pPr>
    </w:p>
    <w:p>
      <w:pPr>
        <w:pStyle w:val="2"/>
        <w:rPr>
          <w:rFonts w:hint="eastAsia" w:ascii="宋体" w:hAnsi="宋体" w:eastAsia="宋体"/>
          <w:b/>
          <w:sz w:val="32"/>
          <w:szCs w:val="32"/>
        </w:rPr>
      </w:pPr>
    </w:p>
    <w:p>
      <w:pPr>
        <w:pStyle w:val="2"/>
        <w:rPr>
          <w:rFonts w:hint="eastAsia" w:ascii="宋体" w:hAnsi="宋体" w:eastAsia="宋体"/>
          <w:b/>
          <w:sz w:val="32"/>
          <w:szCs w:val="32"/>
        </w:rPr>
      </w:pPr>
    </w:p>
    <w:p>
      <w:pPr>
        <w:pStyle w:val="2"/>
        <w:rPr>
          <w:rFonts w:hint="eastAsia" w:ascii="宋体" w:hAnsi="宋体" w:eastAsia="宋体"/>
          <w:b/>
          <w:sz w:val="32"/>
          <w:szCs w:val="32"/>
        </w:rPr>
      </w:pPr>
    </w:p>
    <w:p>
      <w:pPr>
        <w:pStyle w:val="2"/>
        <w:rPr>
          <w:rFonts w:hint="eastAsia" w:ascii="宋体" w:hAnsi="宋体" w:eastAsia="宋体"/>
          <w:b/>
          <w:sz w:val="32"/>
          <w:szCs w:val="32"/>
        </w:rPr>
      </w:pPr>
    </w:p>
    <w:p>
      <w:pPr>
        <w:pStyle w:val="2"/>
        <w:rPr>
          <w:rFonts w:hint="eastAsia" w:ascii="宋体" w:hAnsi="宋体" w:eastAsia="宋体"/>
          <w:b/>
          <w:sz w:val="32"/>
          <w:szCs w:val="32"/>
        </w:rPr>
      </w:pPr>
    </w:p>
    <w:p>
      <w:pPr>
        <w:pStyle w:val="2"/>
        <w:rPr>
          <w:rFonts w:hint="eastAsia" w:ascii="宋体" w:hAnsi="宋体" w:eastAsia="宋体"/>
          <w:b/>
          <w:sz w:val="32"/>
          <w:szCs w:val="32"/>
        </w:rPr>
      </w:pPr>
    </w:p>
    <w:p>
      <w:pPr>
        <w:pStyle w:val="2"/>
        <w:rPr>
          <w:rFonts w:hint="eastAsia" w:ascii="宋体" w:hAnsi="宋体" w:eastAsia="宋体"/>
          <w:b/>
          <w:sz w:val="32"/>
          <w:szCs w:val="32"/>
        </w:rPr>
      </w:pPr>
    </w:p>
    <w:p>
      <w:pPr>
        <w:pStyle w:val="2"/>
        <w:rPr>
          <w:rFonts w:hint="eastAsia" w:ascii="宋体" w:hAnsi="宋体" w:eastAsia="宋体"/>
          <w:b/>
          <w:sz w:val="32"/>
          <w:szCs w:val="32"/>
        </w:rPr>
      </w:pPr>
    </w:p>
    <w:p>
      <w:pPr>
        <w:pStyle w:val="2"/>
        <w:rPr>
          <w:rFonts w:hint="eastAsia" w:ascii="宋体" w:hAnsi="宋体" w:eastAsia="宋体"/>
          <w:b/>
          <w:sz w:val="32"/>
          <w:szCs w:val="32"/>
        </w:rPr>
      </w:pPr>
    </w:p>
    <w:p>
      <w:pPr>
        <w:pStyle w:val="2"/>
        <w:rPr>
          <w:rFonts w:hint="eastAsia" w:ascii="宋体" w:hAnsi="宋体" w:eastAsia="宋体"/>
          <w:b/>
          <w:sz w:val="32"/>
          <w:szCs w:val="32"/>
        </w:rPr>
      </w:pPr>
    </w:p>
    <w:p>
      <w:pPr>
        <w:pStyle w:val="2"/>
        <w:rPr>
          <w:rFonts w:hint="eastAsia" w:ascii="宋体" w:hAnsi="宋体" w:eastAsia="宋体"/>
          <w:b/>
          <w:sz w:val="32"/>
          <w:szCs w:val="32"/>
        </w:rPr>
      </w:pPr>
    </w:p>
    <w:p>
      <w:pPr>
        <w:pStyle w:val="2"/>
        <w:rPr>
          <w:rFonts w:hint="eastAsia" w:ascii="宋体" w:hAnsi="宋体" w:eastAsia="宋体"/>
          <w:b/>
          <w:sz w:val="32"/>
          <w:szCs w:val="32"/>
        </w:rPr>
      </w:pPr>
    </w:p>
    <w:p>
      <w:pPr>
        <w:pStyle w:val="2"/>
        <w:rPr>
          <w:rFonts w:hint="eastAsia" w:ascii="宋体" w:hAnsi="宋体" w:eastAsia="宋体"/>
          <w:b/>
          <w:sz w:val="32"/>
          <w:szCs w:val="32"/>
        </w:rPr>
      </w:pPr>
    </w:p>
    <w:p>
      <w:pPr>
        <w:pStyle w:val="2"/>
        <w:rPr>
          <w:rFonts w:hint="eastAsia" w:ascii="宋体" w:hAnsi="宋体" w:eastAsia="宋体"/>
          <w:b/>
          <w:sz w:val="32"/>
          <w:szCs w:val="32"/>
        </w:rPr>
      </w:pPr>
    </w:p>
    <w:p>
      <w:pPr>
        <w:pStyle w:val="2"/>
        <w:rPr>
          <w:rFonts w:hint="eastAsia" w:ascii="宋体" w:hAnsi="宋体" w:eastAsia="宋体"/>
          <w:b/>
          <w:sz w:val="32"/>
          <w:szCs w:val="32"/>
        </w:rPr>
      </w:pPr>
    </w:p>
    <w:p>
      <w:pPr>
        <w:pStyle w:val="2"/>
        <w:rPr>
          <w:rFonts w:hint="eastAsia" w:ascii="宋体" w:hAnsi="宋体" w:eastAsia="宋体"/>
          <w:b/>
          <w:sz w:val="32"/>
          <w:szCs w:val="32"/>
        </w:rPr>
      </w:pPr>
    </w:p>
    <w:p>
      <w:pPr>
        <w:pStyle w:val="2"/>
        <w:rPr>
          <w:rFonts w:hint="eastAsia" w:ascii="宋体" w:hAnsi="宋体" w:eastAsia="宋体"/>
          <w:b/>
          <w:sz w:val="32"/>
          <w:szCs w:val="32"/>
        </w:rPr>
      </w:pPr>
    </w:p>
    <w:p>
      <w:pPr>
        <w:pStyle w:val="2"/>
        <w:rPr>
          <w:rFonts w:hint="eastAsia" w:ascii="宋体" w:hAnsi="宋体" w:eastAsia="宋体"/>
          <w:b/>
          <w:sz w:val="32"/>
          <w:szCs w:val="32"/>
        </w:rPr>
      </w:pPr>
    </w:p>
    <w:p>
      <w:pPr>
        <w:pStyle w:val="2"/>
        <w:rPr>
          <w:rFonts w:hint="eastAsia" w:ascii="宋体" w:hAnsi="宋体" w:eastAsia="宋体"/>
          <w:b/>
          <w:sz w:val="32"/>
          <w:szCs w:val="32"/>
        </w:rPr>
      </w:pPr>
    </w:p>
    <w:p>
      <w:pPr>
        <w:pStyle w:val="2"/>
        <w:rPr>
          <w:rFonts w:hint="eastAsia" w:ascii="宋体" w:hAnsi="宋体" w:eastAsia="宋体"/>
          <w:b/>
          <w:sz w:val="32"/>
          <w:szCs w:val="32"/>
        </w:rPr>
      </w:pPr>
    </w:p>
    <w:p>
      <w:pPr>
        <w:pStyle w:val="2"/>
        <w:rPr>
          <w:rFonts w:hint="eastAsia" w:ascii="宋体" w:hAnsi="宋体" w:eastAsia="宋体"/>
          <w:b/>
          <w:sz w:val="32"/>
          <w:szCs w:val="32"/>
        </w:rPr>
      </w:pPr>
    </w:p>
    <w:p>
      <w:pPr>
        <w:pStyle w:val="2"/>
        <w:rPr>
          <w:rFonts w:hint="eastAsia" w:ascii="宋体" w:hAnsi="宋体" w:eastAsia="宋体"/>
          <w:b/>
          <w:sz w:val="32"/>
          <w:szCs w:val="32"/>
        </w:rPr>
      </w:pPr>
    </w:p>
    <w:p>
      <w:pPr>
        <w:pStyle w:val="3"/>
        <w:keepNext w:val="0"/>
        <w:widowControl w:val="0"/>
        <w:numPr>
          <w:ilvl w:val="0"/>
          <w:numId w:val="0"/>
        </w:numPr>
        <w:spacing w:line="360" w:lineRule="auto"/>
        <w:rPr>
          <w:rFonts w:ascii="宋体" w:hAnsi="宋体" w:eastAsia="宋体"/>
          <w:b/>
          <w:sz w:val="32"/>
          <w:szCs w:val="32"/>
        </w:rPr>
      </w:pPr>
      <w:r>
        <w:rPr>
          <w:rFonts w:hint="eastAsia" w:ascii="宋体" w:hAnsi="宋体" w:eastAsia="宋体"/>
          <w:b/>
          <w:sz w:val="32"/>
          <w:szCs w:val="32"/>
        </w:rPr>
        <w:t>第七部分 采购需求及要求</w:t>
      </w:r>
      <w:bookmarkEnd w:id="598"/>
      <w:bookmarkEnd w:id="599"/>
      <w:bookmarkEnd w:id="600"/>
      <w:bookmarkEnd w:id="601"/>
    </w:p>
    <w:p>
      <w:pPr>
        <w:snapToGrid w:val="0"/>
        <w:spacing w:line="288" w:lineRule="auto"/>
        <w:ind w:firstLine="482" w:firstLineChars="200"/>
        <w:outlineLvl w:val="1"/>
        <w:rPr>
          <w:rFonts w:ascii="宋体" w:hAnsi="宋体" w:cs="宋体"/>
          <w:b/>
          <w:bCs/>
          <w:sz w:val="24"/>
        </w:rPr>
      </w:pPr>
      <w:bookmarkStart w:id="602" w:name="_Toc20524"/>
      <w:bookmarkStart w:id="603" w:name="_Toc44924407"/>
      <w:bookmarkStart w:id="604" w:name="_Toc27930"/>
      <w:bookmarkStart w:id="605" w:name="_Toc20829"/>
      <w:r>
        <w:rPr>
          <w:rFonts w:hint="eastAsia" w:ascii="宋体" w:hAnsi="宋体" w:cs="宋体"/>
          <w:b/>
          <w:bCs/>
          <w:sz w:val="24"/>
        </w:rPr>
        <w:t>一、招标项目概况及要求</w:t>
      </w:r>
      <w:bookmarkEnd w:id="602"/>
      <w:bookmarkEnd w:id="603"/>
      <w:bookmarkEnd w:id="604"/>
      <w:bookmarkEnd w:id="605"/>
    </w:p>
    <w:p>
      <w:pPr>
        <w:spacing w:line="288" w:lineRule="auto"/>
        <w:ind w:firstLine="424" w:firstLineChars="177"/>
        <w:rPr>
          <w:rFonts w:ascii="宋体" w:hAnsi="宋体"/>
          <w:sz w:val="24"/>
        </w:rPr>
      </w:pPr>
      <w:r>
        <w:rPr>
          <w:rFonts w:hint="eastAsia" w:ascii="宋体" w:hAnsi="宋体"/>
          <w:sz w:val="24"/>
        </w:rPr>
        <w:t>1、本项目为</w:t>
      </w:r>
      <w:r>
        <w:rPr>
          <w:rFonts w:hint="eastAsia" w:ascii="宋体" w:hAnsi="宋体"/>
          <w:sz w:val="24"/>
          <w:lang w:eastAsia="zh-CN"/>
        </w:rPr>
        <w:t>南阳市中级人民法院警用装备采购项目</w:t>
      </w:r>
      <w:r>
        <w:rPr>
          <w:rFonts w:hint="eastAsia" w:ascii="宋体" w:hAnsi="宋体"/>
          <w:sz w:val="24"/>
        </w:rPr>
        <w:t>。</w:t>
      </w:r>
    </w:p>
    <w:p>
      <w:pPr>
        <w:spacing w:line="288" w:lineRule="auto"/>
        <w:ind w:firstLine="424" w:firstLineChars="177"/>
        <w:rPr>
          <w:rFonts w:ascii="宋体" w:hAnsi="宋体"/>
          <w:sz w:val="24"/>
        </w:rPr>
      </w:pPr>
      <w:r>
        <w:rPr>
          <w:rFonts w:hint="eastAsia" w:ascii="宋体" w:hAnsi="宋体"/>
          <w:sz w:val="24"/>
        </w:rPr>
        <w:t>2、磋商供应商磋商报价不得超出采购预算，否则将被视为无效投标。</w:t>
      </w:r>
    </w:p>
    <w:p>
      <w:pPr>
        <w:spacing w:line="288" w:lineRule="auto"/>
        <w:ind w:firstLine="480" w:firstLineChars="200"/>
        <w:outlineLvl w:val="1"/>
      </w:pPr>
      <w:bookmarkStart w:id="606" w:name="_Toc20818"/>
      <w:bookmarkStart w:id="607" w:name="_Toc8221"/>
      <w:bookmarkStart w:id="608" w:name="_Toc15910"/>
      <w:r>
        <w:rPr>
          <w:rFonts w:hint="eastAsia" w:ascii="宋体" w:hAnsi="宋体"/>
          <w:sz w:val="24"/>
        </w:rPr>
        <w:t>二、</w:t>
      </w:r>
      <w:r>
        <w:rPr>
          <w:rFonts w:hint="eastAsia" w:ascii="宋体" w:hAnsi="宋体"/>
          <w:b/>
          <w:color w:val="000000"/>
          <w:sz w:val="24"/>
        </w:rPr>
        <w:t>技术需求</w:t>
      </w:r>
      <w:bookmarkEnd w:id="606"/>
      <w:bookmarkEnd w:id="607"/>
      <w:bookmarkEnd w:id="608"/>
    </w:p>
    <w:p>
      <w:pPr>
        <w:spacing w:line="288" w:lineRule="auto"/>
        <w:ind w:firstLine="424" w:firstLineChars="177"/>
        <w:rPr>
          <w:rFonts w:ascii="宋体" w:hAnsi="宋体"/>
          <w:sz w:val="24"/>
        </w:rPr>
      </w:pPr>
      <w:bookmarkStart w:id="609" w:name="t11"/>
      <w:bookmarkEnd w:id="609"/>
      <w:bookmarkStart w:id="610" w:name="t12"/>
      <w:bookmarkEnd w:id="610"/>
      <w:bookmarkStart w:id="611" w:name="t8"/>
      <w:bookmarkEnd w:id="611"/>
      <w:bookmarkStart w:id="612" w:name="t10"/>
      <w:bookmarkEnd w:id="612"/>
      <w:bookmarkStart w:id="613" w:name="t7"/>
      <w:bookmarkEnd w:id="613"/>
      <w:bookmarkStart w:id="614" w:name="t6"/>
      <w:bookmarkEnd w:id="614"/>
      <w:bookmarkStart w:id="615" w:name="t9"/>
      <w:bookmarkEnd w:id="615"/>
      <w:bookmarkStart w:id="616" w:name="_Toc44924411"/>
      <w:bookmarkStart w:id="617" w:name="_Toc3696"/>
      <w:bookmarkStart w:id="618" w:name="_Toc1168"/>
      <w:bookmarkStart w:id="619" w:name="_Toc16089921"/>
      <w:r>
        <w:rPr>
          <w:rFonts w:hint="eastAsia" w:ascii="宋体" w:hAnsi="宋体"/>
          <w:sz w:val="24"/>
        </w:rPr>
        <w:t>（1）某项技术指标和要求如需更详细的表述，可单项另作文字说明。</w:t>
      </w:r>
    </w:p>
    <w:p>
      <w:pPr>
        <w:spacing w:line="276" w:lineRule="auto"/>
        <w:ind w:firstLine="424" w:firstLineChars="177"/>
        <w:rPr>
          <w:rFonts w:ascii="宋体" w:hAnsi="宋体"/>
          <w:sz w:val="24"/>
        </w:rPr>
      </w:pPr>
      <w:r>
        <w:rPr>
          <w:rFonts w:hint="eastAsia" w:ascii="宋体" w:hAnsi="宋体"/>
          <w:sz w:val="24"/>
        </w:rPr>
        <w:t>（2）采购文件中技术要求部分为满足采购人需要的最低要求，如有与某项参数描述相同，并非特指，仅为招标项目质量、档次、水平参照，评标以功能、性能为主。</w:t>
      </w:r>
    </w:p>
    <w:p>
      <w:pPr>
        <w:pStyle w:val="10"/>
        <w:spacing w:line="276" w:lineRule="auto"/>
      </w:pPr>
    </w:p>
    <w:tbl>
      <w:tblPr>
        <w:tblStyle w:val="26"/>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2"/>
        <w:gridCol w:w="540"/>
        <w:gridCol w:w="516"/>
        <w:gridCol w:w="504"/>
        <w:gridCol w:w="7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序号</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产品名称</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单位</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数量</w:t>
            </w:r>
          </w:p>
        </w:tc>
        <w:tc>
          <w:tcPr>
            <w:tcW w:w="7044" w:type="dxa"/>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警用多功能腰带</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45</w:t>
            </w:r>
          </w:p>
        </w:tc>
        <w:tc>
          <w:tcPr>
            <w:tcW w:w="7044" w:type="dxa"/>
            <w:shd w:val="clear" w:color="auto" w:fill="auto"/>
            <w:tcMar>
              <w:top w:w="15" w:type="dxa"/>
              <w:left w:w="15" w:type="dxa"/>
              <w:right w:w="15" w:type="dxa"/>
            </w:tcMar>
            <w:vAlign w:val="center"/>
          </w:tcPr>
          <w:p>
            <w:pPr>
              <w:widowControl/>
              <w:numPr>
                <w:ilvl w:val="0"/>
                <w:numId w:val="5"/>
              </w:numPr>
              <w:jc w:val="left"/>
              <w:textAlignment w:val="center"/>
              <w:rPr>
                <w:rFonts w:ascii="宋体" w:hAnsi="宋体" w:cs="宋体"/>
                <w:color w:val="000000"/>
                <w:szCs w:val="21"/>
              </w:rPr>
            </w:pPr>
            <w:r>
              <w:rPr>
                <w:rFonts w:hint="eastAsia" w:ascii="宋体" w:hAnsi="宋体" w:cs="宋体"/>
                <w:color w:val="000000"/>
                <w:kern w:val="0"/>
                <w:szCs w:val="21"/>
              </w:rPr>
              <w:t xml:space="preserve">各种织带外观应平直规整、 无跳丝、无线结，各种材料表面无残次。 </w:t>
            </w:r>
            <w:r>
              <w:rPr>
                <w:rFonts w:hint="eastAsia" w:ascii="宋体" w:hAnsi="宋体" w:cs="宋体"/>
                <w:color w:val="000000"/>
                <w:kern w:val="0"/>
                <w:szCs w:val="21"/>
              </w:rPr>
              <w:br w:type="textWrapping"/>
            </w:r>
            <w:r>
              <w:rPr>
                <w:rFonts w:hint="eastAsia" w:ascii="宋体" w:hAnsi="宋体" w:cs="宋体"/>
                <w:color w:val="000000"/>
                <w:kern w:val="0"/>
                <w:szCs w:val="21"/>
              </w:rPr>
              <w:t xml:space="preserve">2、腰带子边缘应平整光滑、 无毛刺、 无锐边、 无划痕，纤子插合牢固、端正，对位准确， 插拔灵活． 釬子镀层完整，无明显电镀缺陷 。 各铆合部位应牢固、位置准确，扣件开合顺畅、松紧适宜 。 柳钉、 四件子母扣无破损、 变形；对讲机套塑朴扣件装配应牢固。 </w:t>
            </w:r>
            <w:r>
              <w:rPr>
                <w:rFonts w:hint="eastAsia" w:ascii="宋体" w:hAnsi="宋体" w:cs="宋体"/>
                <w:color w:val="000000"/>
                <w:kern w:val="0"/>
                <w:szCs w:val="21"/>
              </w:rPr>
              <w:br w:type="textWrapping"/>
            </w:r>
            <w:r>
              <w:rPr>
                <w:rFonts w:hint="eastAsia" w:ascii="宋体" w:hAnsi="宋体" w:cs="宋体"/>
                <w:color w:val="000000"/>
                <w:kern w:val="0"/>
                <w:szCs w:val="21"/>
              </w:rPr>
              <w:t xml:space="preserve">3、主腰带明线针码密度应为 7 针／30mm- 8 针／30mm，其他明线针码密度应为 8 针／30mm- 10针／30mm。 暗线针码密度应为 7 针／30mm- 9 针／30 n 血。 开口受力部位应回针至少 3 针，或采用打结缝制 。 接线重合应为 10mm - 15mm。 装具套包边缝线距边应为 2mm-3n 血。装具套缝合应牢固，线路规整，针码均匀，扣合对位准确，边缘规整，不应断线、 跳线，无脱纱、无线头。双线间距、缝线距边宽窄一致，挂拌端正平直。 装具套大小应与警用装备匹配，装取顺畅。 </w:t>
            </w:r>
            <w:r>
              <w:rPr>
                <w:rFonts w:hint="eastAsia" w:ascii="宋体" w:hAnsi="宋体" w:cs="宋体"/>
                <w:color w:val="000000"/>
                <w:kern w:val="0"/>
                <w:szCs w:val="21"/>
              </w:rPr>
              <w:br w:type="textWrapping"/>
            </w:r>
            <w:r>
              <w:rPr>
                <w:rFonts w:hint="eastAsia" w:ascii="宋体" w:hAnsi="宋体" w:cs="宋体"/>
                <w:color w:val="000000"/>
                <w:kern w:val="0"/>
                <w:szCs w:val="21"/>
              </w:rPr>
              <w:t xml:space="preserve">4、 成品表面应整洁，无线头、 无脱纱，成品无异味。 </w:t>
            </w:r>
            <w:r>
              <w:rPr>
                <w:rFonts w:hint="eastAsia" w:ascii="宋体" w:hAnsi="宋体" w:cs="宋体"/>
                <w:color w:val="000000"/>
                <w:kern w:val="0"/>
                <w:szCs w:val="21"/>
              </w:rPr>
              <w:br w:type="textWrapping"/>
            </w:r>
            <w:r>
              <w:rPr>
                <w:rFonts w:hint="eastAsia" w:ascii="宋体" w:hAnsi="宋体" w:cs="宋体"/>
                <w:color w:val="000000"/>
                <w:kern w:val="0"/>
                <w:szCs w:val="21"/>
              </w:rPr>
              <w:t xml:space="preserve">5、多功能腰带的外观特性及外观质量应符合公安部业务主管部门批准的标样。 </w:t>
            </w:r>
            <w:r>
              <w:rPr>
                <w:rFonts w:hint="eastAsia" w:ascii="宋体" w:hAnsi="宋体" w:cs="宋体"/>
                <w:color w:val="000000"/>
                <w:kern w:val="0"/>
                <w:szCs w:val="21"/>
              </w:rPr>
              <w:br w:type="textWrapping"/>
            </w:r>
            <w:r>
              <w:rPr>
                <w:rFonts w:hint="eastAsia" w:ascii="宋体" w:hAnsi="宋体" w:cs="宋体"/>
                <w:color w:val="000000"/>
                <w:kern w:val="0"/>
                <w:szCs w:val="21"/>
              </w:rPr>
              <w:t>6、多功能腰带由主腰带、 内带、斜挂带和装具套组成，装具套含警棍套、强光手电套、工作包、手铸套、催泪喷射器套、对讲机套、警用水壶套、弹匣套、手枪套，其中警用水壶套、弹匣套、手枪套为选配件。</w:t>
            </w:r>
            <w:r>
              <w:rPr>
                <w:rFonts w:hint="eastAsia" w:ascii="宋体" w:hAnsi="宋体" w:cs="宋体"/>
                <w:color w:val="000000"/>
                <w:kern w:val="0"/>
                <w:szCs w:val="21"/>
              </w:rPr>
              <w:br w:type="textWrapping"/>
            </w:r>
            <w:r>
              <w:rPr>
                <w:rFonts w:hint="eastAsia" w:ascii="宋体" w:hAnsi="宋体" w:cs="宋体"/>
                <w:color w:val="000000"/>
                <w:kern w:val="0"/>
                <w:szCs w:val="21"/>
              </w:rPr>
              <w:t xml:space="preserve">7、主腰带主要由带体、腰带釬子、带籍、锦丝搭扣带组成 腰带轩子为对插式扣盖双保险结构，带箱采用搭扣式活动设计结构， 可固定在带体任意位置。 </w:t>
            </w:r>
            <w:r>
              <w:rPr>
                <w:rFonts w:hint="eastAsia" w:ascii="宋体" w:hAnsi="宋体" w:cs="宋体"/>
                <w:color w:val="000000"/>
                <w:kern w:val="0"/>
                <w:szCs w:val="21"/>
              </w:rPr>
              <w:br w:type="textWrapping"/>
            </w:r>
            <w:r>
              <w:rPr>
                <w:rFonts w:hint="eastAsia" w:ascii="宋体" w:hAnsi="宋体" w:cs="宋体"/>
                <w:color w:val="000000"/>
                <w:kern w:val="0"/>
                <w:szCs w:val="21"/>
              </w:rPr>
              <w:t xml:space="preserve">8、内带由带体、 锦丝搭扣带、 二道梁组成。 </w:t>
            </w:r>
            <w:r>
              <w:rPr>
                <w:rFonts w:hint="eastAsia" w:ascii="宋体" w:hAnsi="宋体" w:cs="宋体"/>
                <w:color w:val="000000"/>
                <w:kern w:val="0"/>
                <w:szCs w:val="21"/>
              </w:rPr>
              <w:br w:type="textWrapping"/>
            </w:r>
            <w:r>
              <w:rPr>
                <w:rFonts w:hint="eastAsia" w:ascii="宋体" w:hAnsi="宋体" w:cs="宋体"/>
                <w:color w:val="000000"/>
                <w:kern w:val="0"/>
                <w:szCs w:val="21"/>
              </w:rPr>
              <w:t xml:space="preserve">9、斜挂带由带体、带拌、挂拌、三道梁、卡扣和锦丝搭扣带组成。 带拌采用搭扣式活动结构，可固定在主腰带带体任意位置 。 三道梁其中一件可调节并固定挂拌位置，另一件三道梁调节斜挂带长短。 卡扣结构为可拆卸式。 </w:t>
            </w:r>
            <w:r>
              <w:rPr>
                <w:rFonts w:hint="eastAsia" w:ascii="宋体" w:hAnsi="宋体" w:cs="宋体"/>
                <w:color w:val="000000"/>
                <w:kern w:val="0"/>
                <w:szCs w:val="21"/>
              </w:rPr>
              <w:br w:type="textWrapping"/>
            </w:r>
            <w:r>
              <w:rPr>
                <w:rFonts w:hint="eastAsia" w:ascii="宋体" w:hAnsi="宋体" w:cs="宋体"/>
                <w:color w:val="000000"/>
                <w:kern w:val="0"/>
                <w:szCs w:val="21"/>
              </w:rPr>
              <w:t xml:space="preserve">10、警棍套由套体、后拌旋转结构组成。 套体下端应有警棍头卡槽，可供出棍时使警棍直接展开。后拌与腰带组合应为可拆卸式旋转结构， 旋转范围为 360° ,且具有 45°分档功能。 </w:t>
            </w:r>
            <w:r>
              <w:rPr>
                <w:rFonts w:hint="eastAsia" w:ascii="宋体" w:hAnsi="宋体" w:cs="宋体"/>
                <w:color w:val="000000"/>
                <w:kern w:val="0"/>
                <w:szCs w:val="21"/>
              </w:rPr>
              <w:br w:type="textWrapping"/>
            </w:r>
            <w:r>
              <w:rPr>
                <w:rFonts w:hint="eastAsia" w:ascii="宋体" w:hAnsi="宋体" w:cs="宋体"/>
                <w:color w:val="000000"/>
                <w:kern w:val="0"/>
                <w:szCs w:val="21"/>
              </w:rPr>
              <w:t xml:space="preserve">11、强光手电套由套面、底盖、后拌组成。 后拌与腰带结合，采用滑动式和固定式， 应为可拆卸结构。 </w:t>
            </w:r>
            <w:r>
              <w:rPr>
                <w:rFonts w:hint="eastAsia" w:ascii="宋体" w:hAnsi="宋体" w:cs="宋体"/>
                <w:color w:val="000000"/>
                <w:kern w:val="0"/>
                <w:szCs w:val="21"/>
              </w:rPr>
              <w:br w:type="textWrapping"/>
            </w:r>
            <w:r>
              <w:rPr>
                <w:rFonts w:hint="eastAsia" w:ascii="宋体" w:hAnsi="宋体" w:cs="宋体"/>
                <w:color w:val="000000"/>
                <w:kern w:val="0"/>
                <w:szCs w:val="21"/>
              </w:rPr>
              <w:t>12、工作包由包体、包盖、侧袋组成。后拌与腰带结合，采用滑动式和固定式，应为可拆卸结构。</w:t>
            </w:r>
            <w:r>
              <w:rPr>
                <w:rFonts w:hint="eastAsia" w:ascii="宋体" w:hAnsi="宋体" w:cs="宋体"/>
                <w:color w:val="000000"/>
                <w:kern w:val="0"/>
                <w:szCs w:val="21"/>
              </w:rPr>
              <w:br w:type="textWrapping"/>
            </w:r>
            <w:r>
              <w:rPr>
                <w:rFonts w:hint="eastAsia" w:ascii="宋体" w:hAnsi="宋体" w:cs="宋体"/>
                <w:color w:val="000000"/>
                <w:kern w:val="0"/>
                <w:szCs w:val="21"/>
              </w:rPr>
              <w:t xml:space="preserve">13、手铸套由套面、底盖、后拌组成 底盖内有锁匙固定装置；后拌与腰带结合，采用滑动式和固定式两种，应为可拆卸结构。 </w:t>
            </w:r>
            <w:r>
              <w:rPr>
                <w:rFonts w:hint="eastAsia" w:ascii="宋体" w:hAnsi="宋体" w:cs="宋体"/>
                <w:color w:val="000000"/>
                <w:kern w:val="0"/>
                <w:szCs w:val="21"/>
              </w:rPr>
              <w:br w:type="textWrapping"/>
            </w:r>
            <w:r>
              <w:rPr>
                <w:rFonts w:hint="eastAsia" w:ascii="宋体" w:hAnsi="宋体" w:cs="宋体"/>
                <w:color w:val="000000"/>
                <w:kern w:val="0"/>
                <w:szCs w:val="21"/>
              </w:rPr>
              <w:t xml:space="preserve">14、催泪喷射器套由套面、底盖、后拌旋转结构组成。后袢与腰带组合应为拆卸式旋转结构，旋转范围为360°，且具有45°分档功能。  </w:t>
            </w:r>
            <w:r>
              <w:rPr>
                <w:rFonts w:hint="eastAsia" w:ascii="宋体" w:hAnsi="宋体" w:cs="宋体"/>
                <w:color w:val="000000"/>
                <w:kern w:val="0"/>
                <w:szCs w:val="21"/>
              </w:rPr>
              <w:br w:type="textWrapping"/>
            </w:r>
            <w:r>
              <w:rPr>
                <w:rFonts w:hint="eastAsia" w:ascii="宋体" w:hAnsi="宋体" w:cs="宋体"/>
                <w:color w:val="000000"/>
                <w:kern w:val="0"/>
                <w:szCs w:val="21"/>
              </w:rPr>
              <w:t xml:space="preserve">15、多功能腰带按带体长度分为 XL、L、M、S、SS 五种规格。 </w:t>
            </w:r>
            <w:r>
              <w:rPr>
                <w:rFonts w:hint="eastAsia" w:ascii="宋体" w:hAnsi="宋体" w:cs="宋体"/>
                <w:color w:val="000000"/>
                <w:kern w:val="0"/>
                <w:szCs w:val="21"/>
              </w:rPr>
              <w:br w:type="textWrapping"/>
            </w:r>
            <w:r>
              <w:rPr>
                <w:rFonts w:hint="eastAsia" w:ascii="宋体" w:hAnsi="宋体" w:cs="宋体"/>
                <w:color w:val="000000"/>
                <w:kern w:val="0"/>
                <w:szCs w:val="21"/>
              </w:rPr>
              <w:t xml:space="preserve">16、腰带针子外盖正面居中铸有凸起的警徽，盾牌边缘凸起应不低于 1mm，警徽高 37mm 士 0.5mm，警徽图案应符合 GA 244 的规定，警徽图案应端正、清晰、饱满。腰带釬子外盖反面，应有激光雕刻产品编号，编号字体为黑体，字高 3.5 mm。 </w:t>
            </w:r>
            <w:r>
              <w:rPr>
                <w:rFonts w:hint="eastAsia" w:ascii="宋体" w:hAnsi="宋体" w:cs="宋体"/>
                <w:color w:val="000000"/>
                <w:kern w:val="0"/>
                <w:szCs w:val="21"/>
              </w:rPr>
              <w:br w:type="textWrapping"/>
            </w:r>
            <w:r>
              <w:rPr>
                <w:rFonts w:hint="eastAsia" w:ascii="宋体" w:hAnsi="宋体" w:cs="宋体"/>
                <w:color w:val="000000"/>
                <w:kern w:val="0"/>
                <w:szCs w:val="21"/>
              </w:rPr>
              <w:t xml:space="preserve">17、主腰带带体左端距带头 80 mm 处，居中位置缝制产品标识。 材料应为丝织带，字体为黑体，＂警用多功能腰带”字高 7 mm,”规格”字高 6 mm，黑色多功能腰带应黑底银灰色字，白色多功能腰带应白底黑色字，产品标识外形尺寸为 60 mm*24 mm。 内带带体反面距末端 120 mm 处，居中缝制产品标识，材料为丝织带，字体为黑体，“内带”字高 7 mm,”规格”字高 6 mm，黑色多功能腰带应黑底银灰色字，白色多功能腰带应白底黑色字，产品标识外形尺寸 30 mm*35 mm。斜挂带带体标识，材料为丝织带，字体为黑体，黑色多功能腰带应黑底银灰色字，白色多功能腰带应白底黑色字，字高 3.5 mm，产品标识外形尺寸 35 mm*12 mm。 </w:t>
            </w:r>
            <w:r>
              <w:rPr>
                <w:rFonts w:hint="eastAsia" w:ascii="宋体" w:hAnsi="宋体" w:cs="宋体"/>
                <w:color w:val="000000"/>
                <w:kern w:val="0"/>
                <w:szCs w:val="21"/>
              </w:rPr>
              <w:br w:type="textWrapping"/>
            </w:r>
            <w:r>
              <w:rPr>
                <w:rFonts w:hint="eastAsia" w:ascii="宋体" w:hAnsi="宋体" w:cs="宋体"/>
                <w:color w:val="000000"/>
                <w:kern w:val="0"/>
                <w:szCs w:val="21"/>
              </w:rPr>
              <w:t xml:space="preserve">18、多功能腰带全套标配质量（不含选配件）小于或等于 1.2kg。 </w:t>
            </w:r>
            <w:r>
              <w:rPr>
                <w:rFonts w:hint="eastAsia" w:ascii="宋体" w:hAnsi="宋体" w:cs="宋体"/>
                <w:color w:val="000000"/>
                <w:kern w:val="0"/>
                <w:szCs w:val="21"/>
              </w:rPr>
              <w:br w:type="textWrapping"/>
            </w:r>
            <w:r>
              <w:rPr>
                <w:rFonts w:hint="eastAsia" w:ascii="宋体" w:hAnsi="宋体" w:cs="宋体"/>
                <w:color w:val="000000"/>
                <w:kern w:val="0"/>
                <w:szCs w:val="21"/>
              </w:rPr>
              <w:t>19、耐摩擦色牢度：干摩 ≥4级 ， 湿摩 ≥4级 。</w:t>
            </w:r>
            <w:r>
              <w:rPr>
                <w:rFonts w:hint="eastAsia" w:ascii="宋体" w:hAnsi="宋体" w:cs="宋体"/>
                <w:color w:val="000000"/>
                <w:kern w:val="0"/>
                <w:szCs w:val="21"/>
              </w:rPr>
              <w:br w:type="textWrapping"/>
            </w:r>
            <w:r>
              <w:rPr>
                <w:rFonts w:hint="eastAsia" w:ascii="宋体" w:hAnsi="宋体" w:cs="宋体"/>
                <w:color w:val="000000"/>
                <w:kern w:val="0"/>
                <w:szCs w:val="21"/>
              </w:rPr>
              <w:t>20、耐刷洗色牢度： ≥4级。</w:t>
            </w:r>
            <w:r>
              <w:rPr>
                <w:rFonts w:hint="eastAsia" w:ascii="宋体" w:hAnsi="宋体" w:cs="宋体"/>
                <w:color w:val="000000"/>
                <w:kern w:val="0"/>
                <w:szCs w:val="21"/>
              </w:rPr>
              <w:br w:type="textWrapping"/>
            </w:r>
            <w:r>
              <w:rPr>
                <w:rFonts w:hint="eastAsia" w:ascii="宋体" w:hAnsi="宋体" w:cs="宋体"/>
                <w:color w:val="000000"/>
                <w:kern w:val="0"/>
                <w:szCs w:val="21"/>
              </w:rPr>
              <w:t>21、耐汗渍色牢度： ≥3~4级。</w:t>
            </w:r>
            <w:r>
              <w:rPr>
                <w:rFonts w:hint="eastAsia" w:ascii="宋体" w:hAnsi="宋体" w:cs="宋体"/>
                <w:color w:val="000000"/>
                <w:kern w:val="0"/>
                <w:szCs w:val="21"/>
              </w:rPr>
              <w:br w:type="textWrapping"/>
            </w:r>
            <w:r>
              <w:rPr>
                <w:rFonts w:hint="eastAsia" w:ascii="宋体" w:hAnsi="宋体" w:cs="宋体"/>
                <w:color w:val="000000"/>
                <w:kern w:val="0"/>
                <w:szCs w:val="21"/>
              </w:rPr>
              <w:t>22、耐光色牢度： ≥4~5级。</w:t>
            </w:r>
            <w:r>
              <w:rPr>
                <w:rFonts w:hint="eastAsia" w:ascii="宋体" w:hAnsi="宋体" w:cs="宋体"/>
                <w:color w:val="000000"/>
                <w:kern w:val="0"/>
                <w:szCs w:val="21"/>
              </w:rPr>
              <w:br w:type="textWrapping"/>
            </w:r>
            <w:r>
              <w:rPr>
                <w:rFonts w:hint="eastAsia" w:ascii="宋体" w:hAnsi="宋体" w:cs="宋体"/>
                <w:color w:val="000000"/>
                <w:kern w:val="0"/>
                <w:szCs w:val="21"/>
              </w:rPr>
              <w:t>23、腰带钎子耐盐雾 48h 主要表面应无腐蚀斑点。</w:t>
            </w:r>
            <w:r>
              <w:rPr>
                <w:rFonts w:hint="eastAsia" w:ascii="宋体" w:hAnsi="宋体" w:cs="宋体"/>
                <w:color w:val="000000"/>
                <w:kern w:val="0"/>
                <w:szCs w:val="21"/>
              </w:rPr>
              <w:br w:type="textWrapping"/>
            </w:r>
            <w:r>
              <w:rPr>
                <w:rFonts w:hint="eastAsia" w:ascii="宋体" w:hAnsi="宋体" w:cs="宋体"/>
                <w:color w:val="000000"/>
                <w:kern w:val="0"/>
                <w:szCs w:val="21"/>
              </w:rPr>
              <w:t xml:space="preserve">24、腰带钎子温度适应性： -30~50℃应能正常使用 </w:t>
            </w:r>
            <w:r>
              <w:rPr>
                <w:rFonts w:hint="eastAsia" w:ascii="宋体" w:hAnsi="宋体" w:cs="宋体"/>
                <w:color w:val="000000"/>
                <w:kern w:val="0"/>
                <w:szCs w:val="21"/>
              </w:rPr>
              <w:br w:type="textWrapping"/>
            </w:r>
            <w:r>
              <w:rPr>
                <w:rFonts w:hint="eastAsia" w:ascii="宋体" w:hAnsi="宋体" w:cs="宋体"/>
                <w:color w:val="000000"/>
                <w:kern w:val="0"/>
                <w:szCs w:val="21"/>
              </w:rPr>
              <w:t xml:space="preserve">25、警棍套旋转性能： 3000 次后，应能正常使用 </w:t>
            </w:r>
            <w:r>
              <w:rPr>
                <w:rFonts w:hint="eastAsia" w:ascii="宋体" w:hAnsi="宋体" w:cs="宋体"/>
                <w:color w:val="000000"/>
                <w:kern w:val="0"/>
                <w:szCs w:val="21"/>
              </w:rPr>
              <w:br w:type="textWrapping"/>
            </w:r>
            <w:r>
              <w:rPr>
                <w:rFonts w:hint="eastAsia" w:ascii="宋体" w:hAnsi="宋体" w:cs="宋体"/>
                <w:color w:val="000000"/>
                <w:kern w:val="0"/>
                <w:szCs w:val="21"/>
              </w:rPr>
              <w:t xml:space="preserve">26、催泪喷射器套旋转性能： 3000 次后，应能正常使用 </w:t>
            </w:r>
            <w:r>
              <w:rPr>
                <w:rFonts w:hint="eastAsia" w:ascii="宋体" w:hAnsi="宋体" w:cs="宋体"/>
                <w:color w:val="000000"/>
                <w:kern w:val="0"/>
                <w:szCs w:val="21"/>
              </w:rPr>
              <w:br w:type="textWrapping"/>
            </w:r>
            <w:r>
              <w:rPr>
                <w:rFonts w:hint="eastAsia" w:ascii="宋体" w:hAnsi="宋体" w:cs="宋体"/>
                <w:color w:val="000000"/>
                <w:kern w:val="0"/>
                <w:szCs w:val="21"/>
              </w:rPr>
              <w:t xml:space="preserve">27、警棍套警棍插拔性能： 3000 次后，应能正常使用 </w:t>
            </w:r>
            <w:r>
              <w:rPr>
                <w:rFonts w:hint="eastAsia" w:ascii="宋体" w:hAnsi="宋体" w:cs="宋体"/>
                <w:color w:val="000000"/>
                <w:kern w:val="0"/>
                <w:szCs w:val="21"/>
              </w:rPr>
              <w:br w:type="textWrapping"/>
            </w:r>
            <w:r>
              <w:rPr>
                <w:rFonts w:hint="eastAsia" w:ascii="宋体" w:hAnsi="宋体" w:cs="宋体"/>
                <w:color w:val="000000"/>
                <w:kern w:val="0"/>
                <w:szCs w:val="21"/>
              </w:rPr>
              <w:t xml:space="preserve">28、腰带钎子插拔性能：插拔 3000 次后，应能正常使用 </w:t>
            </w:r>
            <w:r>
              <w:rPr>
                <w:rFonts w:hint="eastAsia" w:ascii="宋体" w:hAnsi="宋体" w:cs="宋体"/>
                <w:color w:val="000000"/>
                <w:kern w:val="0"/>
                <w:szCs w:val="21"/>
              </w:rPr>
              <w:br w:type="textWrapping"/>
            </w:r>
            <w:r>
              <w:rPr>
                <w:rFonts w:hint="eastAsia" w:ascii="宋体" w:hAnsi="宋体" w:cs="宋体"/>
                <w:color w:val="000000"/>
                <w:kern w:val="0"/>
                <w:szCs w:val="21"/>
              </w:rPr>
              <w:t xml:space="preserve">29、斜挂带卡扣在扣合状态下，施加 5000N 的拉力并保持 30s，卡扣不破损，应能正常使用。 </w:t>
            </w:r>
            <w:r>
              <w:rPr>
                <w:rFonts w:hint="eastAsia" w:ascii="宋体" w:hAnsi="宋体" w:cs="宋体"/>
                <w:color w:val="000000"/>
                <w:kern w:val="0"/>
                <w:szCs w:val="21"/>
              </w:rPr>
              <w:br w:type="textWrapping"/>
            </w:r>
            <w:r>
              <w:rPr>
                <w:rFonts w:hint="eastAsia" w:ascii="宋体" w:hAnsi="宋体" w:cs="宋体"/>
                <w:color w:val="000000"/>
                <w:kern w:val="0"/>
                <w:szCs w:val="21"/>
              </w:rPr>
              <w:t xml:space="preserve">30、装具套在开口缝合部位施加 350N 的拉力并保持 30S，不应撕裂。 </w:t>
            </w:r>
            <w:r>
              <w:rPr>
                <w:rFonts w:hint="eastAsia" w:ascii="宋体" w:hAnsi="宋体" w:cs="宋体"/>
                <w:color w:val="000000"/>
                <w:kern w:val="0"/>
                <w:szCs w:val="21"/>
              </w:rPr>
              <w:br w:type="textWrapping"/>
            </w:r>
            <w:r>
              <w:rPr>
                <w:rFonts w:hint="eastAsia" w:ascii="宋体" w:hAnsi="宋体" w:cs="宋体"/>
                <w:color w:val="000000"/>
                <w:kern w:val="0"/>
                <w:szCs w:val="21"/>
              </w:rPr>
              <w:t xml:space="preserve">31、腰带钎子在扣合状态下，施加 750N 的拉力并保持 30s，钎子不脱出或破损，应能正常使用。 </w:t>
            </w:r>
            <w:r>
              <w:rPr>
                <w:rFonts w:hint="eastAsia" w:ascii="宋体" w:hAnsi="宋体" w:cs="宋体"/>
                <w:color w:val="000000"/>
                <w:kern w:val="0"/>
                <w:szCs w:val="21"/>
              </w:rPr>
              <w:br w:type="textWrapping"/>
            </w:r>
            <w:r>
              <w:rPr>
                <w:rFonts w:hint="eastAsia" w:ascii="宋体" w:hAnsi="宋体" w:cs="宋体"/>
                <w:color w:val="000000"/>
                <w:kern w:val="0"/>
                <w:szCs w:val="21"/>
              </w:rPr>
              <w:t xml:space="preserve">32、对警棍套施加 900N 的拉力并保持 30s，连接件不应断裂 </w:t>
            </w:r>
            <w:r>
              <w:rPr>
                <w:rFonts w:hint="eastAsia" w:ascii="宋体" w:hAnsi="宋体" w:cs="宋体"/>
                <w:color w:val="000000"/>
                <w:kern w:val="0"/>
                <w:szCs w:val="21"/>
              </w:rPr>
              <w:br w:type="textWrapping"/>
            </w:r>
            <w:r>
              <w:rPr>
                <w:rFonts w:hint="eastAsia" w:ascii="宋体" w:hAnsi="宋体" w:cs="宋体"/>
                <w:color w:val="000000"/>
                <w:kern w:val="0"/>
                <w:szCs w:val="21"/>
              </w:rPr>
              <w:t xml:space="preserve">33、对催泪喷射器套施加 900N 的拉力并保持 30s，连接件不应断裂。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3"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伸缩警棍</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根</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c>
          <w:tcPr>
            <w:tcW w:w="7044" w:type="dxa"/>
            <w:shd w:val="clear" w:color="auto" w:fill="auto"/>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cs="宋体"/>
                <w:szCs w:val="21"/>
              </w:rPr>
              <w:t>1</w:t>
            </w:r>
            <w:r>
              <w:rPr>
                <w:rFonts w:hint="eastAsia" w:ascii="宋体" w:hAnsi="宋体" w:cs="宋体"/>
                <w:color w:val="000000"/>
                <w:kern w:val="0"/>
                <w:szCs w:val="21"/>
              </w:rPr>
              <w:t>、一般要求</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1）伸缩警棍金属表面应光滑、镀层均匀、牢固、无斑驳、色差、无毛刺、无锋利边角、划痕、铬印；各节管体应无弯曲和变形；棍头应粘合牢固，各端面应垂直、平整、无锐边。</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2）握把橡胶套应不褪色、无异味，文字和图案纹路应清晰，表面无胶茬；握把橡胶套与握把体结合应牢固，无凸起或凹陷，无扭曲或前后窜动。</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3）伸缩警棍在完全收回状态下，晃动时应无明显异响。</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2、结构</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伸缩警棍由小管组件、中管组件、握把组件和开关组件组成，结构应与标样一致 。</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小管组件由棍头、小管、小管外壁挡圈、小管窄阻尼圈、小管O型圈与小管末端宽阻尼圈等组成，棍头处有环状功能槽。</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中管组件由中管、中管外壁挡圈、中管窄阻尼圈、中管O型圈与中管末端宽阻尼圈等组成。</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握把组件由握把橡胶套和握把体等组成，握把橡胶套表面有颗粒状的防滑纹。</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开关组件由解锁杆、尾盖与解锁按键等组成，尾盖有固定防脱环的安装槽。</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防脱环为可拆卸式的选配件，安装在伸缩棍上使用时不应出现松动、脱落现象。</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3、尺寸</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收回长度L1：224 ± 1.5mm；</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伸展长度L2：508 ± 2mm；</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握把外径D1：Φ26.5 ± 0.15mm；</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中管外径D2：Φ20.5 ± 0.1mm；</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小管外径D3：Φ16.0 ± 0.1mm。</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4、颜色</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伸缩警棍在完全伸展状态下，所有金属部件应为亚光黑色，握把橡胶套应为黑色。伸缩棍在激光雕刻处颜色应为银白色</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5、标识</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伸缩警棍把上应有凸起的“警POLICE察”字样，字体为黑体，字高10mm.宽度60mm，伸缩警棍握把上金属部位应有激光雕刻警徽.“POLICE"和产品编号.警徽图案应符合GA244的规定，“POLICE"字样字体为黑体，字高3mm，产品编号字体为黑体，字高2mm，伸缩棍上图案，文字标识应清晰完整。</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6、质量</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伸缩警棍质量≤340g</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7、伸缩性能</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伸缩警棍应能通过手拉或甩动的方式顺畅伸展，各节棍体应锁定稳固；按压解锁按钮回推，应能顺畅收回。</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8、防脱出</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伸缩警棍在收回状态下，对棍头施加5N轴向拉力，不应被拉出。</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9、伸缩可靠性</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伸缩警棍伸展、收回为一个循环，分别用拉出伸展和甩动伸展3000次后，应能正常伸展和收回。</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10、轴向抗拉性能</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伸缩警棍完全伸展并锁定状态下，对棍头施加轴向拉力至1000N并保持1min后，应符合标准5.9.1中伸缩性能要求。</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11、抗弯性能检验</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伸缩警棍完全伸展并锁定状态下，对伸缩棍的中管施加5000N压力并保持1min后，应能正常伸展和收回。</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12、耐击打性能</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伸缩警棍完全伸展并锁定状态下，固定在专用击打试验机上，施加3000N击打力连续击打3000次后，伸缩棍不应有断裂，棍头不应脱落，应能正常伸展和收回。</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13、握把橡胶套防脱性能</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伸缩警棍在收回状态下，在警棍套中进行插拔试验3000次后，握把橡胶套应无卷边.翘起.鼓包、龟裂、移位等现象。</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跌落可靠性</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伸缩警棍在完全伸展并锁定和收回状态下，以水平、正立、倒立3种姿态，从1.5m高度自由跌落至水泥地面上，各试验一次，应符合标准5.9.1中伸缩性能要求。</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15、温度适应性</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伸缩警棍在- 40℃ ～ + 60℃ 条件下，握把橡胶套应无粘连、变形或龟裂，应符合标准5.9.1中伸缩性能要求。</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16、防脱环跌落可靠性检验</w:t>
            </w:r>
          </w:p>
          <w:p>
            <w:pPr>
              <w:widowControl/>
              <w:jc w:val="left"/>
              <w:textAlignment w:val="center"/>
              <w:rPr>
                <w:rFonts w:ascii="宋体" w:hAnsi="宋体" w:cs="宋体"/>
                <w:color w:val="000000"/>
                <w:szCs w:val="21"/>
              </w:rPr>
            </w:pPr>
            <w:r>
              <w:rPr>
                <w:rFonts w:hint="eastAsia" w:ascii="宋体" w:hAnsi="宋体" w:cs="宋体"/>
                <w:color w:val="000000"/>
                <w:kern w:val="0"/>
                <w:szCs w:val="21"/>
              </w:rPr>
              <w:t>安装防脱环的伸缩警棍，在回收状态下，以水平、正立、倒立3种姿态，从1.5m高度自由跌落至水泥地面上各试验3次，防脱环不应开裂、破碎。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催泪喷射器</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50</w:t>
            </w:r>
          </w:p>
        </w:tc>
        <w:tc>
          <w:tcPr>
            <w:tcW w:w="7044" w:type="dxa"/>
            <w:shd w:val="clear" w:color="auto" w:fill="auto"/>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1、一般要求</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1）催泪喷射器外观应洁净，无变形，无催泪剂气味。</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2）各零部件表面不应有机械损伤、涂层脱落、锈蚀现象。</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3）各零部件装配应紧密，牢固。</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4）罐体两侧应具有对称的透明观察窗。</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5）罐体内催泪剂溶液应均匀一致，无明显油状物，无絮状物。</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2、结构</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横喷型催泪喷射器应由保险盖、横梁、压柄、喷嘴、支撑盖、锥形弹簧、内罐、囊袋组件、催泪剂溶液、外罐等组成。</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3、尺寸检验</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横喷型催泪喷射器外形尺寸应为高176mm ± 2mm；筒身最大外径为39mm ± 1mm；外罐外径为37.5mm ± 0.5mm。观察窗的尺寸为宽8mm ± 1mm，高为80mm ± 1mm。</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4、颜色检验</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催泪喷射器主体颜色应为黑色，喷嘴颜色为白色，催泪剂溶液颜色为蓝色。</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5、标识检验</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1）催泪喷射器正面应有激光雕刻“警徽”图样和“警察”、“POLICE”、“催泪喷射器”字样，图样和字样应清晰完整。</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2）“警徽”图样应符合GA244的规定，高度尺寸为25mm，</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3）“警察”字样为二号黑体，字间距8.5mm，位于警徽正下方；“POLICE”、“催泪喷射器”字样为二号黑体，位于警徽下方，</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4）催泪喷射器背面应激光雕刻产品唯一编号，编号字体为黑体，字高为3.5mm，编号下端距罐体底部平面4.5mm ± 1mm；罐体底面应永久性标示产品生产日期和失效日期，字体为黑体，字高2.5mm，前四位为年份，后两位为月份。</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6、质量检验</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横喷型催泪喷射器质量应≤195g。</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7、催泪剂溶液检验</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催泪剂溶液体积为70mL±3mL，包含溶质（合成辣椒素）和溶剂；合成辣椒素应符合GA1182-2014的规定，含量为1.5%～2.0%（质量百分比）</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8、喷射性能检验</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1)催泪喷射器喷射为定向射流状，喷射距离应≥4m，有效喷射时间≥9.6s。完全喷射后剩余溶液量应≤1.3mL。</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2)催泪喷射器有效喷射3s后，放置8h后再次进行喷射，喷射距离应≥3m，，喷射距离达到3m时间应≥4s，完全喷射后剩余溶液量≤1.5mL。</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9、稳定性检验</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催泪喷射器在老化试验后产品表面无剥落,不解体,不泄露，不爆裂，且应符合GA 884-2018中5.10.1的要求。</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10、承压安全性检验</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催泪喷射器经980N承压试验后，应不解体，不泄漏，不爆裂，且应符合GA 884-2018中5.10.1的要求。</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11、保险盖可靠性检验</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催泪喷射器应配有安全可靠的防止误喷射的保险盖；保险盖应装配平滑.复位顺畅，按钮开关松紧适度，有足够的回复力。保险盖重复起闭100次可正常使用，且应符合GA 884-2018中5.10.1的要求。</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12、振动和跌落可靠性检验</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1）催泪喷射器在带包装条件下经加速度幅值为2m/s²,频率在5Hz～55Hz，正弦振动时间1h，振动试验后，应不解体，不泄漏，不爆裂，保险盖和喷嘴应不松脱。</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2）经振动试验后的催泪喷射器以正立，倒置和横放三种状态，从1.5m高度自由跌落至水泥地面上，各试验四次，应不解体，不泄漏，不爆裂，且应符合GA 884-2018中5.10.1的要求。</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13、温度适应性检验</w:t>
            </w:r>
          </w:p>
          <w:p>
            <w:pPr>
              <w:widowControl/>
              <w:jc w:val="left"/>
              <w:textAlignment w:val="center"/>
              <w:rPr>
                <w:rFonts w:ascii="宋体" w:hAnsi="宋体" w:cs="宋体"/>
                <w:color w:val="000000"/>
                <w:szCs w:val="21"/>
              </w:rPr>
            </w:pPr>
            <w:r>
              <w:rPr>
                <w:rFonts w:hint="eastAsia" w:ascii="宋体" w:hAnsi="宋体" w:cs="宋体"/>
                <w:color w:val="000000"/>
                <w:kern w:val="0"/>
                <w:szCs w:val="21"/>
              </w:rPr>
              <w:t>催泪喷射器在-30℃～55℃的环境下，应不解体，不泄漏，不爆裂，且应符合GA 884-2018中5.10.1的要求。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强光手电</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7044" w:type="dxa"/>
            <w:shd w:val="clear" w:color="auto" w:fill="auto"/>
            <w:tcMar>
              <w:top w:w="15" w:type="dxa"/>
              <w:left w:w="15" w:type="dxa"/>
              <w:right w:w="15" w:type="dxa"/>
            </w:tcMar>
            <w:vAlign w:val="center"/>
          </w:tcPr>
          <w:p>
            <w:pPr>
              <w:widowControl/>
              <w:numPr>
                <w:ilvl w:val="0"/>
                <w:numId w:val="6"/>
              </w:numPr>
              <w:jc w:val="left"/>
              <w:textAlignment w:val="center"/>
              <w:rPr>
                <w:rFonts w:ascii="宋体" w:hAnsi="宋体" w:cs="宋体"/>
                <w:color w:val="000000"/>
                <w:kern w:val="0"/>
                <w:szCs w:val="21"/>
              </w:rPr>
            </w:pPr>
            <w:r>
              <w:rPr>
                <w:rFonts w:hint="eastAsia" w:ascii="宋体" w:hAnsi="宋体" w:cs="宋体"/>
                <w:color w:val="000000"/>
                <w:kern w:val="0"/>
                <w:szCs w:val="21"/>
              </w:rPr>
              <w:t xml:space="preserve">一般要求： </w:t>
            </w:r>
            <w:r>
              <w:rPr>
                <w:rFonts w:hint="eastAsia" w:ascii="宋体" w:hAnsi="宋体" w:cs="宋体"/>
                <w:color w:val="000000"/>
                <w:kern w:val="0"/>
                <w:szCs w:val="21"/>
              </w:rPr>
              <w:br w:type="textWrapping"/>
            </w:r>
            <w:r>
              <w:rPr>
                <w:rFonts w:hint="eastAsia" w:ascii="宋体" w:hAnsi="宋体" w:cs="宋体"/>
                <w:color w:val="000000"/>
                <w:kern w:val="0"/>
                <w:szCs w:val="21"/>
              </w:rPr>
              <w:t>a) 强光手电表面应光滑，无划痕、磨损、毛刺、油渍；镜片和反光杯应光洁，无划痕、无污渍。</w:t>
            </w:r>
            <w:r>
              <w:rPr>
                <w:rFonts w:hint="eastAsia" w:ascii="宋体" w:hAnsi="宋体" w:cs="宋体"/>
                <w:color w:val="000000"/>
                <w:kern w:val="0"/>
                <w:szCs w:val="21"/>
              </w:rPr>
              <w:br w:type="textWrapping"/>
            </w:r>
            <w:r>
              <w:rPr>
                <w:rFonts w:hint="eastAsia" w:ascii="宋体" w:hAnsi="宋体" w:cs="宋体"/>
                <w:color w:val="000000"/>
                <w:kern w:val="0"/>
                <w:szCs w:val="21"/>
              </w:rPr>
              <w:t xml:space="preserve">b) 握柄纹路应清晰，无磕痕。 </w:t>
            </w:r>
            <w:r>
              <w:rPr>
                <w:rFonts w:hint="eastAsia" w:ascii="宋体" w:hAnsi="宋体" w:cs="宋体"/>
                <w:color w:val="000000"/>
                <w:kern w:val="0"/>
                <w:szCs w:val="21"/>
              </w:rPr>
              <w:br w:type="textWrapping"/>
            </w:r>
            <w:r>
              <w:rPr>
                <w:rFonts w:hint="eastAsia" w:ascii="宋体" w:hAnsi="宋体" w:cs="宋体"/>
                <w:color w:val="000000"/>
                <w:kern w:val="0"/>
                <w:szCs w:val="21"/>
              </w:rPr>
              <w:t xml:space="preserve">c) 手绳应无刮丝、织造疵点，塑料件应无毛刺。 </w:t>
            </w:r>
            <w:r>
              <w:rPr>
                <w:rFonts w:hint="eastAsia" w:ascii="宋体" w:hAnsi="宋体" w:cs="宋体"/>
                <w:color w:val="000000"/>
                <w:kern w:val="0"/>
                <w:szCs w:val="21"/>
              </w:rPr>
              <w:br w:type="textWrapping"/>
            </w:r>
            <w:r>
              <w:rPr>
                <w:rFonts w:hint="eastAsia" w:ascii="宋体" w:hAnsi="宋体" w:cs="宋体"/>
                <w:color w:val="000000"/>
                <w:kern w:val="0"/>
                <w:szCs w:val="21"/>
              </w:rPr>
              <w:t xml:space="preserve">d) 部件应齐全、装配严密、操作方便。 </w:t>
            </w:r>
            <w:r>
              <w:rPr>
                <w:rFonts w:hint="eastAsia" w:ascii="宋体" w:hAnsi="宋体" w:cs="宋体"/>
                <w:color w:val="000000"/>
                <w:kern w:val="0"/>
                <w:szCs w:val="21"/>
              </w:rPr>
              <w:br w:type="textWrapping"/>
            </w:r>
            <w:r>
              <w:rPr>
                <w:rFonts w:hint="eastAsia" w:ascii="宋体" w:hAnsi="宋体" w:cs="宋体"/>
                <w:color w:val="000000"/>
                <w:kern w:val="0"/>
                <w:szCs w:val="21"/>
              </w:rPr>
              <w:t xml:space="preserve">e) 充电器应清洁光滑，无锈蚀。 </w:t>
            </w:r>
            <w:r>
              <w:rPr>
                <w:rFonts w:hint="eastAsia" w:ascii="宋体" w:hAnsi="宋体" w:cs="宋体"/>
                <w:color w:val="000000"/>
                <w:kern w:val="0"/>
                <w:szCs w:val="21"/>
              </w:rPr>
              <w:br w:type="textWrapping"/>
            </w:r>
            <w:r>
              <w:rPr>
                <w:rFonts w:hint="eastAsia" w:ascii="宋体" w:hAnsi="宋体" w:cs="宋体"/>
                <w:color w:val="000000"/>
                <w:kern w:val="0"/>
                <w:szCs w:val="21"/>
              </w:rPr>
              <w:t xml:space="preserve">f) 电池架和电池仓应清洁、无锈蚀。 </w:t>
            </w:r>
            <w:r>
              <w:rPr>
                <w:rFonts w:hint="eastAsia" w:ascii="宋体" w:hAnsi="宋体" w:cs="宋体"/>
                <w:color w:val="000000"/>
                <w:kern w:val="0"/>
                <w:szCs w:val="21"/>
              </w:rPr>
              <w:br w:type="textWrapping"/>
            </w:r>
            <w:r>
              <w:rPr>
                <w:rFonts w:hint="eastAsia" w:ascii="宋体" w:hAnsi="宋体" w:cs="宋体"/>
                <w:color w:val="000000"/>
                <w:kern w:val="0"/>
                <w:szCs w:val="21"/>
              </w:rPr>
              <w:t xml:space="preserve">2、结构 </w:t>
            </w:r>
            <w:r>
              <w:rPr>
                <w:rFonts w:hint="eastAsia" w:ascii="宋体" w:hAnsi="宋体" w:cs="宋体"/>
                <w:color w:val="000000"/>
                <w:kern w:val="0"/>
                <w:szCs w:val="21"/>
              </w:rPr>
              <w:br w:type="textWrapping"/>
            </w:r>
            <w:r>
              <w:rPr>
                <w:rFonts w:hint="eastAsia" w:ascii="宋体" w:hAnsi="宋体" w:cs="宋体"/>
                <w:color w:val="000000"/>
                <w:kern w:val="0"/>
                <w:szCs w:val="21"/>
              </w:rPr>
              <w:t>基础型强光手电采用前置开关，按钮区域分为照明键和爆闪键，外壳为防滚动圆柱形结构。由头盖组件（包括头盖、攻击头等）、筒身组件（包括筒身、隐藏式 USB 充电接口、开关部件、4 格电量提示灯等）、电池、尾盖组件及手绳（包括调节扣）组成。</w:t>
            </w:r>
            <w:r>
              <w:rPr>
                <w:rFonts w:hint="eastAsia" w:ascii="宋体" w:hAnsi="宋体" w:cs="宋体"/>
                <w:color w:val="000000"/>
                <w:kern w:val="0"/>
                <w:szCs w:val="21"/>
              </w:rPr>
              <w:br w:type="textWrapping"/>
            </w:r>
            <w:r>
              <w:rPr>
                <w:rFonts w:hint="eastAsia" w:ascii="宋体" w:hAnsi="宋体" w:cs="宋体"/>
                <w:color w:val="000000"/>
                <w:kern w:val="0"/>
                <w:szCs w:val="21"/>
              </w:rPr>
              <w:t xml:space="preserve">3、规格与尺寸 </w:t>
            </w:r>
            <w:r>
              <w:rPr>
                <w:rFonts w:hint="eastAsia" w:ascii="宋体" w:hAnsi="宋体" w:cs="宋体"/>
                <w:color w:val="000000"/>
                <w:kern w:val="0"/>
                <w:szCs w:val="21"/>
              </w:rPr>
              <w:br w:type="textWrapping"/>
            </w:r>
            <w:r>
              <w:rPr>
                <w:rFonts w:hint="eastAsia" w:ascii="宋体" w:hAnsi="宋体" w:cs="宋体"/>
                <w:color w:val="000000"/>
                <w:kern w:val="0"/>
                <w:szCs w:val="21"/>
              </w:rPr>
              <w:t>基础型强光手电总长度为 154.6 mm 士 2 mm，握柄直径 28.5 mm 士 1 mm，头盖外径 35 mm士 1 mm，手绳长度 155 mm 士 5 mm。</w:t>
            </w:r>
            <w:r>
              <w:rPr>
                <w:rFonts w:hint="eastAsia" w:ascii="宋体" w:hAnsi="宋体" w:cs="宋体"/>
                <w:color w:val="000000"/>
                <w:kern w:val="0"/>
                <w:szCs w:val="21"/>
              </w:rPr>
              <w:br w:type="textWrapping"/>
            </w:r>
            <w:r>
              <w:rPr>
                <w:rFonts w:hint="eastAsia" w:ascii="宋体" w:hAnsi="宋体" w:cs="宋体"/>
                <w:color w:val="000000"/>
                <w:kern w:val="0"/>
                <w:szCs w:val="21"/>
              </w:rPr>
              <w:t xml:space="preserve">4、质量 </w:t>
            </w:r>
            <w:r>
              <w:rPr>
                <w:rFonts w:hint="eastAsia" w:ascii="宋体" w:hAnsi="宋体" w:cs="宋体"/>
                <w:color w:val="000000"/>
                <w:kern w:val="0"/>
                <w:szCs w:val="21"/>
              </w:rPr>
              <w:br w:type="textWrapping"/>
            </w:r>
            <w:r>
              <w:rPr>
                <w:rFonts w:hint="eastAsia" w:ascii="宋体" w:hAnsi="宋体" w:cs="宋体"/>
                <w:color w:val="000000"/>
                <w:kern w:val="0"/>
                <w:szCs w:val="21"/>
              </w:rPr>
              <w:t xml:space="preserve">强光手电总质量（含 18650 悝离子充电电池和手绳）为 215g士 2g。 </w:t>
            </w:r>
            <w:r>
              <w:rPr>
                <w:rFonts w:hint="eastAsia" w:ascii="宋体" w:hAnsi="宋体" w:cs="宋体"/>
                <w:color w:val="000000"/>
                <w:kern w:val="0"/>
                <w:szCs w:val="21"/>
              </w:rPr>
              <w:br w:type="textWrapping"/>
            </w:r>
            <w:r>
              <w:rPr>
                <w:rFonts w:hint="eastAsia" w:ascii="宋体" w:hAnsi="宋体" w:cs="宋体"/>
                <w:color w:val="000000"/>
                <w:kern w:val="0"/>
                <w:szCs w:val="21"/>
              </w:rPr>
              <w:t xml:space="preserve">5、开关工作模式转换功能 </w:t>
            </w:r>
            <w:r>
              <w:rPr>
                <w:rFonts w:hint="eastAsia" w:ascii="宋体" w:hAnsi="宋体" w:cs="宋体"/>
                <w:color w:val="000000"/>
                <w:kern w:val="0"/>
                <w:szCs w:val="21"/>
              </w:rPr>
              <w:br w:type="textWrapping"/>
            </w:r>
            <w:r>
              <w:rPr>
                <w:rFonts w:hint="eastAsia" w:ascii="宋体" w:hAnsi="宋体" w:cs="宋体"/>
                <w:color w:val="000000"/>
                <w:kern w:val="0"/>
                <w:szCs w:val="21"/>
              </w:rPr>
              <w:t xml:space="preserve">强光手电的开关工作模式转换功能应符合下列要求： </w:t>
            </w:r>
            <w:r>
              <w:rPr>
                <w:rFonts w:hint="eastAsia" w:ascii="宋体" w:hAnsi="宋体" w:cs="宋体"/>
                <w:color w:val="000000"/>
                <w:kern w:val="0"/>
                <w:szCs w:val="21"/>
              </w:rPr>
              <w:br w:type="textWrapping"/>
            </w:r>
            <w:r>
              <w:rPr>
                <w:rFonts w:hint="eastAsia" w:ascii="宋体" w:hAnsi="宋体" w:cs="宋体"/>
                <w:color w:val="000000"/>
                <w:kern w:val="0"/>
                <w:szCs w:val="21"/>
              </w:rPr>
              <w:t xml:space="preserve">a) 强光手电在任何状态下（待机、强光、弱光），按压爆闪键，直接进入爆闪模式，再次按压爆闪键， 爆闪停止，恢复原工作状态（待机、强光、弱光）； </w:t>
            </w:r>
            <w:r>
              <w:rPr>
                <w:rFonts w:hint="eastAsia" w:ascii="宋体" w:hAnsi="宋体" w:cs="宋体"/>
                <w:color w:val="000000"/>
                <w:kern w:val="0"/>
                <w:szCs w:val="21"/>
              </w:rPr>
              <w:br w:type="textWrapping"/>
            </w:r>
            <w:r>
              <w:rPr>
                <w:rFonts w:hint="eastAsia" w:ascii="宋体" w:hAnsi="宋体" w:cs="宋体"/>
                <w:color w:val="000000"/>
                <w:kern w:val="0"/>
                <w:szCs w:val="21"/>
              </w:rPr>
              <w:t xml:space="preserve">b) 待机状态下通过轻触照明键，实现强光点射功能（轻触亮，松开灭）； </w:t>
            </w:r>
            <w:r>
              <w:rPr>
                <w:rFonts w:hint="eastAsia" w:ascii="宋体" w:hAnsi="宋体" w:cs="宋体"/>
                <w:color w:val="000000"/>
                <w:kern w:val="0"/>
                <w:szCs w:val="21"/>
              </w:rPr>
              <w:br w:type="textWrapping"/>
            </w:r>
            <w:r>
              <w:rPr>
                <w:rFonts w:hint="eastAsia" w:ascii="宋体" w:hAnsi="宋体" w:cs="宋体"/>
                <w:color w:val="000000"/>
                <w:kern w:val="0"/>
                <w:szCs w:val="21"/>
              </w:rPr>
              <w:t>c) 待机状态下按压照明键，应直接进入强光模式，通过轻触照明键，应依顺序实现强光-弱光</w:t>
            </w:r>
            <w:r>
              <w:rPr>
                <w:rFonts w:hint="eastAsia" w:ascii="宋体" w:hAnsi="宋体" w:cs="宋体"/>
                <w:color w:val="000000"/>
                <w:kern w:val="0"/>
                <w:szCs w:val="21"/>
              </w:rPr>
              <w:softHyphen/>
            </w:r>
            <w:r>
              <w:rPr>
                <w:rFonts w:hint="eastAsia" w:ascii="宋体" w:hAnsi="宋体" w:cs="宋体"/>
                <w:color w:val="000000"/>
                <w:kern w:val="0"/>
                <w:szCs w:val="21"/>
              </w:rPr>
              <w:t xml:space="preserve">强光-弱光的模式转换，再次按下照明键，进入待机状态。 </w:t>
            </w:r>
            <w:r>
              <w:rPr>
                <w:rFonts w:hint="eastAsia" w:ascii="宋体" w:hAnsi="宋体" w:cs="宋体"/>
                <w:color w:val="000000"/>
                <w:kern w:val="0"/>
                <w:szCs w:val="21"/>
              </w:rPr>
              <w:br w:type="textWrapping"/>
            </w:r>
            <w:r>
              <w:rPr>
                <w:rFonts w:hint="eastAsia" w:ascii="宋体" w:hAnsi="宋体" w:cs="宋体"/>
                <w:color w:val="000000"/>
                <w:kern w:val="0"/>
                <w:szCs w:val="21"/>
              </w:rPr>
              <w:t xml:space="preserve">6、电池兼容性 </w:t>
            </w:r>
            <w:r>
              <w:rPr>
                <w:rFonts w:hint="eastAsia" w:ascii="宋体" w:hAnsi="宋体" w:cs="宋体"/>
                <w:color w:val="000000"/>
                <w:kern w:val="0"/>
                <w:szCs w:val="21"/>
              </w:rPr>
              <w:br w:type="textWrapping"/>
            </w:r>
            <w:r>
              <w:rPr>
                <w:rFonts w:hint="eastAsia" w:ascii="宋体" w:hAnsi="宋体" w:cs="宋体"/>
                <w:color w:val="000000"/>
                <w:kern w:val="0"/>
                <w:szCs w:val="21"/>
              </w:rPr>
              <w:t xml:space="preserve">强光手电使用 1 节 18650 梩离子充电电池、3 节 AAA 碱性电池或 1 节 AA 碱性电池，应相互兼容。 </w:t>
            </w:r>
            <w:r>
              <w:rPr>
                <w:rFonts w:hint="eastAsia" w:ascii="宋体" w:hAnsi="宋体" w:cs="宋体"/>
                <w:color w:val="000000"/>
                <w:kern w:val="0"/>
                <w:szCs w:val="21"/>
              </w:rPr>
              <w:br w:type="textWrapping"/>
            </w:r>
            <w:r>
              <w:rPr>
                <w:rFonts w:hint="eastAsia" w:ascii="宋体" w:hAnsi="宋体" w:cs="宋体"/>
                <w:szCs w:val="21"/>
              </w:rPr>
              <w:t>★</w:t>
            </w:r>
            <w:r>
              <w:rPr>
                <w:rFonts w:hint="eastAsia" w:ascii="宋体" w:hAnsi="宋体" w:cs="宋体"/>
                <w:color w:val="000000"/>
                <w:kern w:val="0"/>
                <w:szCs w:val="21"/>
              </w:rPr>
              <w:t xml:space="preserve">7、强光初始光通量 </w:t>
            </w:r>
            <w:r>
              <w:rPr>
                <w:rFonts w:hint="eastAsia" w:ascii="宋体" w:hAnsi="宋体" w:cs="宋体"/>
                <w:color w:val="000000"/>
                <w:kern w:val="0"/>
                <w:szCs w:val="21"/>
              </w:rPr>
              <w:br w:type="textWrapping"/>
            </w:r>
            <w:r>
              <w:rPr>
                <w:rFonts w:hint="eastAsia" w:ascii="宋体" w:hAnsi="宋体" w:cs="宋体"/>
                <w:color w:val="000000"/>
                <w:kern w:val="0"/>
                <w:szCs w:val="21"/>
              </w:rPr>
              <w:t xml:space="preserve">使用 18650 悝离子充电电池，在完全充电状态下强光手电进入强光模式，初始光通量应大千或等于330 1m。 </w:t>
            </w:r>
            <w:r>
              <w:rPr>
                <w:rFonts w:hint="eastAsia" w:ascii="宋体" w:hAnsi="宋体" w:cs="宋体"/>
                <w:color w:val="000000"/>
                <w:kern w:val="0"/>
                <w:szCs w:val="21"/>
              </w:rPr>
              <w:br w:type="textWrapping"/>
            </w:r>
            <w:r>
              <w:rPr>
                <w:rFonts w:hint="eastAsia" w:ascii="宋体" w:hAnsi="宋体" w:cs="宋体"/>
                <w:szCs w:val="21"/>
              </w:rPr>
              <w:t>★</w:t>
            </w:r>
            <w:r>
              <w:rPr>
                <w:rFonts w:hint="eastAsia" w:ascii="宋体" w:hAnsi="宋体" w:cs="宋体"/>
                <w:color w:val="000000"/>
                <w:kern w:val="0"/>
                <w:szCs w:val="21"/>
              </w:rPr>
              <w:t xml:space="preserve">8、强光初始照度计色品坐标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使用 18650 悝离子充电电池，在完全充电状态下强光手电进入强光模式，距光源 5m处光斑中心初 始照度应大于或等于450 1x。 其色品坐标应符合 GB/T 8417-2003 中的白色色品区域有关规定。 </w:t>
            </w:r>
            <w:r>
              <w:rPr>
                <w:rFonts w:hint="eastAsia" w:ascii="宋体" w:hAnsi="宋体" w:cs="宋体"/>
                <w:color w:val="000000"/>
                <w:kern w:val="0"/>
                <w:szCs w:val="21"/>
              </w:rPr>
              <w:br w:type="textWrapping"/>
            </w:r>
            <w:r>
              <w:rPr>
                <w:rFonts w:hint="eastAsia" w:ascii="宋体" w:hAnsi="宋体" w:cs="宋体"/>
                <w:szCs w:val="21"/>
              </w:rPr>
              <w:t>★</w:t>
            </w:r>
            <w:r>
              <w:rPr>
                <w:rFonts w:hint="eastAsia" w:ascii="宋体" w:hAnsi="宋体" w:cs="宋体"/>
                <w:color w:val="000000"/>
                <w:kern w:val="0"/>
                <w:szCs w:val="21"/>
              </w:rPr>
              <w:t xml:space="preserve">9、强光照明时间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使用 18650 悝离子充电电池，在完全充电状态下强光手电进入强光模式，连续照明330min，距光源 5m 处光斑中心照度值应大千或等千240 1x。 </w:t>
            </w:r>
            <w:r>
              <w:rPr>
                <w:rFonts w:hint="eastAsia" w:ascii="宋体" w:hAnsi="宋体" w:cs="宋体"/>
                <w:color w:val="000000"/>
                <w:kern w:val="0"/>
                <w:szCs w:val="21"/>
              </w:rPr>
              <w:br w:type="textWrapping"/>
            </w:r>
            <w:r>
              <w:rPr>
                <w:rFonts w:hint="eastAsia" w:ascii="宋体" w:hAnsi="宋体" w:cs="宋体"/>
                <w:color w:val="000000"/>
                <w:kern w:val="0"/>
                <w:szCs w:val="21"/>
              </w:rPr>
              <w:t xml:space="preserve">10、弱光初始照度 </w:t>
            </w:r>
            <w:r>
              <w:rPr>
                <w:rFonts w:hint="eastAsia" w:ascii="宋体" w:hAnsi="宋体" w:cs="宋体"/>
                <w:color w:val="000000"/>
                <w:kern w:val="0"/>
                <w:szCs w:val="21"/>
              </w:rPr>
              <w:br w:type="textWrapping"/>
            </w:r>
            <w:r>
              <w:rPr>
                <w:rFonts w:hint="eastAsia" w:ascii="宋体" w:hAnsi="宋体" w:cs="宋体"/>
                <w:color w:val="000000"/>
                <w:kern w:val="0"/>
                <w:szCs w:val="21"/>
              </w:rPr>
              <w:t xml:space="preserve">使用 18650 梩离子充电电池，在完全充电状态下强光手电进入弱光模式，距光源 lm处光斑中心初 始照度应为 120 Ix~ 180 Ix。 </w:t>
            </w:r>
            <w:r>
              <w:rPr>
                <w:rFonts w:hint="eastAsia" w:ascii="宋体" w:hAnsi="宋体" w:cs="宋体"/>
                <w:color w:val="000000"/>
                <w:kern w:val="0"/>
                <w:szCs w:val="21"/>
              </w:rPr>
              <w:br w:type="textWrapping"/>
            </w:r>
            <w:r>
              <w:rPr>
                <w:rFonts w:hint="eastAsia" w:ascii="宋体" w:hAnsi="宋体" w:cs="宋体"/>
                <w:color w:val="000000"/>
                <w:kern w:val="0"/>
                <w:szCs w:val="21"/>
              </w:rPr>
              <w:t xml:space="preserve">11、强光爆闪频率 </w:t>
            </w:r>
            <w:r>
              <w:rPr>
                <w:rFonts w:hint="eastAsia" w:ascii="宋体" w:hAnsi="宋体" w:cs="宋体"/>
                <w:color w:val="000000"/>
                <w:kern w:val="0"/>
                <w:szCs w:val="21"/>
              </w:rPr>
              <w:br w:type="textWrapping"/>
            </w:r>
            <w:r>
              <w:rPr>
                <w:rFonts w:hint="eastAsia" w:ascii="宋体" w:hAnsi="宋体" w:cs="宋体"/>
                <w:color w:val="000000"/>
                <w:kern w:val="0"/>
                <w:szCs w:val="21"/>
              </w:rPr>
              <w:t xml:space="preserve">强光手电的强光爆闪频率应为 9Hz±0.3Hz。 </w:t>
            </w:r>
            <w:r>
              <w:rPr>
                <w:rFonts w:hint="eastAsia" w:ascii="宋体" w:hAnsi="宋体" w:cs="宋体"/>
                <w:color w:val="000000"/>
                <w:kern w:val="0"/>
                <w:szCs w:val="21"/>
              </w:rPr>
              <w:br w:type="textWrapping"/>
            </w:r>
            <w:r>
              <w:rPr>
                <w:rFonts w:hint="eastAsia" w:ascii="宋体" w:hAnsi="宋体" w:cs="宋体"/>
                <w:color w:val="000000"/>
                <w:kern w:val="0"/>
                <w:szCs w:val="21"/>
              </w:rPr>
              <w:t xml:space="preserve">12、光束角 </w:t>
            </w:r>
            <w:r>
              <w:rPr>
                <w:rFonts w:hint="eastAsia" w:ascii="宋体" w:hAnsi="宋体" w:cs="宋体"/>
                <w:color w:val="000000"/>
                <w:kern w:val="0"/>
                <w:szCs w:val="21"/>
              </w:rPr>
              <w:br w:type="textWrapping"/>
            </w:r>
            <w:r>
              <w:rPr>
                <w:rFonts w:hint="eastAsia" w:ascii="宋体" w:hAnsi="宋体" w:cs="宋体"/>
                <w:color w:val="000000"/>
                <w:kern w:val="0"/>
                <w:szCs w:val="21"/>
              </w:rPr>
              <w:t xml:space="preserve">强光手电的光束角应为 6°~9°。  </w:t>
            </w:r>
            <w:r>
              <w:rPr>
                <w:rFonts w:hint="eastAsia" w:ascii="宋体" w:hAnsi="宋体" w:cs="宋体"/>
                <w:color w:val="000000"/>
                <w:kern w:val="0"/>
                <w:szCs w:val="21"/>
              </w:rPr>
              <w:br w:type="textWrapping"/>
            </w:r>
            <w:r>
              <w:rPr>
                <w:rFonts w:hint="eastAsia" w:ascii="宋体" w:hAnsi="宋体" w:cs="宋体"/>
                <w:color w:val="000000"/>
                <w:kern w:val="0"/>
                <w:szCs w:val="21"/>
              </w:rPr>
              <w:t xml:space="preserve">13、外壳升温 </w:t>
            </w:r>
            <w:r>
              <w:rPr>
                <w:rFonts w:hint="eastAsia" w:ascii="宋体" w:hAnsi="宋体" w:cs="宋体"/>
                <w:color w:val="000000"/>
                <w:kern w:val="0"/>
                <w:szCs w:val="21"/>
              </w:rPr>
              <w:br w:type="textWrapping"/>
            </w:r>
            <w:r>
              <w:rPr>
                <w:rFonts w:hint="eastAsia" w:ascii="宋体" w:hAnsi="宋体" w:cs="宋体"/>
                <w:color w:val="000000"/>
                <w:kern w:val="0"/>
                <w:szCs w:val="21"/>
              </w:rPr>
              <w:t xml:space="preserve">强光手电的外壳温升应小于或等千10K。 </w:t>
            </w:r>
            <w:r>
              <w:rPr>
                <w:rFonts w:hint="eastAsia" w:ascii="宋体" w:hAnsi="宋体" w:cs="宋体"/>
                <w:color w:val="000000"/>
                <w:kern w:val="0"/>
                <w:szCs w:val="21"/>
              </w:rPr>
              <w:br w:type="textWrapping"/>
            </w:r>
            <w:r>
              <w:rPr>
                <w:rFonts w:hint="eastAsia" w:ascii="宋体" w:hAnsi="宋体" w:cs="宋体"/>
                <w:color w:val="000000"/>
                <w:kern w:val="0"/>
                <w:szCs w:val="21"/>
              </w:rPr>
              <w:t xml:space="preserve">14、电量提示功能 </w:t>
            </w:r>
            <w:r>
              <w:rPr>
                <w:rFonts w:hint="eastAsia" w:ascii="宋体" w:hAnsi="宋体" w:cs="宋体"/>
                <w:color w:val="000000"/>
                <w:kern w:val="0"/>
                <w:szCs w:val="21"/>
              </w:rPr>
              <w:br w:type="textWrapping"/>
            </w:r>
            <w:r>
              <w:rPr>
                <w:rFonts w:hint="eastAsia" w:ascii="宋体" w:hAnsi="宋体" w:cs="宋体"/>
                <w:color w:val="000000"/>
                <w:kern w:val="0"/>
                <w:szCs w:val="21"/>
              </w:rPr>
              <w:t xml:space="preserve">强光手电应设置 4 格电量提示灯，使用 18650 梩离子充电电池在开启或关闭光源时，提示灯点亮，显示剩余电量状态。  </w:t>
            </w:r>
            <w:r>
              <w:rPr>
                <w:rFonts w:hint="eastAsia" w:ascii="宋体" w:hAnsi="宋体" w:cs="宋体"/>
                <w:color w:val="000000"/>
                <w:kern w:val="0"/>
                <w:szCs w:val="21"/>
              </w:rPr>
              <w:br w:type="textWrapping"/>
            </w:r>
            <w:r>
              <w:rPr>
                <w:rFonts w:hint="eastAsia" w:ascii="宋体" w:hAnsi="宋体" w:cs="宋体"/>
                <w:szCs w:val="21"/>
              </w:rPr>
              <w:t>★</w:t>
            </w:r>
            <w:r>
              <w:rPr>
                <w:rFonts w:hint="eastAsia" w:ascii="宋体" w:hAnsi="宋体" w:cs="宋体"/>
                <w:color w:val="000000"/>
                <w:kern w:val="0"/>
                <w:szCs w:val="21"/>
              </w:rPr>
              <w:t xml:space="preserve">15、手绳强度 </w:t>
            </w:r>
            <w:r>
              <w:rPr>
                <w:rFonts w:hint="eastAsia" w:ascii="宋体" w:hAnsi="宋体" w:cs="宋体"/>
                <w:color w:val="000000"/>
                <w:kern w:val="0"/>
                <w:szCs w:val="21"/>
              </w:rPr>
              <w:br w:type="textWrapping"/>
            </w:r>
            <w:r>
              <w:rPr>
                <w:rFonts w:hint="eastAsia" w:ascii="宋体" w:hAnsi="宋体" w:cs="宋体"/>
                <w:color w:val="000000"/>
                <w:kern w:val="0"/>
                <w:szCs w:val="21"/>
              </w:rPr>
              <w:t xml:space="preserve">手绳承受150 N的拉力应无断裂。  </w:t>
            </w:r>
            <w:r>
              <w:rPr>
                <w:rFonts w:hint="eastAsia" w:ascii="宋体" w:hAnsi="宋体" w:cs="宋体"/>
                <w:color w:val="000000"/>
                <w:kern w:val="0"/>
                <w:szCs w:val="21"/>
              </w:rPr>
              <w:br w:type="textWrapping"/>
            </w:r>
            <w:r>
              <w:rPr>
                <w:rFonts w:hint="eastAsia" w:ascii="宋体" w:hAnsi="宋体" w:cs="宋体"/>
                <w:color w:val="000000"/>
                <w:kern w:val="0"/>
                <w:szCs w:val="21"/>
              </w:rPr>
              <w:t xml:space="preserve">16、跌落可靠性 </w:t>
            </w:r>
            <w:r>
              <w:rPr>
                <w:rFonts w:hint="eastAsia" w:ascii="宋体" w:hAnsi="宋体" w:cs="宋体"/>
                <w:color w:val="000000"/>
                <w:kern w:val="0"/>
                <w:szCs w:val="21"/>
              </w:rPr>
              <w:br w:type="textWrapping"/>
            </w:r>
            <w:r>
              <w:rPr>
                <w:rFonts w:hint="eastAsia" w:ascii="宋体" w:hAnsi="宋体" w:cs="宋体"/>
                <w:color w:val="000000"/>
                <w:kern w:val="0"/>
                <w:szCs w:val="21"/>
              </w:rPr>
              <w:t xml:space="preserve">强光手电以水平状态、头部向下状态和尾部向下 3 种姿态，从 1.5m 高度自由跌落至水泥地面上各试验 3 次，强光手电无裂纹、破碎，氮化硅球不脱落，且符合开关工作模式转换功能的要求。 </w:t>
            </w:r>
            <w:r>
              <w:rPr>
                <w:rFonts w:hint="eastAsia" w:ascii="宋体" w:hAnsi="宋体" w:cs="宋体"/>
                <w:color w:val="000000"/>
                <w:kern w:val="0"/>
                <w:szCs w:val="21"/>
              </w:rPr>
              <w:br w:type="textWrapping"/>
            </w:r>
            <w:r>
              <w:rPr>
                <w:rFonts w:hint="eastAsia" w:ascii="宋体" w:hAnsi="宋体" w:cs="宋体"/>
                <w:szCs w:val="21"/>
              </w:rPr>
              <w:t>★</w:t>
            </w:r>
            <w:r>
              <w:rPr>
                <w:rFonts w:hint="eastAsia" w:ascii="宋体" w:hAnsi="宋体" w:cs="宋体"/>
                <w:color w:val="000000"/>
                <w:kern w:val="0"/>
                <w:szCs w:val="21"/>
              </w:rPr>
              <w:t xml:space="preserve">17、防水性能 </w:t>
            </w:r>
            <w:r>
              <w:rPr>
                <w:rFonts w:hint="eastAsia" w:ascii="宋体" w:hAnsi="宋体" w:cs="宋体"/>
                <w:color w:val="000000"/>
                <w:kern w:val="0"/>
                <w:szCs w:val="21"/>
              </w:rPr>
              <w:br w:type="textWrapping"/>
            </w:r>
            <w:r>
              <w:rPr>
                <w:rFonts w:hint="eastAsia" w:ascii="宋体" w:hAnsi="宋体" w:cs="宋体"/>
                <w:color w:val="000000"/>
                <w:kern w:val="0"/>
                <w:szCs w:val="21"/>
              </w:rPr>
              <w:t>强光手电在1m 深度水中进行防水试验2h，内部不应进水，且符合开关工作模式转换功能的要求。</w:t>
            </w:r>
            <w:r>
              <w:rPr>
                <w:rFonts w:hint="eastAsia" w:ascii="宋体" w:hAnsi="宋体" w:cs="宋体"/>
                <w:color w:val="000000"/>
                <w:kern w:val="0"/>
                <w:szCs w:val="21"/>
              </w:rPr>
              <w:br w:type="textWrapping"/>
            </w:r>
            <w:r>
              <w:rPr>
                <w:rFonts w:hint="eastAsia" w:ascii="宋体" w:hAnsi="宋体" w:cs="宋体"/>
                <w:szCs w:val="21"/>
              </w:rPr>
              <w:t>★</w:t>
            </w:r>
            <w:r>
              <w:rPr>
                <w:rFonts w:hint="eastAsia" w:ascii="宋体" w:hAnsi="宋体" w:cs="宋体"/>
                <w:color w:val="000000"/>
                <w:kern w:val="0"/>
                <w:szCs w:val="21"/>
              </w:rPr>
              <w:t xml:space="preserve">18、开关耐久性 </w:t>
            </w:r>
            <w:r>
              <w:rPr>
                <w:rFonts w:hint="eastAsia" w:ascii="宋体" w:hAnsi="宋体" w:cs="宋体"/>
                <w:color w:val="000000"/>
                <w:kern w:val="0"/>
                <w:szCs w:val="21"/>
              </w:rPr>
              <w:br w:type="textWrapping"/>
            </w:r>
            <w:r>
              <w:rPr>
                <w:rFonts w:hint="eastAsia" w:ascii="宋体" w:hAnsi="宋体" w:cs="宋体"/>
                <w:color w:val="000000"/>
                <w:kern w:val="0"/>
                <w:szCs w:val="21"/>
              </w:rPr>
              <w:t>对照明键、爆闪键分别触压 50 000 次，开关按键应正常，且符合开关工作模式转换功能的要求。</w:t>
            </w:r>
            <w:r>
              <w:rPr>
                <w:rFonts w:hint="eastAsia" w:ascii="宋体" w:hAnsi="宋体" w:cs="宋体"/>
                <w:color w:val="000000"/>
                <w:kern w:val="0"/>
                <w:szCs w:val="21"/>
              </w:rPr>
              <w:br w:type="textWrapping"/>
            </w:r>
            <w:r>
              <w:rPr>
                <w:rFonts w:hint="eastAsia" w:ascii="宋体" w:hAnsi="宋体" w:cs="宋体"/>
                <w:szCs w:val="21"/>
              </w:rPr>
              <w:t>★</w:t>
            </w:r>
            <w:r>
              <w:rPr>
                <w:rFonts w:hint="eastAsia" w:ascii="宋体" w:hAnsi="宋体" w:cs="宋体"/>
                <w:color w:val="000000"/>
                <w:kern w:val="0"/>
                <w:szCs w:val="21"/>
              </w:rPr>
              <w:t xml:space="preserve">19、充电插头连接可靠性 </w:t>
            </w:r>
            <w:r>
              <w:rPr>
                <w:rFonts w:hint="eastAsia" w:ascii="宋体" w:hAnsi="宋体" w:cs="宋体"/>
                <w:color w:val="000000"/>
                <w:kern w:val="0"/>
                <w:szCs w:val="21"/>
              </w:rPr>
              <w:br w:type="textWrapping"/>
            </w:r>
            <w:r>
              <w:rPr>
                <w:rFonts w:hint="eastAsia" w:ascii="宋体" w:hAnsi="宋体" w:cs="宋体"/>
                <w:color w:val="000000"/>
                <w:kern w:val="0"/>
                <w:szCs w:val="21"/>
              </w:rPr>
              <w:t xml:space="preserve">充电插头插拔5 000 次，不应变形，能正常充电。  </w:t>
            </w:r>
            <w:r>
              <w:rPr>
                <w:rFonts w:hint="eastAsia" w:ascii="宋体" w:hAnsi="宋体" w:cs="宋体"/>
                <w:color w:val="000000"/>
                <w:kern w:val="0"/>
                <w:szCs w:val="21"/>
              </w:rPr>
              <w:br w:type="textWrapping"/>
            </w:r>
            <w:r>
              <w:rPr>
                <w:rFonts w:hint="eastAsia" w:ascii="宋体" w:hAnsi="宋体" w:cs="宋体"/>
                <w:color w:val="000000"/>
                <w:kern w:val="0"/>
                <w:szCs w:val="21"/>
              </w:rPr>
              <w:t xml:space="preserve">20、低温性能 </w:t>
            </w:r>
            <w:r>
              <w:rPr>
                <w:rFonts w:hint="eastAsia" w:ascii="宋体" w:hAnsi="宋体" w:cs="宋体"/>
                <w:color w:val="000000"/>
                <w:kern w:val="0"/>
                <w:szCs w:val="21"/>
              </w:rPr>
              <w:br w:type="textWrapping"/>
            </w:r>
            <w:r>
              <w:rPr>
                <w:rFonts w:hint="eastAsia" w:ascii="宋体" w:hAnsi="宋体" w:cs="宋体"/>
                <w:color w:val="000000"/>
                <w:kern w:val="0"/>
                <w:szCs w:val="21"/>
              </w:rPr>
              <w:t xml:space="preserve">强光手电在温度-20℃±2℃的环境下，持续放置 2 h，应符合开关工作模式转换功能的要求。 </w:t>
            </w:r>
            <w:r>
              <w:rPr>
                <w:rFonts w:hint="eastAsia" w:ascii="宋体" w:hAnsi="宋体" w:cs="宋体"/>
                <w:color w:val="000000"/>
                <w:kern w:val="0"/>
                <w:szCs w:val="21"/>
              </w:rPr>
              <w:br w:type="textWrapping"/>
            </w:r>
            <w:r>
              <w:rPr>
                <w:rFonts w:hint="eastAsia" w:ascii="宋体" w:hAnsi="宋体" w:cs="宋体"/>
                <w:color w:val="000000"/>
                <w:kern w:val="0"/>
                <w:szCs w:val="21"/>
              </w:rPr>
              <w:t xml:space="preserve">21、湿热性能 </w:t>
            </w:r>
            <w:r>
              <w:rPr>
                <w:rFonts w:hint="eastAsia" w:ascii="宋体" w:hAnsi="宋体" w:cs="宋体"/>
                <w:color w:val="000000"/>
                <w:kern w:val="0"/>
                <w:szCs w:val="21"/>
              </w:rPr>
              <w:br w:type="textWrapping"/>
            </w:r>
            <w:r>
              <w:rPr>
                <w:rFonts w:hint="eastAsia" w:ascii="宋体" w:hAnsi="宋体" w:cs="宋体"/>
                <w:color w:val="000000"/>
                <w:kern w:val="0"/>
                <w:szCs w:val="21"/>
              </w:rPr>
              <w:t>强光手电在温度 45℃±2℃、湿度 95％士 2%RH 的环境下，持续放置 48 h，应符合开关工作模式转换功能的要求。</w:t>
            </w:r>
          </w:p>
          <w:p>
            <w:pPr>
              <w:widowControl/>
              <w:jc w:val="left"/>
              <w:textAlignment w:val="center"/>
              <w:rPr>
                <w:rFonts w:ascii="宋体" w:hAnsi="宋体" w:cs="宋体"/>
                <w:color w:val="000000"/>
                <w:kern w:val="0"/>
                <w:szCs w:val="21"/>
              </w:rPr>
            </w:pPr>
            <w:r>
              <w:rPr>
                <w:rFonts w:hint="eastAsia" w:ascii="宋体" w:hAnsi="宋体" w:cs="宋体"/>
                <w:szCs w:val="21"/>
              </w:rPr>
              <w:t>★</w:t>
            </w:r>
            <w:r>
              <w:rPr>
                <w:rFonts w:hint="eastAsia" w:ascii="宋体" w:hAnsi="宋体" w:cs="宋体"/>
                <w:color w:val="000000"/>
                <w:kern w:val="0"/>
                <w:szCs w:val="21"/>
              </w:rPr>
              <w:t>22、提供检测报告原件或复印件加盖生产商公章。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对讲机</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部</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7044" w:type="dxa"/>
            <w:shd w:val="clear" w:color="auto" w:fill="auto"/>
            <w:tcMar>
              <w:top w:w="15" w:type="dxa"/>
              <w:left w:w="15" w:type="dxa"/>
              <w:right w:w="15" w:type="dxa"/>
            </w:tcMar>
            <w:vAlign w:val="center"/>
          </w:tcPr>
          <w:p>
            <w:pPr>
              <w:rPr>
                <w:rFonts w:ascii="宋体" w:hAnsi="宋体" w:cs="宋体"/>
                <w:szCs w:val="21"/>
              </w:rPr>
            </w:pPr>
            <w:r>
              <w:rPr>
                <w:rFonts w:hint="eastAsia" w:ascii="宋体" w:hAnsi="宋体" w:cs="宋体"/>
                <w:szCs w:val="21"/>
              </w:rPr>
              <w:t>★1、电池容量：4500mAh可更换大电池</w:t>
            </w:r>
          </w:p>
          <w:p>
            <w:pPr>
              <w:rPr>
                <w:rFonts w:ascii="宋体" w:hAnsi="宋体" w:cs="宋体"/>
                <w:szCs w:val="21"/>
              </w:rPr>
            </w:pPr>
            <w:r>
              <w:rPr>
                <w:rFonts w:hint="eastAsia" w:ascii="宋体" w:hAnsi="宋体" w:cs="宋体"/>
                <w:szCs w:val="21"/>
              </w:rPr>
              <w:t>2、储存：2GB（RAM)+16GB(ROM)，需支持外部T卡，可扩展128GB内存卡</w:t>
            </w:r>
          </w:p>
          <w:p>
            <w:pPr>
              <w:rPr>
                <w:rFonts w:ascii="宋体" w:hAnsi="宋体" w:cs="宋体"/>
                <w:szCs w:val="21"/>
              </w:rPr>
            </w:pPr>
            <w:r>
              <w:rPr>
                <w:rFonts w:hint="eastAsia" w:ascii="宋体" w:hAnsi="宋体" w:cs="宋体"/>
                <w:szCs w:val="21"/>
              </w:rPr>
              <w:t>3、镜头：前200W FF后500W AF高清摄像头</w:t>
            </w:r>
          </w:p>
          <w:p>
            <w:pPr>
              <w:rPr>
                <w:rFonts w:ascii="宋体" w:hAnsi="宋体" w:cs="宋体"/>
                <w:szCs w:val="21"/>
              </w:rPr>
            </w:pPr>
            <w:r>
              <w:rPr>
                <w:rFonts w:hint="eastAsia" w:ascii="宋体" w:hAnsi="宋体" w:cs="宋体"/>
                <w:szCs w:val="21"/>
              </w:rPr>
              <w:t>4、屏幕：2.4寸屏</w:t>
            </w:r>
          </w:p>
          <w:p>
            <w:pPr>
              <w:rPr>
                <w:rFonts w:ascii="宋体" w:hAnsi="宋体" w:cs="宋体"/>
                <w:szCs w:val="21"/>
              </w:rPr>
            </w:pPr>
            <w:r>
              <w:rPr>
                <w:rFonts w:hint="eastAsia" w:ascii="宋体" w:hAnsi="宋体" w:cs="宋体"/>
                <w:szCs w:val="21"/>
              </w:rPr>
              <w:t>★5、支持2W DMR讲对 双PTT键</w:t>
            </w:r>
          </w:p>
          <w:p>
            <w:pPr>
              <w:rPr>
                <w:rFonts w:ascii="宋体" w:hAnsi="宋体" w:cs="宋体"/>
                <w:szCs w:val="21"/>
              </w:rPr>
            </w:pPr>
            <w:r>
              <w:rPr>
                <w:rFonts w:hint="eastAsia" w:ascii="宋体" w:hAnsi="宋体" w:cs="宋体"/>
                <w:szCs w:val="21"/>
              </w:rPr>
              <w:t xml:space="preserve">★6、支持WIFI 2.4/5.0G 双模WIFI </w:t>
            </w:r>
          </w:p>
          <w:p>
            <w:pPr>
              <w:rPr>
                <w:rFonts w:ascii="宋体" w:hAnsi="宋体" w:cs="宋体"/>
                <w:szCs w:val="21"/>
              </w:rPr>
            </w:pPr>
            <w:r>
              <w:rPr>
                <w:rFonts w:hint="eastAsia" w:ascii="宋体" w:hAnsi="宋体" w:cs="宋体"/>
                <w:szCs w:val="21"/>
              </w:rPr>
              <w:t>7、安卓8.1智能系统</w:t>
            </w:r>
          </w:p>
          <w:p>
            <w:pPr>
              <w:rPr>
                <w:rFonts w:ascii="宋体" w:hAnsi="宋体" w:cs="宋体"/>
                <w:szCs w:val="21"/>
              </w:rPr>
            </w:pPr>
            <w:r>
              <w:rPr>
                <w:rFonts w:hint="eastAsia" w:ascii="宋体" w:hAnsi="宋体" w:cs="宋体"/>
                <w:szCs w:val="21"/>
              </w:rPr>
              <w:t>8、5V2A快充</w:t>
            </w:r>
          </w:p>
          <w:p>
            <w:pPr>
              <w:rPr>
                <w:rFonts w:ascii="宋体" w:hAnsi="宋体" w:cs="宋体"/>
                <w:szCs w:val="21"/>
              </w:rPr>
            </w:pPr>
            <w:r>
              <w:rPr>
                <w:rFonts w:hint="eastAsia" w:ascii="宋体" w:hAnsi="宋体" w:cs="宋体"/>
                <w:szCs w:val="21"/>
              </w:rPr>
              <w:t>9、支持NFC</w:t>
            </w:r>
          </w:p>
          <w:p>
            <w:pPr>
              <w:rPr>
                <w:rFonts w:ascii="宋体" w:hAnsi="宋体" w:cs="宋体"/>
                <w:szCs w:val="21"/>
              </w:rPr>
            </w:pPr>
            <w:r>
              <w:rPr>
                <w:rFonts w:hint="eastAsia" w:ascii="宋体" w:hAnsi="宋体" w:cs="宋体"/>
                <w:szCs w:val="21"/>
              </w:rPr>
              <w:t>10、支持GPS+BD或GPS+GLONASS</w:t>
            </w:r>
          </w:p>
          <w:p>
            <w:pPr>
              <w:rPr>
                <w:rFonts w:ascii="宋体" w:hAnsi="宋体" w:cs="宋体"/>
                <w:szCs w:val="21"/>
              </w:rPr>
            </w:pPr>
            <w:r>
              <w:rPr>
                <w:rFonts w:hint="eastAsia" w:ascii="宋体" w:hAnsi="宋体" w:cs="宋体"/>
                <w:szCs w:val="21"/>
              </w:rPr>
              <w:t>★11、支持IP68防护等级</w:t>
            </w:r>
          </w:p>
          <w:p>
            <w:pPr>
              <w:rPr>
                <w:rFonts w:ascii="宋体" w:hAnsi="宋体" w:cs="宋体"/>
                <w:szCs w:val="21"/>
              </w:rPr>
            </w:pPr>
            <w:r>
              <w:rPr>
                <w:rFonts w:hint="eastAsia" w:ascii="宋体" w:hAnsi="宋体" w:cs="宋体"/>
                <w:szCs w:val="21"/>
              </w:rPr>
              <w:t>12、备有专用背夹和座充</w:t>
            </w:r>
          </w:p>
          <w:p>
            <w:pPr>
              <w:rPr>
                <w:rFonts w:ascii="宋体" w:hAnsi="宋体" w:cs="宋体"/>
                <w:szCs w:val="21"/>
              </w:rPr>
            </w:pPr>
            <w:r>
              <w:rPr>
                <w:rFonts w:hint="eastAsia" w:ascii="宋体" w:hAnsi="宋体" w:cs="宋体"/>
                <w:szCs w:val="21"/>
              </w:rPr>
              <w:t>★13、高亮手电筒</w:t>
            </w:r>
          </w:p>
          <w:p>
            <w:pPr>
              <w:rPr>
                <w:rFonts w:ascii="宋体" w:hAnsi="宋体" w:cs="宋体"/>
                <w:color w:val="000000"/>
                <w:szCs w:val="21"/>
              </w:rPr>
            </w:pPr>
            <w:r>
              <w:rPr>
                <w:rFonts w:hint="eastAsia" w:ascii="宋体" w:hAnsi="宋体" w:cs="宋体"/>
                <w:szCs w:val="21"/>
              </w:rPr>
              <w:t>★14、支持加速度器/ 地磁/距离/光线/三轴陀螺仪（光/距离传感器）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3"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执法记录仪</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w:t>
            </w:r>
          </w:p>
        </w:tc>
        <w:tc>
          <w:tcPr>
            <w:tcW w:w="7044" w:type="dxa"/>
            <w:shd w:val="clear" w:color="auto" w:fill="auto"/>
            <w:tcMar>
              <w:top w:w="15" w:type="dxa"/>
              <w:left w:w="15" w:type="dxa"/>
              <w:right w:w="15" w:type="dxa"/>
            </w:tcMar>
            <w:vAlign w:val="center"/>
          </w:tcPr>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bCs/>
                <w:color w:val="000000"/>
                <w:szCs w:val="21"/>
              </w:rPr>
              <w:t>执法记录仪存储容量应≥32GB。（存储容量大小以实际供货为准，可不在检测报告中体现）</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bCs/>
                <w:color w:val="000000"/>
                <w:szCs w:val="21"/>
              </w:rPr>
              <w:t>外形尺寸、质量：执法记录仪外形尺寸（背夹、外接设备除外）应≤85×60×30mm（长×宽×高），</w:t>
            </w:r>
            <w:r>
              <w:rPr>
                <w:rFonts w:hint="eastAsia" w:ascii="宋体" w:hAnsi="宋体" w:cs="宋体"/>
                <w:bCs/>
                <w:color w:val="000000"/>
                <w:kern w:val="0"/>
                <w:szCs w:val="21"/>
              </w:rPr>
              <w:t>质量（外接设备除外）应</w:t>
            </w:r>
            <w:r>
              <w:rPr>
                <w:rFonts w:hint="eastAsia" w:ascii="宋体" w:hAnsi="宋体" w:cs="宋体"/>
                <w:bCs/>
                <w:color w:val="000000"/>
                <w:szCs w:val="21"/>
              </w:rPr>
              <w:t>≤190g。</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bCs/>
                <w:color w:val="000000"/>
                <w:szCs w:val="21"/>
              </w:rPr>
              <w:t>显示屏：执法记录仪应具有彩色显示屏，显示屏对角线尺寸应≥2.0in，显示全场白测试信号时的最大亮度应≥250cd/㎡，全场白和全场黑测试信号亮度值的比应≥400:1。</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bCs/>
                <w:color w:val="000000"/>
                <w:szCs w:val="21"/>
              </w:rPr>
              <w:t>计时误差：执法记录仪的时间与标准时的计时误差应≤3s/天。</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bCs/>
                <w:color w:val="000000"/>
                <w:szCs w:val="21"/>
              </w:rPr>
              <w:t>移动侦测：</w:t>
            </w:r>
            <w:r>
              <w:rPr>
                <w:rFonts w:hint="eastAsia" w:ascii="宋体" w:hAnsi="宋体" w:cs="宋体"/>
                <w:bCs/>
                <w:color w:val="000000"/>
                <w:kern w:val="0"/>
                <w:szCs w:val="21"/>
              </w:rPr>
              <w:t>执法记录仪</w:t>
            </w:r>
            <w:r>
              <w:rPr>
                <w:rFonts w:hint="eastAsia" w:ascii="宋体" w:hAnsi="宋体" w:cs="宋体"/>
                <w:bCs/>
                <w:color w:val="000000"/>
                <w:szCs w:val="21"/>
              </w:rPr>
              <w:t>在预览模式，静止画面中出现移动物体时自动开启录像。</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color w:val="000000"/>
                <w:kern w:val="0"/>
                <w:szCs w:val="21"/>
              </w:rPr>
              <w:t>★</w:t>
            </w:r>
            <w:r>
              <w:rPr>
                <w:rFonts w:hint="eastAsia" w:ascii="宋体" w:hAnsi="宋体" w:cs="宋体"/>
                <w:bCs/>
                <w:color w:val="000000"/>
                <w:szCs w:val="21"/>
              </w:rPr>
              <w:t>接口功能：执法记录仪可通过Type-C接口传输数据及充电。</w:t>
            </w:r>
          </w:p>
          <w:p>
            <w:pPr>
              <w:numPr>
                <w:ilvl w:val="0"/>
                <w:numId w:val="7"/>
              </w:numPr>
              <w:adjustRightInd w:val="0"/>
              <w:snapToGrid w:val="0"/>
              <w:spacing w:line="276" w:lineRule="auto"/>
              <w:jc w:val="left"/>
              <w:rPr>
                <w:rFonts w:ascii="宋体" w:hAnsi="宋体" w:cs="宋体"/>
                <w:color w:val="000000"/>
                <w:szCs w:val="21"/>
              </w:rPr>
            </w:pPr>
            <w:r>
              <w:rPr>
                <w:rFonts w:hint="eastAsia" w:ascii="宋体" w:hAnsi="宋体" w:cs="宋体"/>
                <w:bCs/>
                <w:color w:val="000000"/>
                <w:szCs w:val="21"/>
              </w:rPr>
              <w:t>紧急摄录：</w:t>
            </w:r>
            <w:r>
              <w:rPr>
                <w:rFonts w:hint="eastAsia" w:ascii="宋体" w:hAnsi="宋体" w:cs="宋体"/>
                <w:bCs/>
                <w:color w:val="000000"/>
                <w:kern w:val="0"/>
                <w:szCs w:val="21"/>
              </w:rPr>
              <w:t>执法记录仪</w:t>
            </w:r>
            <w:r>
              <w:rPr>
                <w:rFonts w:hint="eastAsia" w:ascii="宋体" w:hAnsi="宋体" w:cs="宋体"/>
                <w:bCs/>
                <w:color w:val="000000"/>
                <w:szCs w:val="21"/>
              </w:rPr>
              <w:t>在紧急摄录功能开启状态下，录像过程中发生撞击时，可自动保存录像文件并重新进入摄录模式，在待机状态下发生撞击时，可自动进入摄录模式。</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bCs/>
                <w:color w:val="000000"/>
                <w:szCs w:val="21"/>
              </w:rPr>
              <w:t>几何失真：执法记录仪记录的视频在生产厂声明的所有分辨率条件下几何失真应≤15% 。</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bCs/>
                <w:color w:val="000000"/>
                <w:szCs w:val="21"/>
              </w:rPr>
              <w:t>视场角：执法记录仪摄像头的水平视场角在生产厂声明的所有分辨率条件下均应≥125°。</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color w:val="000000"/>
                <w:kern w:val="0"/>
                <w:szCs w:val="21"/>
              </w:rPr>
              <w:t>★</w:t>
            </w:r>
            <w:r>
              <w:rPr>
                <w:rFonts w:hint="eastAsia" w:ascii="宋体" w:hAnsi="宋体" w:cs="宋体"/>
                <w:bCs/>
                <w:color w:val="000000"/>
                <w:szCs w:val="21"/>
              </w:rPr>
              <w:t>池工作时间：</w:t>
            </w:r>
            <w:r>
              <w:rPr>
                <w:rFonts w:hint="eastAsia" w:ascii="宋体" w:hAnsi="宋体" w:cs="宋体"/>
                <w:bCs/>
                <w:color w:val="000000"/>
                <w:kern w:val="0"/>
                <w:szCs w:val="21"/>
              </w:rPr>
              <w:t>执法记录仪采用内置可更换电池供电</w:t>
            </w:r>
            <w:r>
              <w:rPr>
                <w:rFonts w:hint="eastAsia" w:ascii="宋体" w:hAnsi="宋体" w:cs="宋体"/>
                <w:bCs/>
                <w:color w:val="000000"/>
                <w:szCs w:val="21"/>
              </w:rPr>
              <w:t>，更换一次电池条件下，电池工作时间应满足连续摄录时间≥22h。</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bCs/>
                <w:color w:val="000000"/>
                <w:szCs w:val="21"/>
              </w:rPr>
              <w:t>视频性能：执法记录仪支持录制分辨率为2560×1440的视频，帧率为30帧/s。</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color w:val="000000"/>
                <w:kern w:val="0"/>
                <w:szCs w:val="21"/>
              </w:rPr>
              <w:t>★</w:t>
            </w:r>
            <w:r>
              <w:rPr>
                <w:rFonts w:hint="eastAsia" w:ascii="宋体" w:hAnsi="宋体" w:cs="宋体"/>
                <w:bCs/>
                <w:color w:val="000000"/>
                <w:szCs w:val="21"/>
              </w:rPr>
              <w:t>视频防抖设置：</w:t>
            </w:r>
            <w:r>
              <w:rPr>
                <w:rFonts w:hint="eastAsia" w:ascii="宋体" w:hAnsi="宋体" w:cs="宋体"/>
                <w:bCs/>
                <w:color w:val="000000"/>
                <w:kern w:val="0"/>
                <w:szCs w:val="21"/>
              </w:rPr>
              <w:t>执法记录仪</w:t>
            </w:r>
            <w:r>
              <w:rPr>
                <w:rFonts w:hint="eastAsia" w:ascii="宋体" w:hAnsi="宋体" w:cs="宋体"/>
                <w:bCs/>
                <w:color w:val="000000"/>
                <w:szCs w:val="21"/>
              </w:rPr>
              <w:t>可通过菜单开启/关闭视频防抖功能。</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bCs/>
                <w:color w:val="000000"/>
                <w:szCs w:val="21"/>
              </w:rPr>
              <w:t>视音频预录功能：执法记录仪应能在标称最大分辨率下预录触发前≥10s的视音频信息。</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bCs/>
                <w:color w:val="000000"/>
                <w:szCs w:val="21"/>
              </w:rPr>
              <w:t>照片分辨力：执法记录仪在生产厂声明的所有分辨率条件下拍摄的照片分辨力均应≥800线。</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color w:val="000000"/>
                <w:kern w:val="0"/>
                <w:szCs w:val="21"/>
              </w:rPr>
              <w:t>★</w:t>
            </w:r>
            <w:r>
              <w:rPr>
                <w:rFonts w:hint="eastAsia" w:ascii="宋体" w:hAnsi="宋体" w:cs="宋体"/>
                <w:bCs/>
                <w:color w:val="000000"/>
                <w:szCs w:val="21"/>
              </w:rPr>
              <w:t>动态范围：</w:t>
            </w:r>
            <w:r>
              <w:rPr>
                <w:rFonts w:hint="eastAsia" w:ascii="宋体" w:hAnsi="宋体" w:cs="宋体"/>
                <w:bCs/>
                <w:color w:val="000000"/>
                <w:kern w:val="0"/>
                <w:szCs w:val="21"/>
              </w:rPr>
              <w:t>执法记录仪</w:t>
            </w:r>
            <w:r>
              <w:rPr>
                <w:rFonts w:hint="eastAsia" w:ascii="宋体" w:hAnsi="宋体" w:cs="宋体"/>
                <w:bCs/>
                <w:color w:val="000000"/>
                <w:szCs w:val="21"/>
              </w:rPr>
              <w:t>可通过菜单开启/关闭HDR功能，动态范围≥70dB。</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bCs/>
                <w:color w:val="000000"/>
                <w:szCs w:val="21"/>
              </w:rPr>
              <w:t>一键切换分辨率：在待机状态下，可通过一次按键实现1440P、1080P、720P等分辨率之间的切换。</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bCs/>
                <w:color w:val="000000"/>
                <w:szCs w:val="21"/>
              </w:rPr>
              <w:t>录制文件大小：执法记录仪支持H．265编码方式，在H．265编码开启状态下，2560×1440分辨率、30帧/s条件下 1小时录制文件大小≤3GB。</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color w:val="000000"/>
                <w:kern w:val="0"/>
                <w:szCs w:val="21"/>
              </w:rPr>
              <w:t>★</w:t>
            </w:r>
            <w:r>
              <w:rPr>
                <w:rFonts w:hint="eastAsia" w:ascii="宋体" w:hAnsi="宋体" w:cs="宋体"/>
                <w:bCs/>
                <w:color w:val="000000"/>
                <w:szCs w:val="21"/>
              </w:rPr>
              <w:t>低温试验：</w:t>
            </w:r>
            <w:r>
              <w:rPr>
                <w:rFonts w:hint="eastAsia" w:ascii="宋体" w:hAnsi="宋体" w:cs="宋体"/>
                <w:bCs/>
                <w:color w:val="000000"/>
                <w:kern w:val="0"/>
                <w:szCs w:val="21"/>
              </w:rPr>
              <w:t>温度（-30±3）℃，</w:t>
            </w:r>
            <w:r>
              <w:rPr>
                <w:rFonts w:hint="eastAsia" w:ascii="宋体" w:hAnsi="宋体" w:cs="宋体"/>
                <w:bCs/>
                <w:color w:val="000000"/>
                <w:szCs w:val="21"/>
              </w:rPr>
              <w:t>更换一次电池条件下，</w:t>
            </w:r>
            <w:r>
              <w:rPr>
                <w:rFonts w:hint="eastAsia" w:ascii="宋体" w:hAnsi="宋体" w:cs="宋体"/>
                <w:bCs/>
                <w:color w:val="000000"/>
                <w:kern w:val="0"/>
                <w:szCs w:val="21"/>
              </w:rPr>
              <w:t>持续时间≥12h，试验期间执法记录仪处于工作状态，实验过程中不应发生状态改变，试验后执法记录仪应能正常工作。</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bCs/>
                <w:color w:val="000000"/>
                <w:szCs w:val="21"/>
              </w:rPr>
              <w:t>开机时间：执法记录仪从按下开机键到进入取景预览模式所用时间应≤5s。</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bCs/>
                <w:color w:val="000000"/>
                <w:szCs w:val="21"/>
              </w:rPr>
              <w:t>外壳防护等级：</w:t>
            </w:r>
            <w:r>
              <w:rPr>
                <w:rFonts w:hint="eastAsia" w:ascii="宋体" w:hAnsi="宋体" w:cs="宋体"/>
                <w:bCs/>
                <w:color w:val="000000"/>
                <w:kern w:val="0"/>
                <w:szCs w:val="21"/>
              </w:rPr>
              <w:t>执法记录仪外壳防护等级应</w:t>
            </w:r>
            <w:r>
              <w:rPr>
                <w:rFonts w:hint="eastAsia" w:ascii="宋体" w:hAnsi="宋体" w:cs="宋体"/>
                <w:bCs/>
                <w:color w:val="000000"/>
                <w:szCs w:val="21"/>
              </w:rPr>
              <w:t>≥IP68（水深1m、持续2h）。</w:t>
            </w:r>
          </w:p>
          <w:p>
            <w:pPr>
              <w:numPr>
                <w:ilvl w:val="0"/>
                <w:numId w:val="7"/>
              </w:numPr>
              <w:adjustRightInd w:val="0"/>
              <w:snapToGrid w:val="0"/>
              <w:spacing w:line="276" w:lineRule="auto"/>
              <w:jc w:val="left"/>
              <w:rPr>
                <w:rFonts w:ascii="宋体" w:hAnsi="宋体" w:cs="宋体"/>
                <w:bCs/>
                <w:color w:val="000000"/>
                <w:kern w:val="0"/>
                <w:szCs w:val="21"/>
              </w:rPr>
            </w:pPr>
            <w:r>
              <w:rPr>
                <w:rFonts w:hint="eastAsia" w:ascii="宋体" w:hAnsi="宋体" w:cs="宋体"/>
                <w:color w:val="000000"/>
                <w:kern w:val="0"/>
                <w:szCs w:val="21"/>
              </w:rPr>
              <w:t>★</w:t>
            </w:r>
            <w:r>
              <w:rPr>
                <w:rFonts w:hint="eastAsia" w:ascii="宋体" w:hAnsi="宋体" w:cs="宋体"/>
                <w:bCs/>
                <w:color w:val="000000"/>
                <w:kern w:val="0"/>
                <w:szCs w:val="21"/>
              </w:rPr>
              <w:t>记步功能：执法记录仪可通过菜单开启/关闭记步功能，开机后打开记步功能，记录仪佩戴在肩部进行步数统计，可在预览界面显示当天累计步数值。</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bCs/>
                <w:color w:val="000000"/>
                <w:szCs w:val="21"/>
              </w:rPr>
              <w:t>标识检验：执法记录仪外表面上应有警徽图案，警徽图案应符合GA 244的规定。</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bCs/>
                <w:color w:val="000000"/>
                <w:szCs w:val="21"/>
              </w:rPr>
              <w:t>用户信息显示：执法记录仪可在开机界面显示用户姓名、用户编号、单位名称和单位编号。</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bCs/>
                <w:color w:val="000000"/>
                <w:szCs w:val="21"/>
              </w:rPr>
              <w:t>电池充电时间：电池充电时间应≤6h。</w:t>
            </w:r>
          </w:p>
          <w:p>
            <w:pPr>
              <w:numPr>
                <w:ilvl w:val="0"/>
                <w:numId w:val="7"/>
              </w:numPr>
              <w:adjustRightInd w:val="0"/>
              <w:snapToGrid w:val="0"/>
              <w:spacing w:line="276" w:lineRule="auto"/>
              <w:jc w:val="left"/>
              <w:rPr>
                <w:rFonts w:ascii="宋体" w:hAnsi="宋体" w:cs="宋体"/>
                <w:bCs/>
                <w:color w:val="000000"/>
                <w:kern w:val="0"/>
                <w:szCs w:val="21"/>
              </w:rPr>
            </w:pPr>
            <w:r>
              <w:rPr>
                <w:rFonts w:hint="eastAsia" w:ascii="宋体" w:hAnsi="宋体" w:cs="宋体"/>
                <w:color w:val="000000"/>
                <w:kern w:val="0"/>
                <w:szCs w:val="21"/>
              </w:rPr>
              <w:t>★</w:t>
            </w:r>
            <w:r>
              <w:rPr>
                <w:rFonts w:hint="eastAsia" w:ascii="宋体" w:hAnsi="宋体" w:cs="宋体"/>
                <w:bCs/>
                <w:color w:val="000000"/>
                <w:kern w:val="0"/>
                <w:szCs w:val="21"/>
              </w:rPr>
              <w:t>负氧离子功能：执法记录仪可通过按键、菜单开启/关闭负氧离子功能。</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bCs/>
                <w:color w:val="000000"/>
                <w:szCs w:val="21"/>
              </w:rPr>
              <w:t>夜视功能：执法记录仪应具有夜视功能，在开启夜视功能后，有效拍摄距离≥3m处应能看清人物面部特征；红外补光范围在3m处应覆盖摄录画面95%以上面积。</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bCs/>
                <w:color w:val="000000"/>
                <w:szCs w:val="21"/>
              </w:rPr>
              <w:t>语音播报：执法记录仪具有语音播报功能，开启后可在开机、录像、录音、重点文件标记时进行语音播报，并具有录像时长播报及整点报时功能。</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bCs/>
                <w:color w:val="000000"/>
                <w:szCs w:val="21"/>
              </w:rPr>
              <w:t>最大记录间隔时间：执法记录仪采用自动分段记录方式记录时，相邻两段间最大记录间隔时间应≤0.1s。</w:t>
            </w:r>
          </w:p>
          <w:p>
            <w:pPr>
              <w:numPr>
                <w:ilvl w:val="0"/>
                <w:numId w:val="7"/>
              </w:numPr>
              <w:adjustRightInd w:val="0"/>
              <w:snapToGrid w:val="0"/>
              <w:spacing w:line="276" w:lineRule="auto"/>
              <w:jc w:val="left"/>
              <w:rPr>
                <w:rFonts w:ascii="宋体" w:hAnsi="宋体" w:cs="宋体"/>
                <w:bCs/>
                <w:color w:val="000000"/>
                <w:szCs w:val="21"/>
              </w:rPr>
            </w:pPr>
            <w:r>
              <w:rPr>
                <w:rFonts w:hint="eastAsia" w:ascii="宋体" w:hAnsi="宋体" w:cs="宋体"/>
                <w:bCs/>
                <w:color w:val="000000"/>
                <w:szCs w:val="21"/>
              </w:rPr>
              <w:t>定时/延时拍照：执法记录仪具有定时拍照和延时拍照功能，可通过管理软件设置间隔时间。</w:t>
            </w:r>
          </w:p>
          <w:p>
            <w:pPr>
              <w:widowControl/>
              <w:jc w:val="left"/>
              <w:textAlignment w:val="center"/>
              <w:rPr>
                <w:rFonts w:ascii="宋体" w:hAnsi="宋体" w:cs="宋体"/>
                <w:bCs/>
                <w:color w:val="000000"/>
                <w:szCs w:val="21"/>
              </w:rPr>
            </w:pPr>
            <w:r>
              <w:rPr>
                <w:rFonts w:hint="eastAsia" w:ascii="宋体" w:hAnsi="宋体" w:cs="宋体"/>
                <w:color w:val="000000"/>
                <w:kern w:val="0"/>
                <w:szCs w:val="21"/>
              </w:rPr>
              <w:t>★30.</w:t>
            </w:r>
            <w:r>
              <w:rPr>
                <w:rFonts w:hint="eastAsia" w:ascii="宋体" w:hAnsi="宋体" w:cs="宋体"/>
                <w:bCs/>
                <w:color w:val="000000"/>
                <w:szCs w:val="21"/>
              </w:rPr>
              <w:t>菜单设置：执法记录仪可通过本机菜单设置摄像/拍照分辨率、录像分段时长、红外类型、音量大小、屏幕亮度、语音提示、自动关机、移动侦测等。</w:t>
            </w:r>
          </w:p>
          <w:p>
            <w:pPr>
              <w:widowControl/>
              <w:jc w:val="left"/>
              <w:textAlignment w:val="center"/>
              <w:rPr>
                <w:rFonts w:ascii="宋体" w:hAnsi="宋体" w:cs="宋体"/>
                <w:bCs/>
                <w:color w:val="000000"/>
                <w:szCs w:val="21"/>
              </w:rPr>
            </w:pPr>
            <w:r>
              <w:rPr>
                <w:rFonts w:hint="eastAsia" w:ascii="宋体" w:hAnsi="宋体" w:cs="宋体"/>
                <w:color w:val="000000"/>
                <w:kern w:val="0"/>
                <w:szCs w:val="21"/>
              </w:rPr>
              <w:t>★31.</w:t>
            </w:r>
            <w:r>
              <w:rPr>
                <w:rFonts w:hint="eastAsia" w:ascii="宋体" w:hAnsi="宋体" w:cs="宋体"/>
                <w:color w:val="000000"/>
                <w:szCs w:val="21"/>
              </w:rPr>
              <w:t>需提供检测报告原件或复印件加盖生产厂商公章。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警务工作包</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副</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7044" w:type="dxa"/>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1、材质：1680D牛津布</w:t>
            </w:r>
            <w:r>
              <w:rPr>
                <w:rFonts w:hint="eastAsia" w:ascii="宋体" w:hAnsi="宋体" w:cs="宋体"/>
                <w:color w:val="000000"/>
                <w:kern w:val="0"/>
                <w:szCs w:val="21"/>
              </w:rPr>
              <w:br w:type="textWrapping"/>
            </w:r>
            <w:r>
              <w:rPr>
                <w:rFonts w:hint="eastAsia" w:ascii="宋体" w:hAnsi="宋体" w:cs="宋体"/>
                <w:color w:val="000000"/>
                <w:kern w:val="0"/>
                <w:szCs w:val="21"/>
              </w:rPr>
              <w:t>2、缝纫针密度：7针/30㎜~9针/30㎜；</w:t>
            </w:r>
            <w:r>
              <w:rPr>
                <w:rFonts w:hint="eastAsia" w:ascii="宋体" w:hAnsi="宋体" w:cs="宋体"/>
                <w:color w:val="000000"/>
                <w:kern w:val="0"/>
                <w:szCs w:val="21"/>
              </w:rPr>
              <w:br w:type="textWrapping"/>
            </w:r>
            <w:r>
              <w:rPr>
                <w:rFonts w:hint="eastAsia" w:ascii="宋体" w:hAnsi="宋体" w:cs="宋体"/>
                <w:color w:val="000000"/>
                <w:kern w:val="0"/>
                <w:szCs w:val="21"/>
              </w:rPr>
              <w:t>3、耐摩擦色牢度干摩4级~5级，湿摩3级~4级；</w:t>
            </w:r>
            <w:r>
              <w:rPr>
                <w:rFonts w:hint="eastAsia" w:ascii="宋体" w:hAnsi="宋体" w:cs="宋体"/>
                <w:color w:val="000000"/>
                <w:kern w:val="0"/>
                <w:szCs w:val="21"/>
              </w:rPr>
              <w:br w:type="textWrapping"/>
            </w:r>
            <w:r>
              <w:rPr>
                <w:rFonts w:hint="eastAsia" w:ascii="宋体" w:hAnsi="宋体" w:cs="宋体"/>
                <w:color w:val="000000"/>
                <w:kern w:val="0"/>
                <w:szCs w:val="21"/>
              </w:rPr>
              <w:t>4、耐刷洗色牢度≥3级~4级；</w:t>
            </w:r>
            <w:r>
              <w:rPr>
                <w:rFonts w:hint="eastAsia" w:ascii="宋体" w:hAnsi="宋体" w:cs="宋体"/>
                <w:color w:val="000000"/>
                <w:kern w:val="0"/>
                <w:szCs w:val="21"/>
              </w:rPr>
              <w:br w:type="textWrapping"/>
            </w:r>
            <w:r>
              <w:rPr>
                <w:rFonts w:hint="eastAsia" w:ascii="宋体" w:hAnsi="宋体" w:cs="宋体"/>
                <w:color w:val="000000"/>
                <w:kern w:val="0"/>
                <w:szCs w:val="21"/>
              </w:rPr>
              <w:t>5、耐光色牢度≥5级；</w:t>
            </w:r>
            <w:r>
              <w:rPr>
                <w:rFonts w:hint="eastAsia" w:ascii="宋体" w:hAnsi="宋体" w:cs="宋体"/>
                <w:color w:val="000000"/>
                <w:kern w:val="0"/>
                <w:szCs w:val="21"/>
              </w:rPr>
              <w:br w:type="textWrapping"/>
            </w:r>
            <w:r>
              <w:rPr>
                <w:rFonts w:hint="eastAsia" w:ascii="宋体" w:hAnsi="宋体" w:cs="宋体"/>
                <w:color w:val="000000"/>
                <w:kern w:val="0"/>
                <w:szCs w:val="21"/>
              </w:rPr>
              <w:t>6、抗拉强力≥800N；</w:t>
            </w:r>
            <w:r>
              <w:rPr>
                <w:rFonts w:hint="eastAsia" w:ascii="宋体" w:hAnsi="宋体" w:cs="宋体"/>
                <w:color w:val="000000"/>
                <w:kern w:val="0"/>
                <w:szCs w:val="21"/>
              </w:rPr>
              <w:br w:type="textWrapping"/>
            </w:r>
            <w:r>
              <w:rPr>
                <w:rFonts w:hint="eastAsia" w:ascii="宋体" w:hAnsi="宋体" w:cs="宋体"/>
                <w:color w:val="000000"/>
                <w:kern w:val="0"/>
                <w:szCs w:val="21"/>
              </w:rPr>
              <w:t>7、拉链平拉强力≥600N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5"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警用一次性手铐</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45</w:t>
            </w:r>
          </w:p>
        </w:tc>
        <w:tc>
          <w:tcPr>
            <w:tcW w:w="7044" w:type="dxa"/>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1、材质：增强尼龙</w:t>
            </w:r>
            <w:r>
              <w:rPr>
                <w:rFonts w:hint="eastAsia" w:ascii="宋体" w:hAnsi="宋体" w:cs="宋体"/>
                <w:color w:val="000000"/>
                <w:kern w:val="0"/>
                <w:szCs w:val="21"/>
              </w:rPr>
              <w:br w:type="textWrapping"/>
            </w:r>
            <w:r>
              <w:rPr>
                <w:rFonts w:hint="eastAsia" w:ascii="宋体" w:hAnsi="宋体" w:cs="宋体"/>
                <w:color w:val="000000"/>
                <w:kern w:val="0"/>
                <w:szCs w:val="21"/>
              </w:rPr>
              <w:t>2、抗拉伸断强力：≥500N；</w:t>
            </w:r>
            <w:r>
              <w:rPr>
                <w:rFonts w:hint="eastAsia" w:ascii="宋体" w:hAnsi="宋体" w:cs="宋体"/>
                <w:color w:val="000000"/>
                <w:kern w:val="0"/>
                <w:szCs w:val="21"/>
              </w:rPr>
              <w:br w:type="textWrapping"/>
            </w:r>
            <w:r>
              <w:rPr>
                <w:rFonts w:hint="eastAsia" w:ascii="宋体" w:hAnsi="宋体" w:cs="宋体"/>
                <w:color w:val="000000"/>
                <w:kern w:val="0"/>
                <w:szCs w:val="21"/>
              </w:rPr>
              <w:t>3、对单铐施加500N拉力保持30S，实验中塑料单铐不被打开或断裂。</w:t>
            </w:r>
            <w:r>
              <w:rPr>
                <w:rFonts w:hint="eastAsia" w:ascii="宋体" w:hAnsi="宋体" w:cs="宋体"/>
                <w:color w:val="000000"/>
                <w:kern w:val="0"/>
                <w:szCs w:val="21"/>
              </w:rPr>
              <w:br w:type="textWrapping"/>
            </w:r>
            <w:r>
              <w:rPr>
                <w:rFonts w:hint="eastAsia" w:ascii="宋体" w:hAnsi="宋体" w:cs="宋体"/>
                <w:color w:val="000000"/>
                <w:kern w:val="0"/>
                <w:szCs w:val="21"/>
              </w:rPr>
              <w:t>4、环境适应性：-20℃~55℃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警用约束带</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7044" w:type="dxa"/>
            <w:shd w:val="clear" w:color="auto" w:fill="auto"/>
            <w:tcMar>
              <w:top w:w="15" w:type="dxa"/>
              <w:left w:w="15" w:type="dxa"/>
              <w:right w:w="15" w:type="dxa"/>
            </w:tcMar>
            <w:vAlign w:val="center"/>
          </w:tcPr>
          <w:p>
            <w:pPr>
              <w:widowControl/>
              <w:numPr>
                <w:ilvl w:val="0"/>
                <w:numId w:val="8"/>
              </w:numPr>
              <w:jc w:val="left"/>
              <w:textAlignment w:val="center"/>
              <w:rPr>
                <w:rFonts w:ascii="宋体" w:hAnsi="宋体" w:cs="宋体"/>
                <w:color w:val="000000"/>
                <w:kern w:val="0"/>
                <w:szCs w:val="21"/>
              </w:rPr>
            </w:pPr>
            <w:r>
              <w:rPr>
                <w:rFonts w:hint="eastAsia" w:ascii="宋体" w:hAnsi="宋体" w:cs="宋体"/>
                <w:color w:val="000000"/>
                <w:kern w:val="0"/>
                <w:szCs w:val="21"/>
              </w:rPr>
              <w:t>结构：警用约束带由脚腕束缚带、手腕束缚带、肘臂束缚带等组成，带体使用尼龙编织带制成；</w:t>
            </w:r>
          </w:p>
          <w:p>
            <w:pPr>
              <w:widowControl/>
              <w:numPr>
                <w:ilvl w:val="0"/>
                <w:numId w:val="8"/>
              </w:numPr>
              <w:jc w:val="left"/>
              <w:textAlignment w:val="center"/>
              <w:rPr>
                <w:rFonts w:ascii="宋体" w:hAnsi="宋体" w:cs="宋体"/>
                <w:color w:val="000000"/>
                <w:kern w:val="0"/>
                <w:szCs w:val="21"/>
              </w:rPr>
            </w:pPr>
            <w:r>
              <w:rPr>
                <w:rFonts w:hint="eastAsia" w:ascii="宋体" w:hAnsi="宋体" w:cs="宋体"/>
                <w:color w:val="000000"/>
                <w:kern w:val="0"/>
                <w:szCs w:val="21"/>
              </w:rPr>
              <w:t>材质：使用尼龙6编织带材质制成的带体，规格分为50mm和60mm两种规格；</w:t>
            </w:r>
          </w:p>
          <w:p>
            <w:pPr>
              <w:widowControl/>
              <w:numPr>
                <w:ilvl w:val="0"/>
                <w:numId w:val="8"/>
              </w:numPr>
              <w:jc w:val="left"/>
              <w:textAlignment w:val="center"/>
              <w:rPr>
                <w:rFonts w:ascii="宋体" w:hAnsi="宋体" w:cs="宋体"/>
                <w:color w:val="000000"/>
                <w:kern w:val="0"/>
                <w:szCs w:val="21"/>
              </w:rPr>
            </w:pPr>
            <w:r>
              <w:rPr>
                <w:rFonts w:hint="eastAsia" w:ascii="宋体" w:hAnsi="宋体" w:cs="宋体"/>
                <w:color w:val="000000"/>
                <w:kern w:val="0"/>
                <w:szCs w:val="21"/>
              </w:rPr>
              <w:t>尺寸： 脚腕束缚带由左、右脚腕带、锁扣和连接链组成，脚腕带宽50mm，脚腕带扣合长度可调节，内周长最小为270mm，最大位370mm；调节孔应为单孔或双孔，间距为35mm。连接链长280mm。手腕束缚带由尼龙编织带制成的腰带、左、右手腕带、金属锁扣和金属链连接组成。腰带宽60mm，腰带扣合长度可调节，腰带长度按扣合后内周长分为三个规格尺寸，见表1，调节孔应为单孔或双孔，间距为55mm。手腕带宽50mm，内周长最小为195mm，最大205mm，调节孔应为单孔或双孔，间距为30mm。金属连接链总长280mm；肘臂束缚带有尼龙编织带制成，宽50mm，可调节长度800mm～1075mm，调节孔应为单孔或双孔，间距为55mm；</w:t>
            </w:r>
          </w:p>
          <w:p>
            <w:pPr>
              <w:widowControl/>
              <w:numPr>
                <w:ilvl w:val="0"/>
                <w:numId w:val="8"/>
              </w:numPr>
              <w:jc w:val="left"/>
              <w:textAlignment w:val="center"/>
              <w:rPr>
                <w:rFonts w:ascii="宋体" w:hAnsi="宋体" w:cs="宋体"/>
                <w:color w:val="000000"/>
                <w:kern w:val="0"/>
                <w:szCs w:val="21"/>
              </w:rPr>
            </w:pPr>
            <w:r>
              <w:rPr>
                <w:rFonts w:hint="eastAsia" w:ascii="宋体" w:hAnsi="宋体" w:cs="宋体"/>
                <w:szCs w:val="21"/>
              </w:rPr>
              <w:t>质量：863g；</w:t>
            </w:r>
          </w:p>
          <w:p>
            <w:pPr>
              <w:widowControl/>
              <w:numPr>
                <w:ilvl w:val="0"/>
                <w:numId w:val="8"/>
              </w:numPr>
              <w:jc w:val="left"/>
              <w:textAlignment w:val="center"/>
              <w:rPr>
                <w:rFonts w:ascii="宋体" w:hAnsi="宋体" w:cs="宋体"/>
                <w:color w:val="000000"/>
                <w:kern w:val="0"/>
                <w:szCs w:val="21"/>
              </w:rPr>
            </w:pPr>
            <w:r>
              <w:rPr>
                <w:rFonts w:hint="eastAsia" w:ascii="宋体" w:hAnsi="宋体" w:cs="宋体"/>
                <w:color w:val="000000"/>
                <w:kern w:val="0"/>
                <w:szCs w:val="21"/>
              </w:rPr>
              <w:t>抗拉强度：手腕束缚带、脚腕束缚带的金属连接件在承受4000N的静拉力后不应出现带体断裂、锁扣松脱的现象；手腕束缚带、脚腕束缚带、手腕束缚腰带、肘臂束缚带锁定点在承受4000N静拉力后锁定点不应出现任何脱落、滑脱现象；</w:t>
            </w:r>
          </w:p>
          <w:p>
            <w:pPr>
              <w:widowControl/>
              <w:numPr>
                <w:ilvl w:val="0"/>
                <w:numId w:val="8"/>
              </w:numPr>
              <w:jc w:val="left"/>
              <w:textAlignment w:val="center"/>
              <w:rPr>
                <w:rFonts w:ascii="宋体" w:hAnsi="宋体" w:cs="宋体"/>
                <w:color w:val="000000"/>
                <w:szCs w:val="21"/>
              </w:rPr>
            </w:pPr>
            <w:r>
              <w:rPr>
                <w:rFonts w:hint="eastAsia" w:ascii="宋体" w:hAnsi="宋体" w:cs="宋体"/>
                <w:color w:val="000000"/>
                <w:kern w:val="0"/>
                <w:szCs w:val="21"/>
              </w:rPr>
              <w:t>耐用度：警用约束带金属锁扣的工作次数≥6000次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2"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粘合式约束带</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7044" w:type="dxa"/>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szCs w:val="21"/>
              </w:rPr>
              <w:t>1、采用600牛津面料,尼龙毛刺搭粘固定、调节。具有操作简单,抗撕拉、断裂强度高等特点。</w:t>
            </w:r>
          </w:p>
          <w:p>
            <w:pPr>
              <w:widowControl/>
              <w:jc w:val="left"/>
              <w:textAlignment w:val="center"/>
              <w:rPr>
                <w:rFonts w:ascii="宋体" w:hAnsi="宋体" w:cs="宋体"/>
                <w:color w:val="000000"/>
                <w:szCs w:val="21"/>
              </w:rPr>
            </w:pPr>
            <w:r>
              <w:rPr>
                <w:rFonts w:hint="eastAsia" w:ascii="宋体" w:hAnsi="宋体" w:cs="宋体"/>
                <w:color w:val="000000"/>
                <w:szCs w:val="21"/>
              </w:rPr>
              <w:t>2、使用时只需从被约束对象的背后迅速将其连同两手臂一起抱住,抽出双手后,约束带自然固定,追使对方手臂及腰部无法动弹而失去反抗能力。是公安、保卫制止犯罪分子、酒疯子、精神病、吸毒人员等不法行为非常有效的约束器械。</w:t>
            </w:r>
          </w:p>
          <w:p>
            <w:pPr>
              <w:widowControl/>
              <w:jc w:val="left"/>
              <w:textAlignment w:val="center"/>
              <w:rPr>
                <w:rFonts w:ascii="宋体" w:hAnsi="宋体" w:cs="宋体"/>
                <w:color w:val="000000"/>
                <w:szCs w:val="21"/>
              </w:rPr>
            </w:pPr>
            <w:r>
              <w:rPr>
                <w:rFonts w:hint="eastAsia" w:ascii="宋体" w:hAnsi="宋体" w:cs="宋体"/>
                <w:color w:val="000000"/>
                <w:szCs w:val="21"/>
              </w:rPr>
              <w:t>3、质量:0.6kg</w:t>
            </w:r>
          </w:p>
          <w:p>
            <w:pPr>
              <w:widowControl/>
              <w:jc w:val="left"/>
              <w:textAlignment w:val="center"/>
              <w:rPr>
                <w:rFonts w:ascii="宋体" w:hAnsi="宋体" w:cs="宋体"/>
                <w:color w:val="000000"/>
                <w:szCs w:val="21"/>
              </w:rPr>
            </w:pPr>
            <w:r>
              <w:rPr>
                <w:rFonts w:hint="eastAsia" w:ascii="宋体" w:hAnsi="宋体" w:cs="宋体"/>
                <w:color w:val="000000"/>
                <w:szCs w:val="21"/>
              </w:rPr>
              <w:t>4、材质:600D牛津面料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2"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11</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PC防暴盾牌</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件</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c>
          <w:tcPr>
            <w:tcW w:w="7044" w:type="dxa"/>
            <w:shd w:val="clear" w:color="auto" w:fill="auto"/>
            <w:tcMar>
              <w:top w:w="15" w:type="dxa"/>
              <w:left w:w="15" w:type="dxa"/>
              <w:right w:w="15" w:type="dxa"/>
            </w:tcMar>
            <w:vAlign w:val="center"/>
          </w:tcPr>
          <w:p>
            <w:pPr>
              <w:widowControl/>
              <w:numPr>
                <w:ilvl w:val="0"/>
                <w:numId w:val="8"/>
              </w:numPr>
              <w:jc w:val="left"/>
              <w:textAlignment w:val="center"/>
              <w:rPr>
                <w:rFonts w:ascii="宋体" w:hAnsi="宋体" w:cs="宋体"/>
                <w:color w:val="000000"/>
                <w:kern w:val="0"/>
                <w:szCs w:val="21"/>
              </w:rPr>
            </w:pPr>
            <w:r>
              <w:rPr>
                <w:rFonts w:hint="eastAsia" w:ascii="宋体" w:hAnsi="宋体" w:cs="宋体"/>
                <w:color w:val="000000"/>
                <w:kern w:val="0"/>
                <w:szCs w:val="21"/>
              </w:rPr>
              <w:t>材质：盾体采用3.5mm厚PC板制成；</w:t>
            </w:r>
          </w:p>
          <w:p>
            <w:pPr>
              <w:widowControl/>
              <w:numPr>
                <w:ilvl w:val="0"/>
                <w:numId w:val="8"/>
              </w:numPr>
              <w:jc w:val="left"/>
              <w:textAlignment w:val="center"/>
              <w:rPr>
                <w:rFonts w:ascii="宋体" w:hAnsi="宋体" w:cs="宋体"/>
                <w:color w:val="000000"/>
                <w:kern w:val="0"/>
                <w:szCs w:val="21"/>
              </w:rPr>
            </w:pPr>
            <w:r>
              <w:rPr>
                <w:rFonts w:hint="eastAsia" w:ascii="宋体" w:hAnsi="宋体" w:cs="宋体"/>
                <w:color w:val="000000"/>
                <w:kern w:val="0"/>
                <w:szCs w:val="21"/>
              </w:rPr>
              <w:t>质量：＜4.0kg；</w:t>
            </w:r>
          </w:p>
          <w:p>
            <w:pPr>
              <w:widowControl/>
              <w:numPr>
                <w:ilvl w:val="0"/>
                <w:numId w:val="8"/>
              </w:numPr>
              <w:jc w:val="left"/>
              <w:textAlignment w:val="center"/>
              <w:rPr>
                <w:rFonts w:ascii="宋体" w:hAnsi="宋体" w:cs="宋体"/>
                <w:color w:val="000000"/>
                <w:kern w:val="0"/>
                <w:szCs w:val="21"/>
              </w:rPr>
            </w:pPr>
            <w:r>
              <w:rPr>
                <w:rFonts w:hint="eastAsia" w:ascii="宋体" w:hAnsi="宋体" w:cs="宋体"/>
                <w:color w:val="000000"/>
                <w:kern w:val="0"/>
                <w:szCs w:val="21"/>
              </w:rPr>
              <w:t>握把：盾牌的握把应便于握持、手感舒适，无毛刺、尖角等缺陷；</w:t>
            </w:r>
          </w:p>
          <w:p>
            <w:pPr>
              <w:widowControl/>
              <w:numPr>
                <w:ilvl w:val="0"/>
                <w:numId w:val="8"/>
              </w:numPr>
              <w:jc w:val="left"/>
              <w:textAlignment w:val="center"/>
              <w:rPr>
                <w:rFonts w:ascii="宋体" w:hAnsi="宋体" w:cs="宋体"/>
                <w:color w:val="000000"/>
                <w:kern w:val="0"/>
                <w:szCs w:val="21"/>
              </w:rPr>
            </w:pPr>
            <w:r>
              <w:rPr>
                <w:rFonts w:hint="eastAsia" w:ascii="宋体" w:hAnsi="宋体" w:cs="宋体"/>
                <w:color w:val="000000"/>
                <w:kern w:val="0"/>
                <w:szCs w:val="21"/>
              </w:rPr>
              <w:t>防护面积：≥0.45m²，盾牌宽度尺寸不小于0.5m；</w:t>
            </w:r>
          </w:p>
          <w:p>
            <w:pPr>
              <w:widowControl/>
              <w:numPr>
                <w:ilvl w:val="0"/>
                <w:numId w:val="8"/>
              </w:numPr>
              <w:jc w:val="left"/>
              <w:textAlignment w:val="center"/>
              <w:rPr>
                <w:rFonts w:ascii="宋体" w:hAnsi="宋体" w:cs="宋体"/>
                <w:color w:val="000000"/>
                <w:kern w:val="0"/>
                <w:szCs w:val="21"/>
              </w:rPr>
            </w:pPr>
            <w:r>
              <w:rPr>
                <w:rFonts w:hint="eastAsia" w:ascii="宋体" w:hAnsi="宋体" w:cs="宋体"/>
                <w:color w:val="000000"/>
                <w:kern w:val="0"/>
                <w:szCs w:val="21"/>
              </w:rPr>
              <w:t>握把连接强度：握把与盾体间的连接应能承受500N的拉力，不应有断裂、松动或脱落现象。；</w:t>
            </w:r>
          </w:p>
          <w:p>
            <w:pPr>
              <w:widowControl/>
              <w:numPr>
                <w:ilvl w:val="0"/>
                <w:numId w:val="8"/>
              </w:numPr>
              <w:jc w:val="left"/>
              <w:textAlignment w:val="center"/>
              <w:rPr>
                <w:rFonts w:ascii="宋体" w:hAnsi="宋体" w:cs="宋体"/>
                <w:color w:val="000000"/>
                <w:kern w:val="0"/>
                <w:szCs w:val="21"/>
              </w:rPr>
            </w:pPr>
            <w:r>
              <w:rPr>
                <w:rFonts w:hint="eastAsia" w:ascii="宋体" w:hAnsi="宋体" w:cs="宋体"/>
                <w:color w:val="000000"/>
                <w:kern w:val="0"/>
                <w:szCs w:val="21"/>
              </w:rPr>
              <w:t>臂带连接强度：臂带的搭扣搭好后，臂带与盾体的连接应能承受500N的拉力，不应有脱落、松动、脱扣或臂带断裂现象；</w:t>
            </w:r>
          </w:p>
          <w:p>
            <w:pPr>
              <w:widowControl/>
              <w:numPr>
                <w:ilvl w:val="0"/>
                <w:numId w:val="8"/>
              </w:numPr>
              <w:jc w:val="left"/>
              <w:textAlignment w:val="center"/>
              <w:rPr>
                <w:rFonts w:ascii="宋体" w:hAnsi="宋体" w:cs="宋体"/>
                <w:color w:val="000000"/>
                <w:kern w:val="0"/>
                <w:szCs w:val="21"/>
              </w:rPr>
            </w:pPr>
            <w:r>
              <w:rPr>
                <w:rFonts w:hint="eastAsia" w:ascii="宋体" w:hAnsi="宋体" w:cs="宋体"/>
                <w:color w:val="000000"/>
                <w:kern w:val="0"/>
                <w:szCs w:val="21"/>
              </w:rPr>
              <w:t>透光率：＞70%；</w:t>
            </w:r>
          </w:p>
          <w:p>
            <w:pPr>
              <w:widowControl/>
              <w:numPr>
                <w:ilvl w:val="0"/>
                <w:numId w:val="8"/>
              </w:numPr>
              <w:jc w:val="left"/>
              <w:textAlignment w:val="center"/>
              <w:rPr>
                <w:rFonts w:ascii="宋体" w:hAnsi="宋体" w:cs="宋体"/>
                <w:color w:val="000000"/>
                <w:kern w:val="0"/>
                <w:szCs w:val="21"/>
              </w:rPr>
            </w:pPr>
            <w:r>
              <w:rPr>
                <w:rFonts w:hint="eastAsia" w:ascii="宋体" w:hAnsi="宋体" w:cs="宋体"/>
                <w:color w:val="000000"/>
                <w:kern w:val="0"/>
                <w:szCs w:val="21"/>
              </w:rPr>
              <w:t>耐冲击强度：盾体应能承受147J动能的冲击，冲击后盾体受力点不应有穿洞或受力点半径50mm之外出现破裂；</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9. 耐穿刺性能：盾体应能承受147J动能的穿刺，穿刺后盾体受力点不应有大于6mm的穿洞或在受力点半径20mm之外出现破裂；</w:t>
            </w:r>
          </w:p>
          <w:p>
            <w:pPr>
              <w:widowControl/>
              <w:numPr>
                <w:ilvl w:val="0"/>
                <w:numId w:val="8"/>
              </w:numPr>
              <w:jc w:val="left"/>
              <w:textAlignment w:val="center"/>
              <w:rPr>
                <w:rFonts w:ascii="宋体" w:hAnsi="宋体" w:cs="宋体"/>
                <w:color w:val="000000"/>
                <w:kern w:val="0"/>
                <w:szCs w:val="21"/>
              </w:rPr>
            </w:pPr>
            <w:r>
              <w:rPr>
                <w:rFonts w:hint="eastAsia" w:ascii="宋体" w:hAnsi="宋体" w:cs="宋体"/>
                <w:color w:val="000000"/>
                <w:kern w:val="0"/>
                <w:szCs w:val="21"/>
              </w:rPr>
              <w:t>耐击打强度：应能承受击打试验机的击打，击打点线速度为18m/s±0.3m/s，击打能量为342J±13J；击打后盾体不应破碎或长度大于50mm的裂纹；</w:t>
            </w:r>
          </w:p>
          <w:p>
            <w:pPr>
              <w:widowControl/>
              <w:numPr>
                <w:ilvl w:val="0"/>
                <w:numId w:val="8"/>
              </w:numPr>
              <w:jc w:val="left"/>
              <w:textAlignment w:val="center"/>
              <w:rPr>
                <w:rFonts w:ascii="宋体" w:hAnsi="宋体" w:cs="宋体"/>
                <w:color w:val="000000"/>
                <w:kern w:val="0"/>
                <w:szCs w:val="21"/>
              </w:rPr>
            </w:pPr>
            <w:r>
              <w:rPr>
                <w:rFonts w:hint="eastAsia" w:ascii="宋体" w:hAnsi="宋体" w:cs="宋体"/>
                <w:color w:val="000000"/>
                <w:kern w:val="0"/>
                <w:szCs w:val="21"/>
              </w:rPr>
              <w:t>低温耐击打强度：经低温(-30℃±2℃，4h)处理后，5min内进行耐击打强度试验，试验结果应符合耐击打强度试验要求；</w:t>
            </w:r>
          </w:p>
          <w:p>
            <w:pPr>
              <w:widowControl/>
              <w:jc w:val="left"/>
              <w:textAlignment w:val="center"/>
              <w:rPr>
                <w:rFonts w:ascii="宋体" w:hAnsi="宋体" w:cs="宋体"/>
                <w:color w:val="000000"/>
                <w:szCs w:val="21"/>
              </w:rPr>
            </w:pPr>
            <w:r>
              <w:rPr>
                <w:rFonts w:hint="eastAsia" w:ascii="宋体" w:hAnsi="宋体" w:cs="宋体"/>
                <w:color w:val="000000"/>
                <w:kern w:val="0"/>
                <w:szCs w:val="21"/>
              </w:rPr>
              <w:t>12. 高温耐击打强度：经高温(+55℃±2℃，4h)处理后，5min内进行耐击打强度试验，试验结果应符合耐击打强度试验要求。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塑胶短警棍</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支</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7044" w:type="dxa"/>
            <w:shd w:val="clear" w:color="auto" w:fill="auto"/>
            <w:tcMar>
              <w:top w:w="15" w:type="dxa"/>
              <w:left w:w="15" w:type="dxa"/>
              <w:right w:w="15" w:type="dxa"/>
            </w:tcMar>
            <w:vAlign w:val="center"/>
          </w:tcPr>
          <w:p>
            <w:pPr>
              <w:widowControl/>
              <w:numPr>
                <w:ilvl w:val="0"/>
                <w:numId w:val="9"/>
              </w:numPr>
              <w:jc w:val="left"/>
              <w:textAlignment w:val="center"/>
              <w:rPr>
                <w:rFonts w:ascii="宋体" w:hAnsi="宋体" w:cs="宋体"/>
                <w:color w:val="000000"/>
                <w:szCs w:val="21"/>
              </w:rPr>
            </w:pPr>
            <w:r>
              <w:rPr>
                <w:rFonts w:hint="eastAsia" w:ascii="宋体" w:hAnsi="宋体" w:cs="宋体"/>
                <w:color w:val="000000"/>
                <w:szCs w:val="21"/>
              </w:rPr>
              <w:t>结构：塑胶短警棍棍体握持端应有防滑暗纹，握持端前端应有护手结构，应有防脱手结构。棍体内部的加强结构不应由尖角和锐刺。</w:t>
            </w:r>
          </w:p>
          <w:p>
            <w:pPr>
              <w:widowControl/>
              <w:numPr>
                <w:ilvl w:val="0"/>
                <w:numId w:val="9"/>
              </w:numPr>
              <w:jc w:val="left"/>
              <w:textAlignment w:val="center"/>
              <w:rPr>
                <w:rFonts w:ascii="宋体" w:hAnsi="宋体" w:cs="宋体"/>
                <w:color w:val="000000"/>
                <w:szCs w:val="21"/>
              </w:rPr>
            </w:pPr>
            <w:r>
              <w:rPr>
                <w:rFonts w:hint="eastAsia" w:ascii="宋体" w:hAnsi="宋体" w:cs="宋体"/>
                <w:color w:val="000000"/>
                <w:szCs w:val="21"/>
              </w:rPr>
              <w:t>外观：塑胶短警棍的棍体表面应无裂纹和明显的变形，不应有毛刺、砂孔、起泡、腐蚀、划痕、龟裂、缺胶等缺陷。</w:t>
            </w:r>
          </w:p>
          <w:p>
            <w:pPr>
              <w:widowControl/>
              <w:numPr>
                <w:ilvl w:val="0"/>
                <w:numId w:val="9"/>
              </w:numPr>
              <w:jc w:val="left"/>
              <w:textAlignment w:val="center"/>
              <w:rPr>
                <w:rFonts w:ascii="宋体" w:hAnsi="宋体" w:cs="宋体"/>
                <w:color w:val="000000"/>
                <w:szCs w:val="21"/>
              </w:rPr>
            </w:pPr>
            <w:r>
              <w:rPr>
                <w:rFonts w:hint="eastAsia" w:ascii="宋体" w:hAnsi="宋体" w:cs="宋体"/>
                <w:color w:val="000000"/>
                <w:szCs w:val="21"/>
              </w:rPr>
              <w:t>尺寸：棍体总长度：≥480mm，握持端长度：≥150mm</w:t>
            </w:r>
          </w:p>
          <w:p>
            <w:pPr>
              <w:widowControl/>
              <w:numPr>
                <w:ilvl w:val="0"/>
                <w:numId w:val="9"/>
              </w:numPr>
              <w:jc w:val="left"/>
              <w:textAlignment w:val="center"/>
              <w:rPr>
                <w:rFonts w:ascii="宋体" w:hAnsi="宋体" w:cs="宋体"/>
                <w:color w:val="000000"/>
                <w:szCs w:val="21"/>
              </w:rPr>
            </w:pPr>
            <w:r>
              <w:rPr>
                <w:rFonts w:hint="eastAsia" w:ascii="宋体" w:hAnsi="宋体" w:cs="宋体"/>
                <w:color w:val="000000"/>
                <w:szCs w:val="21"/>
              </w:rPr>
              <w:t>质量：≤660g</w:t>
            </w:r>
          </w:p>
          <w:p>
            <w:pPr>
              <w:widowControl/>
              <w:numPr>
                <w:ilvl w:val="0"/>
                <w:numId w:val="9"/>
              </w:numPr>
              <w:jc w:val="left"/>
              <w:textAlignment w:val="center"/>
              <w:rPr>
                <w:rFonts w:ascii="宋体" w:hAnsi="宋体" w:cs="宋体"/>
                <w:color w:val="000000"/>
                <w:szCs w:val="21"/>
              </w:rPr>
            </w:pPr>
            <w:r>
              <w:rPr>
                <w:rFonts w:hint="eastAsia" w:ascii="宋体" w:hAnsi="宋体" w:cs="宋体"/>
                <w:color w:val="000000"/>
                <w:szCs w:val="21"/>
              </w:rPr>
              <w:t>抗击打性：塑胶短警棍连续击打1000次后，棍体不应出现裂纹或断裂。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13</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防暴长警棍</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根</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20</w:t>
            </w:r>
          </w:p>
        </w:tc>
        <w:tc>
          <w:tcPr>
            <w:tcW w:w="7044" w:type="dxa"/>
            <w:shd w:val="clear" w:color="auto" w:fill="auto"/>
            <w:tcMar>
              <w:top w:w="15" w:type="dxa"/>
              <w:left w:w="15" w:type="dxa"/>
              <w:right w:w="15" w:type="dxa"/>
            </w:tcMar>
            <w:vAlign w:val="center"/>
          </w:tcPr>
          <w:p>
            <w:pPr>
              <w:widowControl/>
              <w:numPr>
                <w:ilvl w:val="0"/>
                <w:numId w:val="10"/>
              </w:numPr>
              <w:jc w:val="left"/>
              <w:textAlignment w:val="center"/>
              <w:rPr>
                <w:rFonts w:ascii="宋体" w:hAnsi="宋体" w:cs="宋体"/>
                <w:kern w:val="0"/>
                <w:szCs w:val="21"/>
              </w:rPr>
            </w:pPr>
            <w:r>
              <w:rPr>
                <w:rFonts w:hint="eastAsia" w:ascii="宋体" w:hAnsi="宋体" w:cs="宋体"/>
                <w:kern w:val="0"/>
                <w:szCs w:val="21"/>
              </w:rPr>
              <w:t>尺寸：120（cm)</w:t>
            </w:r>
          </w:p>
          <w:p>
            <w:pPr>
              <w:widowControl/>
              <w:numPr>
                <w:ilvl w:val="0"/>
                <w:numId w:val="10"/>
              </w:numPr>
              <w:jc w:val="left"/>
              <w:textAlignment w:val="center"/>
              <w:rPr>
                <w:rFonts w:ascii="宋体" w:hAnsi="宋体" w:cs="宋体"/>
                <w:kern w:val="0"/>
                <w:szCs w:val="21"/>
              </w:rPr>
            </w:pPr>
            <w:r>
              <w:rPr>
                <w:rFonts w:hint="eastAsia" w:ascii="宋体" w:hAnsi="宋体" w:cs="宋体"/>
                <w:kern w:val="0"/>
                <w:szCs w:val="21"/>
              </w:rPr>
              <w:t>质量：1420g</w:t>
            </w:r>
          </w:p>
          <w:p>
            <w:pPr>
              <w:widowControl/>
              <w:jc w:val="left"/>
              <w:textAlignment w:val="center"/>
              <w:rPr>
                <w:rFonts w:ascii="宋体" w:hAnsi="宋体" w:cs="宋体"/>
                <w:kern w:val="0"/>
                <w:szCs w:val="21"/>
              </w:rPr>
            </w:pPr>
            <w:r>
              <w:rPr>
                <w:rFonts w:hint="eastAsia" w:ascii="宋体" w:hAnsi="宋体" w:cs="宋体"/>
                <w:kern w:val="0"/>
                <w:szCs w:val="21"/>
              </w:rPr>
              <w:t>3、外观：警棍表面光滑，无明显凹坑、突起、起泡、毛刺、尖角、划伤、锈蚀和起皮等缺陷。</w:t>
            </w:r>
          </w:p>
          <w:p>
            <w:pPr>
              <w:widowControl/>
              <w:jc w:val="left"/>
              <w:textAlignment w:val="center"/>
              <w:rPr>
                <w:rFonts w:ascii="宋体" w:hAnsi="宋体" w:cs="宋体"/>
                <w:kern w:val="0"/>
                <w:szCs w:val="21"/>
              </w:rPr>
            </w:pPr>
            <w:r>
              <w:rPr>
                <w:rFonts w:hint="eastAsia" w:ascii="宋体" w:hAnsi="宋体" w:cs="宋体"/>
                <w:kern w:val="0"/>
                <w:szCs w:val="21"/>
              </w:rPr>
              <w:t>4、颜色：黑色。</w:t>
            </w:r>
          </w:p>
          <w:p>
            <w:pPr>
              <w:widowControl/>
              <w:jc w:val="left"/>
              <w:textAlignment w:val="center"/>
              <w:rPr>
                <w:rFonts w:ascii="宋体" w:hAnsi="宋体" w:cs="宋体"/>
                <w:kern w:val="0"/>
                <w:szCs w:val="21"/>
              </w:rPr>
            </w:pPr>
            <w:r>
              <w:rPr>
                <w:rFonts w:hint="eastAsia" w:ascii="宋体" w:hAnsi="宋体" w:cs="宋体"/>
                <w:kern w:val="0"/>
                <w:szCs w:val="21"/>
              </w:rPr>
              <w:t>5、棍体抗拉性能：警棍在2000N拉力作用下棍体不出现裂纹或断裂，应能正常使用。</w:t>
            </w:r>
          </w:p>
          <w:p>
            <w:pPr>
              <w:widowControl/>
              <w:jc w:val="left"/>
              <w:textAlignment w:val="center"/>
              <w:rPr>
                <w:rFonts w:ascii="宋体" w:hAnsi="宋体" w:cs="宋体"/>
                <w:kern w:val="0"/>
                <w:szCs w:val="21"/>
              </w:rPr>
            </w:pPr>
            <w:r>
              <w:rPr>
                <w:rFonts w:hint="eastAsia" w:ascii="宋体" w:hAnsi="宋体" w:cs="宋体"/>
                <w:kern w:val="0"/>
                <w:szCs w:val="21"/>
              </w:rPr>
              <w:t>6、抗击打性能：警棍连续击打1000次后，棍体不出现裂纹或断裂应能正常使用；</w:t>
            </w:r>
          </w:p>
          <w:p>
            <w:pPr>
              <w:widowControl/>
              <w:jc w:val="left"/>
              <w:textAlignment w:val="center"/>
              <w:rPr>
                <w:rFonts w:ascii="宋体" w:hAnsi="宋体" w:cs="宋体"/>
                <w:kern w:val="0"/>
                <w:szCs w:val="21"/>
              </w:rPr>
            </w:pPr>
            <w:r>
              <w:rPr>
                <w:rFonts w:hint="eastAsia" w:ascii="宋体" w:hAnsi="宋体" w:cs="宋体"/>
                <w:kern w:val="0"/>
                <w:szCs w:val="21"/>
              </w:rPr>
              <w:t>7、性能：警棍击打点线速度5m/s±0.5 m/s，被击打物为硬木块，击打端击打1000次后棍体不应出现断裂。</w:t>
            </w:r>
          </w:p>
          <w:p>
            <w:pPr>
              <w:widowControl/>
              <w:jc w:val="left"/>
              <w:textAlignment w:val="center"/>
              <w:rPr>
                <w:rFonts w:ascii="宋体" w:hAnsi="宋体" w:cs="宋体"/>
                <w:szCs w:val="21"/>
              </w:rPr>
            </w:pPr>
            <w:r>
              <w:rPr>
                <w:rFonts w:hint="eastAsia" w:ascii="宋体" w:hAnsi="宋体" w:cs="宋体"/>
                <w:kern w:val="0"/>
                <w:szCs w:val="21"/>
              </w:rPr>
              <w:t>8、环境适应性：-30℃~+40℃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警用防暴钢叉</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件</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7044" w:type="dxa"/>
            <w:shd w:val="clear" w:color="auto" w:fill="auto"/>
            <w:tcMar>
              <w:top w:w="15" w:type="dxa"/>
              <w:left w:w="15" w:type="dxa"/>
              <w:right w:w="15" w:type="dxa"/>
            </w:tcMar>
            <w:vAlign w:val="center"/>
          </w:tcPr>
          <w:p>
            <w:pPr>
              <w:widowControl/>
              <w:numPr>
                <w:ilvl w:val="0"/>
                <w:numId w:val="11"/>
              </w:numPr>
              <w:jc w:val="left"/>
              <w:textAlignment w:val="center"/>
              <w:rPr>
                <w:rFonts w:ascii="宋体" w:hAnsi="宋体" w:cs="宋体"/>
                <w:color w:val="000000"/>
                <w:kern w:val="0"/>
                <w:szCs w:val="21"/>
              </w:rPr>
            </w:pPr>
            <w:r>
              <w:rPr>
                <w:rFonts w:hint="eastAsia" w:ascii="宋体" w:hAnsi="宋体" w:cs="宋体"/>
                <w:color w:val="000000"/>
                <w:szCs w:val="21"/>
              </w:rPr>
              <w:t>结构组成：由主杆、缩杆、连接套、控制键K1、控制键K2、叉头锁合触发块、叉头等组成；主杆、缩杆采用高强度铝合金管材，其主杆外径34mm</w:t>
            </w:r>
            <w:r>
              <w:rPr>
                <w:rFonts w:hint="eastAsia" w:ascii="宋体" w:hAnsi="宋体" w:cs="宋体"/>
                <w:color w:val="000000"/>
                <w:kern w:val="0"/>
                <w:szCs w:val="21"/>
              </w:rPr>
              <w:t>±1mm，壁厚2mm；缩杆外径28mm±1mm，壁厚2mm。</w:t>
            </w:r>
          </w:p>
          <w:p>
            <w:pPr>
              <w:widowControl/>
              <w:numPr>
                <w:ilvl w:val="0"/>
                <w:numId w:val="11"/>
              </w:numPr>
              <w:jc w:val="left"/>
              <w:textAlignment w:val="center"/>
              <w:rPr>
                <w:rFonts w:ascii="宋体" w:hAnsi="宋体" w:cs="宋体"/>
                <w:color w:val="000000"/>
                <w:kern w:val="0"/>
                <w:szCs w:val="21"/>
              </w:rPr>
            </w:pPr>
            <w:r>
              <w:rPr>
                <w:rFonts w:hint="eastAsia" w:ascii="宋体" w:hAnsi="宋体" w:cs="宋体"/>
                <w:color w:val="000000"/>
                <w:kern w:val="0"/>
                <w:szCs w:val="21"/>
              </w:rPr>
              <w:t>外观：表面光滑、主缩杆无弯曲、变形、毛刺、划痕、凹陷、无明显加工缺陷。</w:t>
            </w:r>
          </w:p>
          <w:p>
            <w:pPr>
              <w:widowControl/>
              <w:numPr>
                <w:ilvl w:val="0"/>
                <w:numId w:val="11"/>
              </w:numPr>
              <w:jc w:val="left"/>
              <w:textAlignment w:val="center"/>
              <w:rPr>
                <w:rFonts w:ascii="宋体" w:hAnsi="宋体" w:cs="宋体"/>
                <w:color w:val="000000"/>
                <w:kern w:val="0"/>
                <w:szCs w:val="21"/>
              </w:rPr>
            </w:pPr>
            <w:r>
              <w:rPr>
                <w:rFonts w:hint="eastAsia" w:ascii="宋体" w:hAnsi="宋体" w:cs="宋体"/>
                <w:color w:val="000000"/>
                <w:kern w:val="0"/>
                <w:szCs w:val="21"/>
              </w:rPr>
              <w:t>尺寸：最长工作长度：230cm±2cm；最短工作长度：153cm±2cm。</w:t>
            </w:r>
          </w:p>
          <w:p>
            <w:pPr>
              <w:widowControl/>
              <w:numPr>
                <w:ilvl w:val="0"/>
                <w:numId w:val="11"/>
              </w:numPr>
              <w:jc w:val="left"/>
              <w:textAlignment w:val="center"/>
              <w:rPr>
                <w:rFonts w:ascii="宋体" w:hAnsi="宋体" w:cs="宋体"/>
                <w:color w:val="000000"/>
                <w:kern w:val="0"/>
                <w:szCs w:val="21"/>
              </w:rPr>
            </w:pPr>
            <w:r>
              <w:rPr>
                <w:rFonts w:hint="eastAsia" w:ascii="宋体" w:hAnsi="宋体" w:cs="宋体"/>
                <w:color w:val="000000"/>
                <w:kern w:val="0"/>
                <w:szCs w:val="21"/>
              </w:rPr>
              <w:t>总质量不大于3kg</w:t>
            </w:r>
          </w:p>
          <w:p>
            <w:pPr>
              <w:widowControl/>
              <w:numPr>
                <w:ilvl w:val="0"/>
                <w:numId w:val="11"/>
              </w:numPr>
              <w:jc w:val="left"/>
              <w:textAlignment w:val="center"/>
              <w:rPr>
                <w:rFonts w:ascii="宋体" w:hAnsi="宋体" w:cs="宋体"/>
                <w:color w:val="000000"/>
                <w:kern w:val="0"/>
                <w:szCs w:val="21"/>
              </w:rPr>
            </w:pPr>
            <w:r>
              <w:rPr>
                <w:rFonts w:hint="eastAsia" w:ascii="宋体" w:hAnsi="宋体" w:cs="宋体"/>
                <w:color w:val="000000"/>
                <w:kern w:val="0"/>
                <w:szCs w:val="21"/>
              </w:rPr>
              <w:t>叉头开启性：叉头能从锁合状态快速转换为开启状态，转换时间小于3秒。</w:t>
            </w:r>
          </w:p>
          <w:p>
            <w:pPr>
              <w:widowControl/>
              <w:numPr>
                <w:ilvl w:val="0"/>
                <w:numId w:val="11"/>
              </w:numPr>
              <w:jc w:val="left"/>
              <w:textAlignment w:val="center"/>
              <w:rPr>
                <w:rFonts w:ascii="宋体" w:hAnsi="宋体" w:cs="宋体"/>
                <w:color w:val="000000"/>
                <w:kern w:val="0"/>
                <w:szCs w:val="21"/>
              </w:rPr>
            </w:pPr>
            <w:r>
              <w:rPr>
                <w:rFonts w:hint="eastAsia" w:ascii="宋体" w:hAnsi="宋体" w:cs="宋体"/>
                <w:color w:val="000000"/>
                <w:kern w:val="0"/>
                <w:szCs w:val="21"/>
              </w:rPr>
              <w:t>叉头锁和灵敏度不大于50N。</w:t>
            </w:r>
          </w:p>
          <w:p>
            <w:pPr>
              <w:widowControl/>
              <w:numPr>
                <w:ilvl w:val="0"/>
                <w:numId w:val="11"/>
              </w:numPr>
              <w:jc w:val="left"/>
              <w:textAlignment w:val="center"/>
              <w:rPr>
                <w:rFonts w:ascii="宋体" w:hAnsi="宋体" w:cs="宋体"/>
                <w:color w:val="000000"/>
                <w:kern w:val="0"/>
                <w:szCs w:val="21"/>
              </w:rPr>
            </w:pPr>
            <w:r>
              <w:rPr>
                <w:rFonts w:hint="eastAsia" w:ascii="宋体" w:hAnsi="宋体" w:cs="宋体"/>
                <w:color w:val="000000"/>
                <w:kern w:val="0"/>
                <w:szCs w:val="21"/>
              </w:rPr>
              <w:t>叉头经过1000次的开启状态与锁合状态循环使用后，能正常工作。</w:t>
            </w:r>
          </w:p>
          <w:p>
            <w:pPr>
              <w:widowControl/>
              <w:numPr>
                <w:ilvl w:val="0"/>
                <w:numId w:val="11"/>
              </w:numPr>
              <w:jc w:val="left"/>
              <w:textAlignment w:val="center"/>
              <w:rPr>
                <w:rFonts w:ascii="宋体" w:hAnsi="宋体" w:cs="宋体"/>
                <w:color w:val="000000"/>
                <w:kern w:val="0"/>
                <w:szCs w:val="21"/>
              </w:rPr>
            </w:pPr>
            <w:r>
              <w:rPr>
                <w:rFonts w:hint="eastAsia" w:ascii="宋体" w:hAnsi="宋体" w:cs="宋体"/>
                <w:color w:val="000000"/>
                <w:kern w:val="0"/>
                <w:szCs w:val="21"/>
              </w:rPr>
              <w:t>叉头最小直径时，在500N的拉力下，叉头不出现开启、断裂现象。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警用防暴服</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件</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7044" w:type="dxa"/>
            <w:shd w:val="clear" w:color="auto" w:fill="auto"/>
            <w:tcMar>
              <w:top w:w="15" w:type="dxa"/>
              <w:left w:w="15" w:type="dxa"/>
              <w:right w:w="15" w:type="dxa"/>
            </w:tcMar>
            <w:vAlign w:val="center"/>
          </w:tcPr>
          <w:p>
            <w:pPr>
              <w:widowControl/>
              <w:numPr>
                <w:ilvl w:val="0"/>
                <w:numId w:val="12"/>
              </w:numPr>
              <w:jc w:val="left"/>
              <w:textAlignment w:val="center"/>
              <w:rPr>
                <w:rFonts w:ascii="宋体" w:hAnsi="宋体" w:cs="宋体"/>
                <w:color w:val="000000"/>
                <w:kern w:val="0"/>
                <w:szCs w:val="21"/>
              </w:rPr>
            </w:pPr>
            <w:r>
              <w:rPr>
                <w:rFonts w:hint="eastAsia" w:ascii="宋体" w:hAnsi="宋体" w:cs="宋体"/>
                <w:color w:val="000000"/>
                <w:kern w:val="0"/>
                <w:szCs w:val="21"/>
              </w:rPr>
              <w:t>结构:防暴服的前胸、后背、四肢防护层均使用工程塑料成型盔甲及软质吸能材料制成，护裆使用2.5mm厚整体铝板及1层泡沫制成；</w:t>
            </w:r>
            <w:r>
              <w:rPr>
                <w:rFonts w:hint="eastAsia" w:ascii="宋体" w:hAnsi="宋体" w:cs="宋体"/>
                <w:color w:val="000000"/>
                <w:kern w:val="0"/>
                <w:szCs w:val="21"/>
              </w:rPr>
              <w:br w:type="textWrapping"/>
            </w:r>
            <w:r>
              <w:rPr>
                <w:rFonts w:hint="eastAsia" w:ascii="宋体" w:hAnsi="宋体" w:cs="宋体"/>
                <w:color w:val="000000"/>
                <w:kern w:val="0"/>
                <w:szCs w:val="21"/>
              </w:rPr>
              <w:t>2、质量：基本防暴服的总质量应小于8.5kg；</w:t>
            </w:r>
            <w:r>
              <w:rPr>
                <w:rFonts w:hint="eastAsia" w:ascii="宋体" w:hAnsi="宋体" w:cs="宋体"/>
                <w:color w:val="000000"/>
                <w:kern w:val="0"/>
                <w:szCs w:val="21"/>
              </w:rPr>
              <w:br w:type="textWrapping"/>
            </w:r>
            <w:r>
              <w:rPr>
                <w:rFonts w:hint="eastAsia" w:ascii="宋体" w:hAnsi="宋体" w:cs="宋体"/>
                <w:color w:val="000000"/>
                <w:kern w:val="0"/>
                <w:szCs w:val="21"/>
              </w:rPr>
              <w:t>3、 规格：防暴服规格尺寸符合165cm-185cm高的警员穿着，使用者可以根据自身高度借助连接带自行调节；</w:t>
            </w:r>
            <w:r>
              <w:rPr>
                <w:rFonts w:hint="eastAsia" w:ascii="宋体" w:hAnsi="宋体" w:cs="宋体"/>
                <w:color w:val="000000"/>
                <w:kern w:val="0"/>
                <w:szCs w:val="21"/>
              </w:rPr>
              <w:br w:type="textWrapping"/>
            </w:r>
            <w:r>
              <w:rPr>
                <w:rFonts w:hint="eastAsia" w:ascii="宋体" w:hAnsi="宋体" w:cs="宋体"/>
                <w:color w:val="000000"/>
                <w:kern w:val="0"/>
                <w:szCs w:val="21"/>
              </w:rPr>
              <w:t>4、 防护面积：前胸及裆部≥0.1m2，后背≥0.1m2，上肢(按双肢计)≥0.18㎡，下肢(按双肢计，含脚背)≥0.30m2；</w:t>
            </w:r>
            <w:r>
              <w:rPr>
                <w:rFonts w:hint="eastAsia" w:ascii="宋体" w:hAnsi="宋体" w:cs="宋体"/>
                <w:color w:val="000000"/>
                <w:kern w:val="0"/>
                <w:szCs w:val="21"/>
              </w:rPr>
              <w:br w:type="textWrapping"/>
            </w:r>
            <w:r>
              <w:rPr>
                <w:rFonts w:hint="eastAsia" w:ascii="宋体" w:hAnsi="宋体" w:cs="宋体"/>
                <w:color w:val="000000"/>
                <w:kern w:val="0"/>
                <w:szCs w:val="21"/>
              </w:rPr>
              <w:t>5、 结构连接强度：插口强力＞500N，尼龙搭扣的扣合强度＞7.0N/cm2，连接带强力＞2000N；</w:t>
            </w:r>
            <w:r>
              <w:rPr>
                <w:rFonts w:hint="eastAsia" w:ascii="宋体" w:hAnsi="宋体" w:cs="宋体"/>
                <w:color w:val="000000"/>
                <w:kern w:val="0"/>
                <w:szCs w:val="21"/>
              </w:rPr>
              <w:br w:type="textWrapping"/>
            </w:r>
            <w:r>
              <w:rPr>
                <w:rFonts w:hint="eastAsia" w:ascii="宋体" w:hAnsi="宋体" w:cs="宋体"/>
                <w:color w:val="000000"/>
                <w:kern w:val="0"/>
                <w:szCs w:val="21"/>
              </w:rPr>
              <w:t>6、防刺性能：防暴服的前胸、后背及前裆(不包含拼缝)用GA68规定的标准试验刀具，以20J动能垂直刺入防护部件，刀尖不应穿透防护部件；</w:t>
            </w:r>
            <w:r>
              <w:rPr>
                <w:rFonts w:hint="eastAsia" w:ascii="宋体" w:hAnsi="宋体" w:cs="宋体"/>
                <w:color w:val="000000"/>
                <w:kern w:val="0"/>
                <w:szCs w:val="21"/>
              </w:rPr>
              <w:br w:type="textWrapping"/>
            </w:r>
            <w:r>
              <w:rPr>
                <w:rFonts w:hint="eastAsia" w:ascii="宋体" w:hAnsi="宋体" w:cs="宋体"/>
                <w:color w:val="000000"/>
                <w:kern w:val="0"/>
                <w:szCs w:val="21"/>
              </w:rPr>
              <w:t>7、 耐冲击性能：将防暴服任意防护部件置于刚性平面上，以120J能量冲击，相应部件不应破损、开裂；</w:t>
            </w:r>
            <w:r>
              <w:rPr>
                <w:rFonts w:hint="eastAsia" w:ascii="宋体" w:hAnsi="宋体" w:cs="宋体"/>
                <w:color w:val="000000"/>
                <w:kern w:val="0"/>
                <w:szCs w:val="21"/>
              </w:rPr>
              <w:br w:type="textWrapping"/>
            </w:r>
            <w:r>
              <w:rPr>
                <w:rFonts w:hint="eastAsia" w:ascii="宋体" w:hAnsi="宋体" w:cs="宋体"/>
                <w:color w:val="000000"/>
                <w:kern w:val="0"/>
                <w:szCs w:val="21"/>
              </w:rPr>
              <w:t>8、击打能量击打能量吸收性能:将防暴服的前胸、后背部件分别平放于标准胶泥上，以100J的能量冲击，胶泥压痕深度不超过20mm；</w:t>
            </w:r>
            <w:r>
              <w:rPr>
                <w:rFonts w:hint="eastAsia" w:ascii="宋体" w:hAnsi="宋体" w:cs="宋体"/>
                <w:color w:val="000000"/>
                <w:kern w:val="0"/>
                <w:szCs w:val="21"/>
              </w:rPr>
              <w:br w:type="textWrapping"/>
            </w:r>
            <w:r>
              <w:rPr>
                <w:rFonts w:hint="eastAsia" w:ascii="宋体" w:hAnsi="宋体" w:cs="宋体"/>
                <w:color w:val="000000"/>
                <w:kern w:val="0"/>
                <w:szCs w:val="21"/>
              </w:rPr>
              <w:t>9、气候环境适应性：-20℃±2℃~+55℃±2℃，4小时应符合GA420防刺性能</w:t>
            </w:r>
            <w:r>
              <w:rPr>
                <w:rFonts w:hint="eastAsia" w:ascii="宋体" w:hAnsi="宋体" w:cs="宋体"/>
                <w:color w:val="000000"/>
                <w:kern w:val="0"/>
                <w:szCs w:val="21"/>
              </w:rPr>
              <w:br w:type="textWrapping"/>
            </w:r>
            <w:r>
              <w:rPr>
                <w:rFonts w:hint="eastAsia" w:ascii="宋体" w:hAnsi="宋体" w:cs="宋体"/>
                <w:color w:val="000000"/>
                <w:kern w:val="0"/>
                <w:szCs w:val="21"/>
              </w:rPr>
              <w:t>10、高温耐冲击性能：将防暴服放入温度为+55℃±2℃的恒温箱内保持4h后，进行耐冲击试验，检验结果应该满足耐冲击性能的要求。</w:t>
            </w:r>
            <w:r>
              <w:rPr>
                <w:rFonts w:hint="eastAsia" w:ascii="宋体" w:hAnsi="宋体" w:cs="宋体"/>
                <w:color w:val="000000"/>
                <w:kern w:val="0"/>
                <w:szCs w:val="21"/>
              </w:rPr>
              <w:br w:type="textWrapping"/>
            </w:r>
            <w:r>
              <w:rPr>
                <w:rFonts w:hint="eastAsia" w:ascii="宋体" w:hAnsi="宋体" w:cs="宋体"/>
                <w:color w:val="000000"/>
                <w:kern w:val="0"/>
                <w:szCs w:val="21"/>
              </w:rPr>
              <w:t>11、低温耐冲击性能：将防暴服放入温度为-20℃±2℃的恒温箱内保持4h后，进行耐冲击试验，检验结果应该满足耐冲击性能的要求。</w:t>
            </w:r>
            <w:r>
              <w:rPr>
                <w:rFonts w:hint="eastAsia" w:ascii="宋体" w:hAnsi="宋体" w:cs="宋体"/>
                <w:color w:val="000000"/>
                <w:kern w:val="0"/>
                <w:szCs w:val="21"/>
              </w:rPr>
              <w:br w:type="textWrapping"/>
            </w:r>
            <w:r>
              <w:rPr>
                <w:rFonts w:hint="eastAsia" w:ascii="宋体" w:hAnsi="宋体" w:cs="宋体"/>
                <w:color w:val="000000"/>
                <w:kern w:val="0"/>
                <w:szCs w:val="21"/>
              </w:rPr>
              <w:t>12、阻燃性能：防暴服防护部件表面燃烧后的持续时间应≤10S。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9"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警服反光背心</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件</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45</w:t>
            </w:r>
          </w:p>
        </w:tc>
        <w:tc>
          <w:tcPr>
            <w:tcW w:w="7044" w:type="dxa"/>
            <w:shd w:val="clear" w:color="auto" w:fill="auto"/>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1、外观：内外熨烫平服整洁，左右对称；沿边平展，宽窄一致；前后反光带、反光字端正，位置适中，无烫光、变色、开线、断线、跳线、毛露、斜绺、起拱、线头、污渍等现象。拉链顺畅无卡滞。</w:t>
            </w:r>
          </w:p>
          <w:p>
            <w:pPr>
              <w:widowControl/>
              <w:jc w:val="left"/>
              <w:textAlignment w:val="center"/>
              <w:rPr>
                <w:rFonts w:ascii="宋体" w:hAnsi="宋体" w:cs="宋体"/>
                <w:color w:val="000000"/>
                <w:szCs w:val="21"/>
              </w:rPr>
            </w:pPr>
            <w:r>
              <w:rPr>
                <w:rFonts w:hint="eastAsia" w:ascii="宋体" w:hAnsi="宋体" w:cs="宋体"/>
                <w:color w:val="000000"/>
                <w:kern w:val="0"/>
                <w:szCs w:val="21"/>
              </w:rPr>
              <w:t>2、结构：马甲式，开襟用拉链拉合，肩部与下摆通过棉丝毛刺搭粘调节胖瘦。前胸、后背分别具有三道横向反光带，反光带宽45±3mm</w:t>
            </w:r>
            <w:r>
              <w:rPr>
                <w:rFonts w:hint="eastAsia" w:ascii="宋体" w:hAnsi="宋体" w:cs="宋体"/>
                <w:color w:val="000000"/>
                <w:kern w:val="0"/>
                <w:szCs w:val="21"/>
              </w:rPr>
              <w:br w:type="textWrapping"/>
            </w:r>
            <w:r>
              <w:rPr>
                <w:rFonts w:hint="eastAsia" w:ascii="宋体" w:hAnsi="宋体" w:cs="宋体"/>
                <w:color w:val="000000"/>
                <w:kern w:val="0"/>
                <w:szCs w:val="21"/>
              </w:rPr>
              <w:t>3、网眼布：网眼布密度20*15±2眼/5cm；顶破强力应≥200N；遮盖率应≥45%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17</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防毒面具</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7044" w:type="dxa"/>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1、呼气阻力：≤98Pa(30L/min)</w:t>
            </w:r>
            <w:r>
              <w:rPr>
                <w:rFonts w:hint="eastAsia" w:ascii="宋体" w:hAnsi="宋体" w:cs="宋体"/>
                <w:color w:val="000000"/>
                <w:kern w:val="0"/>
                <w:szCs w:val="21"/>
              </w:rPr>
              <w:br w:type="textWrapping"/>
            </w:r>
            <w:r>
              <w:rPr>
                <w:rFonts w:hint="eastAsia" w:ascii="宋体" w:hAnsi="宋体" w:cs="宋体"/>
                <w:color w:val="000000"/>
                <w:kern w:val="0"/>
                <w:szCs w:val="21"/>
              </w:rPr>
              <w:t>2、视野：总视野：≥75%</w:t>
            </w:r>
            <w:r>
              <w:rPr>
                <w:rFonts w:hint="eastAsia" w:ascii="宋体" w:hAnsi="宋体" w:cs="宋体"/>
                <w:color w:val="000000"/>
                <w:kern w:val="0"/>
                <w:szCs w:val="21"/>
              </w:rPr>
              <w:br w:type="textWrapping"/>
            </w:r>
            <w:r>
              <w:rPr>
                <w:rFonts w:hint="eastAsia" w:ascii="宋体" w:hAnsi="宋体" w:cs="宋体"/>
                <w:color w:val="000000"/>
                <w:kern w:val="0"/>
                <w:szCs w:val="21"/>
              </w:rPr>
              <w:t>3、双目视野：≥60%</w:t>
            </w:r>
            <w:r>
              <w:rPr>
                <w:rFonts w:hint="eastAsia" w:ascii="宋体" w:hAnsi="宋体" w:cs="宋体"/>
                <w:color w:val="000000"/>
                <w:kern w:val="0"/>
                <w:szCs w:val="21"/>
              </w:rPr>
              <w:br w:type="textWrapping"/>
            </w:r>
            <w:r>
              <w:rPr>
                <w:rFonts w:hint="eastAsia" w:ascii="宋体" w:hAnsi="宋体" w:cs="宋体"/>
                <w:color w:val="000000"/>
                <w:kern w:val="0"/>
                <w:szCs w:val="21"/>
              </w:rPr>
              <w:t>4、下方视野：≥40度</w:t>
            </w:r>
            <w:r>
              <w:rPr>
                <w:rFonts w:hint="eastAsia" w:ascii="宋体" w:hAnsi="宋体" w:cs="宋体"/>
                <w:color w:val="000000"/>
                <w:kern w:val="0"/>
                <w:szCs w:val="21"/>
              </w:rPr>
              <w:br w:type="textWrapping"/>
            </w:r>
            <w:r>
              <w:rPr>
                <w:rFonts w:hint="eastAsia" w:ascii="宋体" w:hAnsi="宋体" w:cs="宋体"/>
                <w:color w:val="000000"/>
                <w:kern w:val="0"/>
                <w:szCs w:val="21"/>
              </w:rPr>
              <w:t>5、油雾透过率：≤0.0005%</w:t>
            </w:r>
            <w:r>
              <w:rPr>
                <w:rFonts w:hint="eastAsia" w:ascii="宋体" w:hAnsi="宋体" w:cs="宋体"/>
                <w:color w:val="000000"/>
                <w:kern w:val="0"/>
                <w:szCs w:val="21"/>
              </w:rPr>
              <w:br w:type="textWrapping"/>
            </w:r>
            <w:r>
              <w:rPr>
                <w:rFonts w:hint="eastAsia" w:ascii="宋体" w:hAnsi="宋体" w:cs="宋体"/>
                <w:color w:val="000000"/>
                <w:kern w:val="0"/>
                <w:szCs w:val="21"/>
              </w:rPr>
              <w:t>6、面具漏气系数：≤0.0005%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警用急救包</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件</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45</w:t>
            </w:r>
          </w:p>
        </w:tc>
        <w:tc>
          <w:tcPr>
            <w:tcW w:w="7044" w:type="dxa"/>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1、皮革撕裂强度：≥25N/mm；</w:t>
            </w:r>
            <w:r>
              <w:rPr>
                <w:rFonts w:hint="eastAsia" w:ascii="宋体" w:hAnsi="宋体" w:cs="宋体"/>
                <w:color w:val="000000"/>
                <w:kern w:val="0"/>
                <w:szCs w:val="21"/>
              </w:rPr>
              <w:br w:type="textWrapping"/>
            </w:r>
            <w:r>
              <w:rPr>
                <w:rFonts w:hint="eastAsia" w:ascii="宋体" w:hAnsi="宋体" w:cs="宋体"/>
                <w:color w:val="000000"/>
                <w:kern w:val="0"/>
                <w:szCs w:val="21"/>
              </w:rPr>
              <w:t>2、皮革耐摩擦色牢度/级：干摩，50次≥4级；湿摩，10次≥3级；</w:t>
            </w:r>
            <w:r>
              <w:rPr>
                <w:rFonts w:hint="eastAsia" w:ascii="宋体" w:hAnsi="宋体" w:cs="宋体"/>
                <w:color w:val="000000"/>
                <w:kern w:val="0"/>
                <w:szCs w:val="21"/>
              </w:rPr>
              <w:br w:type="textWrapping"/>
            </w:r>
            <w:r>
              <w:rPr>
                <w:rFonts w:hint="eastAsia" w:ascii="宋体" w:hAnsi="宋体" w:cs="宋体"/>
                <w:color w:val="000000"/>
                <w:kern w:val="0"/>
                <w:szCs w:val="21"/>
              </w:rPr>
              <w:t>3、.拉链平拉强力：≥600N；</w:t>
            </w:r>
            <w:r>
              <w:rPr>
                <w:rFonts w:hint="eastAsia" w:ascii="宋体" w:hAnsi="宋体" w:cs="宋体"/>
                <w:color w:val="000000"/>
                <w:kern w:val="0"/>
                <w:szCs w:val="21"/>
              </w:rPr>
              <w:br w:type="textWrapping"/>
            </w:r>
            <w:r>
              <w:rPr>
                <w:rFonts w:hint="eastAsia" w:ascii="宋体" w:hAnsi="宋体" w:cs="宋体"/>
                <w:color w:val="000000"/>
                <w:kern w:val="0"/>
                <w:szCs w:val="21"/>
              </w:rPr>
              <w:t>4、拉链拉头拉片结合力：≥250N。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19</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灭火毯</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条</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7044" w:type="dxa"/>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1、规格：1m×1m</w:t>
            </w:r>
            <w:r>
              <w:rPr>
                <w:rFonts w:hint="eastAsia" w:ascii="宋体" w:hAnsi="宋体" w:cs="宋体"/>
                <w:color w:val="000000"/>
                <w:kern w:val="0"/>
                <w:szCs w:val="21"/>
              </w:rPr>
              <w:br w:type="textWrapping"/>
            </w:r>
            <w:r>
              <w:rPr>
                <w:rFonts w:hint="eastAsia" w:ascii="宋体" w:hAnsi="宋体" w:cs="宋体"/>
                <w:color w:val="000000"/>
                <w:kern w:val="0"/>
                <w:szCs w:val="21"/>
              </w:rPr>
              <w:t>2、材料性能：灭火毯应由不燃材料编织而成；灭火毯不应包含石棉等有毒、有害物质和灭火过程中或产生对人体有毒、有害的物质。</w:t>
            </w:r>
            <w:r>
              <w:rPr>
                <w:rFonts w:hint="eastAsia" w:ascii="宋体" w:hAnsi="宋体" w:cs="宋体"/>
                <w:color w:val="000000"/>
                <w:kern w:val="0"/>
                <w:szCs w:val="21"/>
              </w:rPr>
              <w:br w:type="textWrapping"/>
            </w:r>
            <w:r>
              <w:rPr>
                <w:rFonts w:hint="eastAsia" w:ascii="宋体" w:hAnsi="宋体" w:cs="宋体"/>
                <w:color w:val="000000"/>
                <w:kern w:val="0"/>
                <w:szCs w:val="21"/>
              </w:rPr>
              <w:t>3、操作性能：从单件包装盒（带）中取出灭火毯所使用的力≤80N；从灭火毯的备用位置取出灭火毯，到展开就位时间≤4S。</w:t>
            </w:r>
            <w:r>
              <w:rPr>
                <w:rFonts w:hint="eastAsia" w:ascii="宋体" w:hAnsi="宋体" w:cs="宋体"/>
                <w:color w:val="000000"/>
                <w:kern w:val="0"/>
                <w:szCs w:val="21"/>
              </w:rPr>
              <w:br w:type="textWrapping"/>
            </w:r>
            <w:r>
              <w:rPr>
                <w:rFonts w:hint="eastAsia" w:ascii="宋体" w:hAnsi="宋体" w:cs="宋体"/>
                <w:color w:val="000000"/>
                <w:kern w:val="0"/>
                <w:szCs w:val="21"/>
              </w:rPr>
              <w:t>4、柔软性能：进行柔软性能试验后，灭火毯在垂直于芯棒轴线的方向上，不应有变形。</w:t>
            </w:r>
            <w:r>
              <w:rPr>
                <w:rFonts w:hint="eastAsia" w:ascii="宋体" w:hAnsi="宋体" w:cs="宋体"/>
                <w:color w:val="000000"/>
                <w:kern w:val="0"/>
                <w:szCs w:val="21"/>
              </w:rPr>
              <w:br w:type="textWrapping"/>
            </w:r>
            <w:r>
              <w:rPr>
                <w:rFonts w:hint="eastAsia" w:ascii="宋体" w:hAnsi="宋体" w:cs="宋体"/>
                <w:color w:val="000000"/>
                <w:kern w:val="0"/>
                <w:szCs w:val="21"/>
              </w:rPr>
              <w:t>5、绝缘性能：灭火毯毯面之间的电阻≤1MΩ</w:t>
            </w:r>
            <w:r>
              <w:rPr>
                <w:rFonts w:hint="eastAsia" w:ascii="宋体" w:hAnsi="宋体" w:cs="宋体"/>
                <w:color w:val="000000"/>
                <w:kern w:val="0"/>
                <w:szCs w:val="21"/>
              </w:rPr>
              <w:br w:type="textWrapping"/>
            </w:r>
            <w:r>
              <w:rPr>
                <w:rFonts w:hint="eastAsia" w:ascii="宋体" w:hAnsi="宋体" w:cs="宋体"/>
                <w:color w:val="000000"/>
                <w:kern w:val="0"/>
                <w:szCs w:val="21"/>
              </w:rPr>
              <w:t>6、F类火灭火性能：灭火毯能扑灭F类火，在试验过程中，灭火毯应能保持完整不被烧穿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急救箱</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7044" w:type="dxa"/>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szCs w:val="21"/>
              </w:rPr>
              <w:t xml:space="preserve">急救箱应包含：供氧器，血压计，听诊器，体温计，压舌板，手电筒，开口器，舌钳，针灸套针，夹板，小砂轮，缝合包，治疗巾，止血钳，医用手套，棉球。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21</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防爆毯</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防爆毯</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7044" w:type="dxa"/>
            <w:shd w:val="clear" w:color="auto" w:fill="auto"/>
            <w:tcMar>
              <w:top w:w="15" w:type="dxa"/>
              <w:left w:w="15" w:type="dxa"/>
              <w:right w:w="15" w:type="dxa"/>
            </w:tcMar>
            <w:vAlign w:val="center"/>
          </w:tcPr>
          <w:p>
            <w:pPr>
              <w:widowControl/>
              <w:numPr>
                <w:ilvl w:val="0"/>
                <w:numId w:val="13"/>
              </w:numPr>
              <w:jc w:val="left"/>
              <w:textAlignment w:val="center"/>
              <w:rPr>
                <w:rFonts w:ascii="宋体" w:hAnsi="宋体" w:cs="宋体"/>
                <w:szCs w:val="21"/>
              </w:rPr>
            </w:pPr>
            <w:r>
              <w:rPr>
                <w:rFonts w:hint="eastAsia" w:ascii="宋体" w:hAnsi="宋体" w:cs="宋体"/>
                <w:szCs w:val="21"/>
              </w:rPr>
              <w:t>整套总重量不超过30Kg。</w:t>
            </w:r>
          </w:p>
          <w:p>
            <w:pPr>
              <w:widowControl/>
              <w:numPr>
                <w:ilvl w:val="0"/>
                <w:numId w:val="13"/>
              </w:numPr>
              <w:jc w:val="left"/>
              <w:textAlignment w:val="center"/>
              <w:rPr>
                <w:rFonts w:ascii="宋体" w:hAnsi="宋体" w:cs="宋体"/>
                <w:szCs w:val="21"/>
              </w:rPr>
            </w:pPr>
            <w:r>
              <w:rPr>
                <w:rFonts w:hint="eastAsia" w:ascii="宋体" w:hAnsi="宋体" w:cs="宋体"/>
                <w:szCs w:val="21"/>
              </w:rPr>
              <w:t>盖毯规格：1600mm*1600mm，</w:t>
            </w:r>
          </w:p>
          <w:p>
            <w:pPr>
              <w:widowControl/>
              <w:numPr>
                <w:ilvl w:val="0"/>
                <w:numId w:val="13"/>
              </w:numPr>
              <w:jc w:val="left"/>
              <w:textAlignment w:val="center"/>
              <w:rPr>
                <w:rFonts w:ascii="宋体" w:hAnsi="宋体" w:cs="宋体"/>
                <w:szCs w:val="21"/>
              </w:rPr>
            </w:pPr>
            <w:r>
              <w:rPr>
                <w:rFonts w:hint="eastAsia" w:ascii="宋体" w:hAnsi="宋体" w:cs="宋体"/>
                <w:kern w:val="0"/>
                <w:szCs w:val="21"/>
              </w:rPr>
              <w:t>盖毯结构由内至外依次为: 1层聚乙烯漫胶片+40层聚乙烯防刺毡+1层聚乙常浸胶片，盖毯中间有1个直径为300mm的泄爆孔。</w:t>
            </w:r>
          </w:p>
          <w:p>
            <w:pPr>
              <w:widowControl/>
              <w:numPr>
                <w:ilvl w:val="0"/>
                <w:numId w:val="13"/>
              </w:numPr>
              <w:jc w:val="left"/>
              <w:textAlignment w:val="center"/>
              <w:rPr>
                <w:rFonts w:ascii="宋体" w:hAnsi="宋体" w:cs="宋体"/>
                <w:szCs w:val="21"/>
              </w:rPr>
            </w:pPr>
            <w:r>
              <w:rPr>
                <w:rFonts w:hint="eastAsia" w:ascii="宋体" w:hAnsi="宋体" w:cs="宋体"/>
                <w:kern w:val="0"/>
                <w:szCs w:val="21"/>
              </w:rPr>
              <w:t>外围栏内径为700mm高度为160mm;围栏新面结构由内至外依次为: 2层聚乙烯漫胶板+23层聚乙烯防刺毡+35层聚乙烯漫胶片</w:t>
            </w:r>
            <w:r>
              <w:rPr>
                <w:rFonts w:hint="eastAsia" w:ascii="宋体" w:hAnsi="宋体" w:cs="宋体"/>
                <w:szCs w:val="21"/>
              </w:rPr>
              <w:t>。</w:t>
            </w:r>
          </w:p>
          <w:p>
            <w:pPr>
              <w:widowControl/>
              <w:numPr>
                <w:ilvl w:val="0"/>
                <w:numId w:val="13"/>
              </w:numPr>
              <w:jc w:val="left"/>
              <w:textAlignment w:val="center"/>
              <w:rPr>
                <w:rFonts w:ascii="宋体" w:hAnsi="宋体" w:cs="宋体"/>
                <w:szCs w:val="21"/>
              </w:rPr>
            </w:pPr>
            <w:r>
              <w:rPr>
                <w:rFonts w:hint="eastAsia" w:ascii="宋体" w:hAnsi="宋体" w:cs="宋体"/>
                <w:kern w:val="0"/>
                <w:szCs w:val="21"/>
              </w:rPr>
              <w:t>内围栏内径为440mm,高度为315mm;围栏断面结构由内至外依次为: 3层聚乙烯浸胶板+50层聚乙烯防刺毡+80层聚乙烯浸胶片</w:t>
            </w:r>
            <w:r>
              <w:rPr>
                <w:rFonts w:hint="eastAsia" w:ascii="宋体" w:hAnsi="宋体" w:cs="宋体"/>
                <w:szCs w:val="21"/>
              </w:rPr>
              <w:t>。</w:t>
            </w:r>
            <w:r>
              <w:rPr>
                <w:rFonts w:hint="eastAsia"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22</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手持式液压钳</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7044" w:type="dxa"/>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szCs w:val="21"/>
              </w:rPr>
              <w:t>1、功率：≥850W</w:t>
            </w:r>
          </w:p>
          <w:p>
            <w:pPr>
              <w:widowControl/>
              <w:jc w:val="left"/>
              <w:textAlignment w:val="center"/>
              <w:rPr>
                <w:rFonts w:ascii="宋体" w:hAnsi="宋体" w:cs="宋体"/>
                <w:color w:val="000000"/>
                <w:szCs w:val="21"/>
              </w:rPr>
            </w:pPr>
            <w:r>
              <w:rPr>
                <w:rFonts w:hint="eastAsia" w:ascii="宋体" w:hAnsi="宋体" w:cs="宋体"/>
                <w:color w:val="000000"/>
                <w:szCs w:val="21"/>
              </w:rPr>
              <w:t>2、切断速度：2.5s-3.0s</w:t>
            </w:r>
          </w:p>
          <w:p>
            <w:pPr>
              <w:widowControl/>
              <w:jc w:val="left"/>
              <w:textAlignment w:val="center"/>
              <w:rPr>
                <w:rFonts w:ascii="宋体" w:hAnsi="宋体" w:cs="宋体"/>
                <w:color w:val="000000"/>
                <w:szCs w:val="21"/>
              </w:rPr>
            </w:pPr>
            <w:r>
              <w:rPr>
                <w:rFonts w:hint="eastAsia" w:ascii="宋体" w:hAnsi="宋体" w:cs="宋体"/>
                <w:color w:val="000000"/>
                <w:szCs w:val="21"/>
              </w:rPr>
              <w:t>3、最大切割直径：16mm</w:t>
            </w:r>
          </w:p>
          <w:p>
            <w:pPr>
              <w:widowControl/>
              <w:jc w:val="left"/>
              <w:textAlignment w:val="center"/>
              <w:rPr>
                <w:rFonts w:ascii="宋体" w:hAnsi="宋体" w:cs="宋体"/>
                <w:color w:val="000000"/>
                <w:szCs w:val="21"/>
              </w:rPr>
            </w:pPr>
            <w:r>
              <w:rPr>
                <w:rFonts w:hint="eastAsia" w:ascii="宋体" w:hAnsi="宋体" w:cs="宋体"/>
                <w:color w:val="000000"/>
                <w:szCs w:val="21"/>
              </w:rPr>
              <w:t>4、最小切割直径：4mm</w:t>
            </w:r>
          </w:p>
          <w:p>
            <w:pPr>
              <w:widowControl/>
              <w:jc w:val="left"/>
              <w:textAlignment w:val="center"/>
              <w:rPr>
                <w:rFonts w:ascii="宋体" w:hAnsi="宋体" w:cs="宋体"/>
                <w:color w:val="000000"/>
                <w:szCs w:val="21"/>
              </w:rPr>
            </w:pPr>
            <w:r>
              <w:rPr>
                <w:rFonts w:hint="eastAsia" w:ascii="宋体" w:hAnsi="宋体" w:cs="宋体"/>
                <w:color w:val="000000"/>
                <w:szCs w:val="21"/>
              </w:rPr>
              <w:t>5、重量：≤13kg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23</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警用肩灯</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45</w:t>
            </w:r>
          </w:p>
        </w:tc>
        <w:tc>
          <w:tcPr>
            <w:tcW w:w="7044" w:type="dxa"/>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1、工作温度：-20℃-+60℃；</w:t>
            </w:r>
            <w:r>
              <w:rPr>
                <w:rFonts w:hint="eastAsia" w:ascii="宋体" w:hAnsi="宋体" w:cs="宋体"/>
                <w:color w:val="000000"/>
                <w:kern w:val="0"/>
                <w:szCs w:val="21"/>
              </w:rPr>
              <w:br w:type="textWrapping"/>
            </w:r>
            <w:r>
              <w:rPr>
                <w:rFonts w:hint="eastAsia" w:ascii="宋体" w:hAnsi="宋体" w:cs="宋体"/>
                <w:color w:val="000000"/>
                <w:kern w:val="0"/>
                <w:szCs w:val="21"/>
              </w:rPr>
              <w:t>2、闪动频率：8HZ；</w:t>
            </w:r>
            <w:r>
              <w:rPr>
                <w:rFonts w:hint="eastAsia" w:ascii="宋体" w:hAnsi="宋体" w:cs="宋体"/>
                <w:color w:val="000000"/>
                <w:kern w:val="0"/>
                <w:szCs w:val="21"/>
              </w:rPr>
              <w:br w:type="textWrapping"/>
            </w:r>
            <w:r>
              <w:rPr>
                <w:rFonts w:hint="eastAsia" w:ascii="宋体" w:hAnsi="宋体" w:cs="宋体"/>
                <w:color w:val="000000"/>
                <w:kern w:val="0"/>
                <w:szCs w:val="21"/>
              </w:rPr>
              <w:t>3、额定电压：3.7-4.2(VDC)；</w:t>
            </w:r>
            <w:r>
              <w:rPr>
                <w:rFonts w:hint="eastAsia" w:ascii="宋体" w:hAnsi="宋体" w:cs="宋体"/>
                <w:color w:val="000000"/>
                <w:kern w:val="0"/>
                <w:szCs w:val="21"/>
              </w:rPr>
              <w:br w:type="textWrapping"/>
            </w:r>
            <w:r>
              <w:rPr>
                <w:rFonts w:hint="eastAsia" w:ascii="宋体" w:hAnsi="宋体" w:cs="宋体"/>
                <w:color w:val="000000"/>
                <w:kern w:val="0"/>
                <w:szCs w:val="21"/>
              </w:rPr>
              <w:t>4、供电电源：聚合物锂电池，USB充电；</w:t>
            </w:r>
            <w:r>
              <w:rPr>
                <w:rFonts w:hint="eastAsia" w:ascii="宋体" w:hAnsi="宋体" w:cs="宋体"/>
                <w:color w:val="000000"/>
                <w:kern w:val="0"/>
                <w:szCs w:val="21"/>
              </w:rPr>
              <w:br w:type="textWrapping"/>
            </w:r>
            <w:r>
              <w:rPr>
                <w:rFonts w:hint="eastAsia" w:ascii="宋体" w:hAnsi="宋体" w:cs="宋体"/>
                <w:color w:val="000000"/>
                <w:kern w:val="0"/>
                <w:szCs w:val="21"/>
              </w:rPr>
              <w:t>5、电源保护：过充、过放、过流、短路、高温充放电；</w:t>
            </w:r>
            <w:r>
              <w:rPr>
                <w:rFonts w:hint="eastAsia" w:ascii="宋体" w:hAnsi="宋体" w:cs="宋体"/>
                <w:color w:val="000000"/>
                <w:kern w:val="0"/>
                <w:szCs w:val="21"/>
              </w:rPr>
              <w:br w:type="textWrapping"/>
            </w:r>
            <w:r>
              <w:rPr>
                <w:rFonts w:hint="eastAsia" w:ascii="宋体" w:hAnsi="宋体" w:cs="宋体"/>
                <w:color w:val="000000"/>
                <w:kern w:val="0"/>
                <w:szCs w:val="21"/>
              </w:rPr>
              <w:t>6、电源容量：500(mah)；</w:t>
            </w:r>
            <w:r>
              <w:rPr>
                <w:rFonts w:hint="eastAsia" w:ascii="宋体" w:hAnsi="宋体" w:cs="宋体"/>
                <w:color w:val="000000"/>
                <w:kern w:val="0"/>
                <w:szCs w:val="21"/>
              </w:rPr>
              <w:br w:type="textWrapping"/>
            </w:r>
            <w:r>
              <w:rPr>
                <w:rFonts w:hint="eastAsia" w:ascii="宋体" w:hAnsi="宋体" w:cs="宋体"/>
                <w:color w:val="000000"/>
                <w:kern w:val="0"/>
                <w:szCs w:val="21"/>
              </w:rPr>
              <w:t>7、控制方式：轻触数控；</w:t>
            </w:r>
            <w:r>
              <w:rPr>
                <w:rFonts w:hint="eastAsia" w:ascii="宋体" w:hAnsi="宋体" w:cs="宋体"/>
                <w:color w:val="000000"/>
                <w:kern w:val="0"/>
                <w:szCs w:val="21"/>
              </w:rPr>
              <w:br w:type="textWrapping"/>
            </w:r>
            <w:r>
              <w:rPr>
                <w:rFonts w:hint="eastAsia" w:ascii="宋体" w:hAnsi="宋体" w:cs="宋体"/>
                <w:color w:val="000000"/>
                <w:kern w:val="0"/>
                <w:szCs w:val="21"/>
              </w:rPr>
              <w:t>8、充电时间：3-4小时；</w:t>
            </w:r>
            <w:r>
              <w:rPr>
                <w:rFonts w:hint="eastAsia" w:ascii="宋体" w:hAnsi="宋体" w:cs="宋体"/>
                <w:color w:val="000000"/>
                <w:kern w:val="0"/>
                <w:szCs w:val="21"/>
              </w:rPr>
              <w:br w:type="textWrapping"/>
            </w:r>
            <w:r>
              <w:rPr>
                <w:rFonts w:hint="eastAsia" w:ascii="宋体" w:hAnsi="宋体" w:cs="宋体"/>
                <w:color w:val="000000"/>
                <w:kern w:val="0"/>
                <w:szCs w:val="21"/>
              </w:rPr>
              <w:t>9、工作时间：≥11小时；</w:t>
            </w:r>
            <w:r>
              <w:rPr>
                <w:rFonts w:hint="eastAsia" w:ascii="宋体" w:hAnsi="宋体" w:cs="宋体"/>
                <w:color w:val="000000"/>
                <w:kern w:val="0"/>
                <w:szCs w:val="21"/>
              </w:rPr>
              <w:br w:type="textWrapping"/>
            </w:r>
            <w:r>
              <w:rPr>
                <w:rFonts w:hint="eastAsia" w:ascii="宋体" w:hAnsi="宋体" w:cs="宋体"/>
                <w:color w:val="000000"/>
                <w:kern w:val="0"/>
                <w:szCs w:val="21"/>
              </w:rPr>
              <w:t>10、充电方式：恒流涓充；</w:t>
            </w:r>
            <w:r>
              <w:rPr>
                <w:rFonts w:hint="eastAsia" w:ascii="宋体" w:hAnsi="宋体" w:cs="宋体"/>
                <w:color w:val="000000"/>
                <w:kern w:val="0"/>
                <w:szCs w:val="21"/>
              </w:rPr>
              <w:br w:type="textWrapping"/>
            </w:r>
            <w:r>
              <w:rPr>
                <w:rFonts w:hint="eastAsia" w:ascii="宋体" w:hAnsi="宋体" w:cs="宋体"/>
                <w:color w:val="000000"/>
                <w:kern w:val="0"/>
                <w:szCs w:val="21"/>
              </w:rPr>
              <w:t>11、工作方式：红蓝警闪、照明；</w:t>
            </w:r>
            <w:r>
              <w:rPr>
                <w:rFonts w:hint="eastAsia" w:ascii="宋体" w:hAnsi="宋体" w:cs="宋体"/>
                <w:color w:val="000000"/>
                <w:kern w:val="0"/>
                <w:szCs w:val="21"/>
              </w:rPr>
              <w:br w:type="textWrapping"/>
            </w:r>
            <w:r>
              <w:rPr>
                <w:rFonts w:hint="eastAsia" w:ascii="宋体" w:hAnsi="宋体" w:cs="宋体"/>
                <w:color w:val="000000"/>
                <w:kern w:val="0"/>
                <w:szCs w:val="21"/>
              </w:rPr>
              <w:t>12、≤重量：12.5g；</w:t>
            </w:r>
            <w:r>
              <w:rPr>
                <w:rFonts w:hint="eastAsia" w:ascii="宋体" w:hAnsi="宋体" w:cs="宋体"/>
                <w:color w:val="000000"/>
                <w:kern w:val="0"/>
                <w:szCs w:val="21"/>
              </w:rPr>
              <w:br w:type="textWrapping"/>
            </w:r>
            <w:r>
              <w:rPr>
                <w:rFonts w:hint="eastAsia" w:ascii="宋体" w:hAnsi="宋体" w:cs="宋体"/>
                <w:color w:val="000000"/>
                <w:kern w:val="0"/>
                <w:szCs w:val="21"/>
              </w:rPr>
              <w:t>13、规格：80×33×26mm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24</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警用水壶</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7044" w:type="dxa"/>
            <w:shd w:val="clear" w:color="auto" w:fill="auto"/>
            <w:tcMar>
              <w:top w:w="15" w:type="dxa"/>
              <w:left w:w="15" w:type="dxa"/>
              <w:right w:w="15" w:type="dxa"/>
            </w:tcMar>
            <w:vAlign w:val="center"/>
          </w:tcPr>
          <w:p>
            <w:pPr>
              <w:widowControl/>
              <w:numPr>
                <w:ilvl w:val="0"/>
                <w:numId w:val="14"/>
              </w:numPr>
              <w:jc w:val="left"/>
              <w:textAlignment w:val="center"/>
              <w:rPr>
                <w:rFonts w:ascii="宋体" w:hAnsi="宋体" w:cs="宋体"/>
                <w:color w:val="000000"/>
                <w:kern w:val="0"/>
                <w:szCs w:val="21"/>
              </w:rPr>
            </w:pPr>
            <w:r>
              <w:rPr>
                <w:rFonts w:hint="eastAsia" w:ascii="宋体" w:hAnsi="宋体" w:cs="宋体"/>
                <w:color w:val="000000"/>
                <w:kern w:val="0"/>
                <w:szCs w:val="21"/>
              </w:rPr>
              <w:t>扁形真空结构</w:t>
            </w:r>
          </w:p>
          <w:p>
            <w:pPr>
              <w:widowControl/>
              <w:numPr>
                <w:ilvl w:val="0"/>
                <w:numId w:val="14"/>
              </w:numPr>
              <w:jc w:val="left"/>
              <w:textAlignment w:val="center"/>
              <w:rPr>
                <w:rFonts w:ascii="宋体" w:hAnsi="宋体" w:cs="宋体"/>
                <w:color w:val="000000"/>
                <w:kern w:val="0"/>
                <w:szCs w:val="21"/>
              </w:rPr>
            </w:pPr>
            <w:r>
              <w:rPr>
                <w:rFonts w:hint="eastAsia" w:ascii="宋体" w:hAnsi="宋体" w:cs="宋体"/>
                <w:color w:val="000000"/>
                <w:kern w:val="0"/>
                <w:szCs w:val="21"/>
              </w:rPr>
              <w:t>保温性能高，水壶由壶体、壶盖等组成。</w:t>
            </w:r>
          </w:p>
          <w:p>
            <w:pPr>
              <w:widowControl/>
              <w:numPr>
                <w:ilvl w:val="0"/>
                <w:numId w:val="14"/>
              </w:numPr>
              <w:jc w:val="left"/>
              <w:textAlignment w:val="center"/>
              <w:rPr>
                <w:rFonts w:ascii="宋体" w:hAnsi="宋体" w:cs="宋体"/>
                <w:color w:val="000000"/>
                <w:kern w:val="0"/>
                <w:szCs w:val="21"/>
              </w:rPr>
            </w:pPr>
            <w:r>
              <w:rPr>
                <w:rFonts w:hint="eastAsia" w:ascii="宋体" w:hAnsi="宋体" w:cs="宋体"/>
                <w:color w:val="000000"/>
                <w:kern w:val="0"/>
                <w:szCs w:val="21"/>
              </w:rPr>
              <w:t>容积：500±5ml</w:t>
            </w:r>
          </w:p>
          <w:p>
            <w:pPr>
              <w:widowControl/>
              <w:numPr>
                <w:ilvl w:val="0"/>
                <w:numId w:val="14"/>
              </w:numPr>
              <w:jc w:val="left"/>
              <w:textAlignment w:val="center"/>
              <w:rPr>
                <w:rFonts w:ascii="宋体" w:hAnsi="宋体" w:cs="宋体"/>
                <w:color w:val="000000"/>
                <w:kern w:val="0"/>
                <w:szCs w:val="21"/>
              </w:rPr>
            </w:pPr>
            <w:r>
              <w:rPr>
                <w:rFonts w:hint="eastAsia" w:ascii="宋体" w:hAnsi="宋体" w:cs="宋体"/>
                <w:color w:val="000000"/>
                <w:kern w:val="0"/>
                <w:szCs w:val="21"/>
              </w:rPr>
              <w:t>带壶盖高：215±2mm</w:t>
            </w:r>
          </w:p>
          <w:p>
            <w:pPr>
              <w:widowControl/>
              <w:numPr>
                <w:ilvl w:val="0"/>
                <w:numId w:val="14"/>
              </w:numPr>
              <w:jc w:val="left"/>
              <w:textAlignment w:val="center"/>
              <w:rPr>
                <w:rFonts w:ascii="宋体" w:hAnsi="宋体" w:cs="宋体"/>
                <w:color w:val="000000"/>
                <w:kern w:val="0"/>
                <w:szCs w:val="21"/>
              </w:rPr>
            </w:pPr>
            <w:r>
              <w:rPr>
                <w:rFonts w:hint="eastAsia" w:ascii="宋体" w:hAnsi="宋体" w:cs="宋体"/>
                <w:color w:val="000000"/>
                <w:kern w:val="0"/>
                <w:szCs w:val="21"/>
              </w:rPr>
              <w:t>壶体宽度：85±1mm</w:t>
            </w:r>
          </w:p>
          <w:p>
            <w:pPr>
              <w:widowControl/>
              <w:numPr>
                <w:ilvl w:val="0"/>
                <w:numId w:val="14"/>
              </w:numPr>
              <w:jc w:val="left"/>
              <w:textAlignment w:val="center"/>
              <w:rPr>
                <w:rFonts w:ascii="宋体" w:hAnsi="宋体" w:cs="宋体"/>
                <w:color w:val="000000"/>
                <w:kern w:val="0"/>
                <w:szCs w:val="21"/>
              </w:rPr>
            </w:pPr>
            <w:r>
              <w:rPr>
                <w:rFonts w:hint="eastAsia" w:ascii="宋体" w:hAnsi="宋体" w:cs="宋体"/>
                <w:color w:val="000000"/>
                <w:kern w:val="0"/>
                <w:szCs w:val="21"/>
              </w:rPr>
              <w:t>壶口内径：37±1mm</w:t>
            </w:r>
          </w:p>
          <w:p>
            <w:pPr>
              <w:widowControl/>
              <w:numPr>
                <w:ilvl w:val="0"/>
                <w:numId w:val="14"/>
              </w:numPr>
              <w:jc w:val="left"/>
              <w:textAlignment w:val="center"/>
              <w:rPr>
                <w:rFonts w:ascii="宋体" w:hAnsi="宋体" w:cs="宋体"/>
                <w:color w:val="000000"/>
                <w:kern w:val="0"/>
                <w:szCs w:val="21"/>
              </w:rPr>
            </w:pPr>
            <w:r>
              <w:rPr>
                <w:rFonts w:hint="eastAsia" w:ascii="宋体" w:hAnsi="宋体" w:cs="宋体"/>
                <w:color w:val="000000"/>
                <w:kern w:val="0"/>
                <w:szCs w:val="21"/>
              </w:rPr>
              <w:t>重量：≤400g</w:t>
            </w:r>
          </w:p>
          <w:p>
            <w:pPr>
              <w:widowControl/>
              <w:numPr>
                <w:ilvl w:val="0"/>
                <w:numId w:val="14"/>
              </w:numPr>
              <w:jc w:val="left"/>
              <w:textAlignment w:val="center"/>
              <w:rPr>
                <w:rFonts w:ascii="宋体" w:hAnsi="宋体" w:cs="宋体"/>
                <w:color w:val="000000"/>
                <w:kern w:val="0"/>
                <w:szCs w:val="21"/>
              </w:rPr>
            </w:pPr>
            <w:r>
              <w:rPr>
                <w:rFonts w:hint="eastAsia" w:ascii="宋体" w:hAnsi="宋体" w:cs="宋体"/>
                <w:color w:val="000000"/>
                <w:kern w:val="0"/>
                <w:szCs w:val="21"/>
              </w:rPr>
              <w:t>颜色：藏蓝色</w:t>
            </w:r>
          </w:p>
          <w:p>
            <w:pPr>
              <w:widowControl/>
              <w:numPr>
                <w:ilvl w:val="0"/>
                <w:numId w:val="14"/>
              </w:numPr>
              <w:jc w:val="left"/>
              <w:textAlignment w:val="center"/>
              <w:rPr>
                <w:rFonts w:ascii="宋体" w:hAnsi="宋体" w:cs="宋体"/>
                <w:color w:val="000000"/>
                <w:szCs w:val="21"/>
              </w:rPr>
            </w:pPr>
            <w:r>
              <w:rPr>
                <w:rFonts w:hint="eastAsia" w:ascii="宋体" w:hAnsi="宋体" w:cs="宋体"/>
                <w:color w:val="000000"/>
                <w:kern w:val="0"/>
                <w:szCs w:val="21"/>
              </w:rPr>
              <w:t xml:space="preserve">保温性能：将保温水壶装满95℃以上的水，壶盖锁紧，24h后水温不低于38℃。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遮挡围栏（遮挡布）</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7044" w:type="dxa"/>
            <w:shd w:val="clear" w:color="auto" w:fill="auto"/>
            <w:tcMar>
              <w:top w:w="15" w:type="dxa"/>
              <w:left w:w="15" w:type="dxa"/>
              <w:right w:w="15"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1、材料：PVC工程管材，警蓝色防水布85号色，3M黄白反光条。</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2、围挡分12节，每节高100CM，长70CM，每节有3个可拆卸活扣相联接。</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3、围挡折叠收起后高100CM，长70CM。</w:t>
            </w:r>
          </w:p>
          <w:p>
            <w:pPr>
              <w:widowControl/>
              <w:jc w:val="left"/>
              <w:textAlignment w:val="center"/>
              <w:rPr>
                <w:rFonts w:ascii="宋体" w:hAnsi="宋体" w:cs="宋体"/>
                <w:color w:val="000000"/>
                <w:szCs w:val="21"/>
              </w:rPr>
            </w:pPr>
            <w:r>
              <w:rPr>
                <w:rFonts w:hint="eastAsia" w:ascii="宋体" w:hAnsi="宋体" w:cs="宋体"/>
                <w:color w:val="000000"/>
                <w:kern w:val="0"/>
                <w:szCs w:val="21"/>
              </w:rPr>
              <w:t>4、防尘罩1个，可将围挡罩起，尼龙背带扎紧。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26</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当事人头套</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7044" w:type="dxa"/>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1、颜色：黑</w:t>
            </w:r>
            <w:r>
              <w:rPr>
                <w:rFonts w:hint="eastAsia" w:ascii="宋体" w:hAnsi="宋体" w:cs="宋体"/>
                <w:color w:val="000000"/>
                <w:kern w:val="0"/>
                <w:szCs w:val="21"/>
              </w:rPr>
              <w:br w:type="textWrapping"/>
            </w:r>
            <w:r>
              <w:rPr>
                <w:rFonts w:hint="eastAsia" w:ascii="宋体" w:hAnsi="宋体" w:cs="宋体"/>
                <w:color w:val="000000"/>
                <w:kern w:val="0"/>
                <w:szCs w:val="21"/>
              </w:rPr>
              <w:t>2、材质：纯棉面料</w:t>
            </w:r>
            <w:r>
              <w:rPr>
                <w:rFonts w:hint="eastAsia" w:ascii="宋体" w:hAnsi="宋体" w:cs="宋体"/>
                <w:color w:val="000000"/>
                <w:kern w:val="0"/>
                <w:szCs w:val="21"/>
              </w:rPr>
              <w:br w:type="textWrapping"/>
            </w:r>
            <w:r>
              <w:rPr>
                <w:rFonts w:hint="eastAsia" w:ascii="宋体" w:hAnsi="宋体" w:cs="宋体"/>
                <w:color w:val="000000"/>
                <w:kern w:val="0"/>
                <w:szCs w:val="21"/>
              </w:rPr>
              <w:t xml:space="preserve">3、外观：缝制圆顺，线头修清，对称部位一致；缝制线路顺直、平整、平服、牢固、松紧适宜；                                           </w:t>
            </w:r>
            <w:r>
              <w:rPr>
                <w:rFonts w:hint="eastAsia" w:ascii="宋体" w:hAnsi="宋体" w:cs="宋体"/>
                <w:color w:val="000000"/>
                <w:kern w:val="0"/>
                <w:szCs w:val="21"/>
              </w:rPr>
              <w:br w:type="textWrapping"/>
            </w:r>
            <w:r>
              <w:rPr>
                <w:rFonts w:hint="eastAsia" w:ascii="宋体" w:hAnsi="宋体" w:cs="宋体"/>
                <w:color w:val="000000"/>
                <w:kern w:val="0"/>
                <w:szCs w:val="21"/>
              </w:rPr>
              <w:t xml:space="preserve">4、抗起球性能：≥3级；                                   </w:t>
            </w:r>
            <w:r>
              <w:rPr>
                <w:rFonts w:hint="eastAsia" w:ascii="宋体" w:hAnsi="宋体" w:cs="宋体"/>
                <w:color w:val="000000"/>
                <w:kern w:val="0"/>
                <w:szCs w:val="21"/>
              </w:rPr>
              <w:br w:type="textWrapping"/>
            </w:r>
            <w:r>
              <w:rPr>
                <w:rFonts w:hint="eastAsia" w:ascii="宋体" w:hAnsi="宋体" w:cs="宋体"/>
                <w:color w:val="000000"/>
                <w:kern w:val="0"/>
                <w:szCs w:val="21"/>
              </w:rPr>
              <w:t xml:space="preserve">5、水洗变化率≤5%；                                     </w:t>
            </w:r>
            <w:r>
              <w:rPr>
                <w:rFonts w:hint="eastAsia" w:ascii="宋体" w:hAnsi="宋体" w:cs="宋体"/>
                <w:color w:val="000000"/>
                <w:kern w:val="0"/>
                <w:szCs w:val="21"/>
              </w:rPr>
              <w:br w:type="textWrapping"/>
            </w:r>
            <w:r>
              <w:rPr>
                <w:rFonts w:hint="eastAsia" w:ascii="宋体" w:hAnsi="宋体" w:cs="宋体"/>
                <w:color w:val="000000"/>
                <w:kern w:val="0"/>
                <w:szCs w:val="21"/>
              </w:rPr>
              <w:t xml:space="preserve">6、甲醛含量：≤75mg/kg；                                                        </w:t>
            </w:r>
            <w:r>
              <w:rPr>
                <w:rFonts w:hint="eastAsia" w:ascii="宋体" w:hAnsi="宋体" w:cs="宋体"/>
                <w:color w:val="000000"/>
                <w:kern w:val="0"/>
                <w:szCs w:val="21"/>
              </w:rPr>
              <w:br w:type="textWrapping"/>
            </w:r>
            <w:r>
              <w:rPr>
                <w:rFonts w:hint="eastAsia" w:ascii="宋体" w:hAnsi="宋体" w:cs="宋体"/>
                <w:color w:val="000000"/>
                <w:kern w:val="0"/>
                <w:szCs w:val="21"/>
              </w:rPr>
              <w:t xml:space="preserve">7、接缝强力≥185N；                                    </w:t>
            </w:r>
            <w:r>
              <w:rPr>
                <w:rFonts w:hint="eastAsia" w:ascii="宋体" w:hAnsi="宋体" w:cs="宋体"/>
                <w:color w:val="000000"/>
                <w:kern w:val="0"/>
                <w:szCs w:val="21"/>
              </w:rPr>
              <w:br w:type="textWrapping"/>
            </w:r>
            <w:r>
              <w:rPr>
                <w:rFonts w:hint="eastAsia" w:ascii="宋体" w:hAnsi="宋体" w:cs="宋体"/>
                <w:color w:val="000000"/>
                <w:kern w:val="0"/>
                <w:szCs w:val="21"/>
              </w:rPr>
              <w:t xml:space="preserve">8、面部开口尺寸稳定性：≤20%；                               </w:t>
            </w:r>
            <w:r>
              <w:rPr>
                <w:rFonts w:hint="eastAsia" w:ascii="宋体" w:hAnsi="宋体" w:cs="宋体"/>
                <w:color w:val="000000"/>
                <w:kern w:val="0"/>
                <w:szCs w:val="21"/>
              </w:rPr>
              <w:br w:type="textWrapping"/>
            </w:r>
            <w:r>
              <w:rPr>
                <w:rFonts w:hint="eastAsia" w:ascii="宋体" w:hAnsi="宋体" w:cs="宋体"/>
                <w:color w:val="000000"/>
                <w:kern w:val="0"/>
                <w:szCs w:val="21"/>
              </w:rPr>
              <w:t>9、质量≤300g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27</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轮椅</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7044" w:type="dxa"/>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szCs w:val="21"/>
              </w:rPr>
              <w:t>前轮尺寸：≥17CM</w:t>
            </w:r>
          </w:p>
          <w:p>
            <w:pPr>
              <w:widowControl/>
              <w:jc w:val="left"/>
              <w:textAlignment w:val="center"/>
              <w:rPr>
                <w:rFonts w:ascii="宋体" w:hAnsi="宋体" w:cs="宋体"/>
                <w:color w:val="000000"/>
                <w:szCs w:val="21"/>
              </w:rPr>
            </w:pPr>
            <w:r>
              <w:rPr>
                <w:rFonts w:hint="eastAsia" w:ascii="宋体" w:hAnsi="宋体" w:cs="宋体"/>
                <w:color w:val="000000"/>
                <w:szCs w:val="21"/>
              </w:rPr>
              <w:t>后轮尺寸：≥60CM</w:t>
            </w:r>
          </w:p>
          <w:p>
            <w:pPr>
              <w:widowControl/>
              <w:jc w:val="left"/>
              <w:textAlignment w:val="center"/>
              <w:rPr>
                <w:rFonts w:ascii="宋体" w:hAnsi="宋体" w:cs="宋体"/>
                <w:color w:val="000000"/>
                <w:szCs w:val="21"/>
              </w:rPr>
            </w:pPr>
            <w:r>
              <w:rPr>
                <w:rFonts w:hint="eastAsia" w:ascii="宋体" w:hAnsi="宋体" w:cs="宋体"/>
                <w:color w:val="000000"/>
                <w:szCs w:val="21"/>
              </w:rPr>
              <w:t>靠背高度：≥42CM</w:t>
            </w:r>
          </w:p>
          <w:p>
            <w:pPr>
              <w:widowControl/>
              <w:jc w:val="left"/>
              <w:textAlignment w:val="center"/>
              <w:rPr>
                <w:rFonts w:ascii="宋体" w:hAnsi="宋体" w:cs="宋体"/>
                <w:color w:val="000000"/>
                <w:szCs w:val="21"/>
              </w:rPr>
            </w:pPr>
            <w:r>
              <w:rPr>
                <w:rFonts w:hint="eastAsia" w:ascii="宋体" w:hAnsi="宋体" w:cs="宋体"/>
                <w:color w:val="000000"/>
                <w:szCs w:val="21"/>
              </w:rPr>
              <w:t>净重：≤18KG</w:t>
            </w:r>
          </w:p>
          <w:p>
            <w:pPr>
              <w:widowControl/>
              <w:jc w:val="left"/>
              <w:textAlignment w:val="center"/>
              <w:rPr>
                <w:rFonts w:ascii="宋体" w:hAnsi="宋体" w:cs="宋体"/>
                <w:color w:val="000000"/>
                <w:szCs w:val="21"/>
              </w:rPr>
            </w:pPr>
            <w:r>
              <w:rPr>
                <w:rFonts w:hint="eastAsia" w:ascii="宋体" w:hAnsi="宋体" w:cs="宋体"/>
                <w:color w:val="000000"/>
                <w:szCs w:val="21"/>
              </w:rPr>
              <w:t>承重：≥130KG</w:t>
            </w:r>
          </w:p>
          <w:p>
            <w:pPr>
              <w:widowControl/>
              <w:jc w:val="left"/>
              <w:textAlignment w:val="center"/>
              <w:rPr>
                <w:rFonts w:ascii="宋体" w:hAnsi="宋体" w:cs="宋体"/>
                <w:color w:val="000000"/>
                <w:szCs w:val="21"/>
              </w:rPr>
            </w:pPr>
            <w:r>
              <w:rPr>
                <w:rFonts w:hint="eastAsia" w:ascii="宋体" w:hAnsi="宋体" w:cs="宋体"/>
                <w:color w:val="000000"/>
                <w:szCs w:val="21"/>
              </w:rPr>
              <w:t>折叠尺寸：87*25*90CM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28</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酒精测试仪</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7044" w:type="dxa"/>
            <w:shd w:val="clear" w:color="auto" w:fill="auto"/>
            <w:tcMar>
              <w:top w:w="15" w:type="dxa"/>
              <w:left w:w="15" w:type="dxa"/>
              <w:right w:w="15" w:type="dxa"/>
            </w:tcMar>
            <w:vAlign w:val="center"/>
          </w:tcPr>
          <w:p>
            <w:pPr>
              <w:spacing w:line="360" w:lineRule="auto"/>
              <w:rPr>
                <w:rFonts w:ascii="宋体" w:hAnsi="宋体" w:cs="宋体"/>
                <w:color w:val="000000"/>
                <w:szCs w:val="21"/>
              </w:rPr>
            </w:pPr>
            <w:r>
              <w:rPr>
                <w:rFonts w:hint="eastAsia" w:ascii="宋体" w:hAnsi="宋体" w:cs="宋体"/>
                <w:color w:val="000000"/>
                <w:szCs w:val="21"/>
              </w:rPr>
              <w:t>1、检测探头：采用电化学燃料电池。</w:t>
            </w:r>
          </w:p>
          <w:p>
            <w:pPr>
              <w:spacing w:line="360" w:lineRule="auto"/>
              <w:rPr>
                <w:rFonts w:ascii="宋体" w:hAnsi="宋体" w:cs="宋体"/>
                <w:color w:val="000000"/>
                <w:szCs w:val="21"/>
              </w:rPr>
            </w:pPr>
            <w:r>
              <w:rPr>
                <w:rFonts w:hint="eastAsia" w:ascii="宋体" w:hAnsi="宋体" w:cs="宋体"/>
                <w:color w:val="000000"/>
                <w:szCs w:val="21"/>
              </w:rPr>
              <w:t>2、检测范围：0-150mg/100ml。</w:t>
            </w:r>
          </w:p>
          <w:p>
            <w:pPr>
              <w:spacing w:line="360" w:lineRule="auto"/>
              <w:rPr>
                <w:rFonts w:ascii="宋体" w:hAnsi="宋体" w:cs="宋体"/>
                <w:color w:val="000000"/>
                <w:szCs w:val="21"/>
              </w:rPr>
            </w:pPr>
            <w:r>
              <w:rPr>
                <w:rFonts w:hint="eastAsia" w:ascii="宋体" w:hAnsi="宋体" w:cs="宋体"/>
                <w:color w:val="000000"/>
                <w:szCs w:val="21"/>
              </w:rPr>
              <w:t>3、按键功能：按键伴有声音提示，使用直观。</w:t>
            </w:r>
          </w:p>
          <w:p>
            <w:pPr>
              <w:spacing w:line="360" w:lineRule="auto"/>
              <w:rPr>
                <w:rFonts w:ascii="宋体" w:hAnsi="宋体" w:cs="宋体"/>
                <w:color w:val="000000"/>
                <w:szCs w:val="21"/>
              </w:rPr>
            </w:pPr>
            <w:r>
              <w:rPr>
                <w:rFonts w:hint="eastAsia" w:ascii="宋体" w:hAnsi="宋体" w:cs="宋体"/>
                <w:color w:val="000000"/>
                <w:szCs w:val="21"/>
              </w:rPr>
              <w:t>4、屏幕显示：1.3寸高亮彩色LCD显示屏，不同的光照环境下屏幕底色自动切换，确保在强光下执勤看屏幕也很清楚，酒精测试过程在屏幕上动态显示，执勤方便。</w:t>
            </w:r>
          </w:p>
          <w:p>
            <w:pPr>
              <w:spacing w:line="360" w:lineRule="auto"/>
              <w:jc w:val="left"/>
              <w:rPr>
                <w:rFonts w:ascii="宋体" w:hAnsi="宋体" w:cs="宋体"/>
                <w:color w:val="000000"/>
                <w:szCs w:val="21"/>
              </w:rPr>
            </w:pPr>
            <w:r>
              <w:rPr>
                <w:rFonts w:hint="eastAsia" w:ascii="宋体" w:hAnsi="宋体" w:cs="宋体"/>
                <w:color w:val="000000"/>
                <w:szCs w:val="21"/>
              </w:rPr>
              <w:t>5、可存储60000条测试记录，记录内容有日期、时间、温度和酒精浓度值等。</w:t>
            </w:r>
          </w:p>
          <w:p>
            <w:pPr>
              <w:spacing w:line="360" w:lineRule="auto"/>
              <w:jc w:val="left"/>
              <w:rPr>
                <w:rFonts w:ascii="宋体" w:hAnsi="宋体" w:cs="宋体"/>
                <w:color w:val="000000"/>
                <w:szCs w:val="21"/>
              </w:rPr>
            </w:pPr>
            <w:r>
              <w:rPr>
                <w:rFonts w:hint="eastAsia" w:ascii="宋体" w:hAnsi="宋体" w:cs="宋体"/>
                <w:color w:val="000000"/>
                <w:szCs w:val="21"/>
              </w:rPr>
              <w:t>6、电子哨音功能：使得交通指挥棒更有灵便性。</w:t>
            </w:r>
          </w:p>
          <w:p>
            <w:pPr>
              <w:spacing w:line="360" w:lineRule="auto"/>
              <w:jc w:val="left"/>
              <w:rPr>
                <w:rFonts w:ascii="宋体" w:hAnsi="宋体" w:cs="宋体"/>
                <w:color w:val="000000"/>
                <w:szCs w:val="21"/>
              </w:rPr>
            </w:pPr>
            <w:r>
              <w:rPr>
                <w:rFonts w:hint="eastAsia" w:ascii="宋体" w:hAnsi="宋体" w:cs="宋体"/>
                <w:color w:val="000000"/>
                <w:szCs w:val="21"/>
              </w:rPr>
              <w:t>7、防水功能：所有按键和USB接口处都有采用简单适用的防水设计。</w:t>
            </w:r>
          </w:p>
          <w:p>
            <w:pPr>
              <w:spacing w:line="360" w:lineRule="auto"/>
              <w:rPr>
                <w:rFonts w:ascii="宋体" w:hAnsi="宋体" w:cs="宋体"/>
                <w:color w:val="000000"/>
                <w:szCs w:val="21"/>
              </w:rPr>
            </w:pPr>
            <w:r>
              <w:rPr>
                <w:rFonts w:hint="eastAsia" w:ascii="宋体" w:hAnsi="宋体" w:cs="宋体"/>
                <w:color w:val="000000"/>
                <w:szCs w:val="21"/>
              </w:rPr>
              <w:t>8、提示功能：当检测标准超过20mg/L时能进行提醒。应至少具备以下2种：指示灯闪烁提醒、震动提醒。</w:t>
            </w:r>
          </w:p>
          <w:p>
            <w:pPr>
              <w:spacing w:line="360" w:lineRule="auto"/>
              <w:rPr>
                <w:rFonts w:ascii="宋体" w:hAnsi="宋体" w:cs="宋体"/>
                <w:color w:val="000000"/>
                <w:szCs w:val="21"/>
              </w:rPr>
            </w:pPr>
            <w:r>
              <w:rPr>
                <w:rFonts w:hint="eastAsia" w:ascii="宋体" w:hAnsi="宋体" w:cs="宋体"/>
                <w:color w:val="000000"/>
                <w:szCs w:val="21"/>
              </w:rPr>
              <w:t>9、快速排查检测：采用电机循环抽气采样，被测人只要靠近进气口哈气，就能自动采样分析， 无须手动按键采样。检测快速，最快1秒出结果。</w:t>
            </w:r>
          </w:p>
          <w:p>
            <w:pPr>
              <w:spacing w:line="360" w:lineRule="auto"/>
              <w:rPr>
                <w:rFonts w:ascii="宋体" w:hAnsi="宋体" w:cs="宋体"/>
                <w:color w:val="000000"/>
                <w:szCs w:val="21"/>
              </w:rPr>
            </w:pPr>
            <w:r>
              <w:rPr>
                <w:rFonts w:hint="eastAsia" w:ascii="宋体" w:hAnsi="宋体" w:cs="宋体"/>
                <w:color w:val="000000"/>
                <w:szCs w:val="21"/>
              </w:rPr>
              <w:t>10、定性检测：具备定性检测功能，为确保执法的公平与准确性，其定性测试结果用数据直观显示。</w:t>
            </w:r>
          </w:p>
          <w:p>
            <w:pPr>
              <w:spacing w:line="360" w:lineRule="auto"/>
              <w:rPr>
                <w:rFonts w:ascii="宋体" w:hAnsi="宋体" w:cs="宋体"/>
                <w:color w:val="000000"/>
                <w:szCs w:val="21"/>
              </w:rPr>
            </w:pPr>
            <w:r>
              <w:rPr>
                <w:rFonts w:hint="eastAsia" w:ascii="宋体" w:hAnsi="宋体" w:cs="宋体"/>
                <w:color w:val="000000"/>
                <w:szCs w:val="21"/>
              </w:rPr>
              <w:t>11、采样品：采用凹面式采样口设计，具有导向、收集气体功能。</w:t>
            </w:r>
          </w:p>
          <w:p>
            <w:pPr>
              <w:spacing w:line="360" w:lineRule="auto"/>
              <w:rPr>
                <w:rFonts w:ascii="宋体" w:hAnsi="宋体" w:cs="宋体"/>
                <w:color w:val="000000"/>
                <w:szCs w:val="21"/>
              </w:rPr>
            </w:pPr>
            <w:r>
              <w:rPr>
                <w:rFonts w:hint="eastAsia" w:ascii="宋体" w:hAnsi="宋体" w:cs="宋体"/>
                <w:color w:val="000000"/>
                <w:szCs w:val="21"/>
              </w:rPr>
              <w:t>12、不用预热时间：开机直接测试。</w:t>
            </w:r>
          </w:p>
          <w:p>
            <w:pPr>
              <w:spacing w:line="360" w:lineRule="auto"/>
              <w:rPr>
                <w:rFonts w:ascii="宋体" w:hAnsi="宋体" w:cs="宋体"/>
                <w:color w:val="000000"/>
                <w:szCs w:val="21"/>
              </w:rPr>
            </w:pPr>
            <w:r>
              <w:rPr>
                <w:rFonts w:hint="eastAsia" w:ascii="宋体" w:hAnsi="宋体" w:cs="宋体"/>
                <w:color w:val="000000"/>
                <w:szCs w:val="21"/>
              </w:rPr>
              <w:t>13、电源：节能设计，采用可充锂离子电池，容量3000mAh，连续工作8小时以上。</w:t>
            </w:r>
          </w:p>
          <w:p>
            <w:pPr>
              <w:spacing w:line="360" w:lineRule="auto"/>
              <w:rPr>
                <w:rFonts w:ascii="宋体" w:hAnsi="宋体" w:cs="宋体"/>
                <w:color w:val="000000"/>
                <w:szCs w:val="21"/>
              </w:rPr>
            </w:pPr>
            <w:r>
              <w:rPr>
                <w:rFonts w:hint="eastAsia" w:ascii="宋体" w:hAnsi="宋体" w:cs="宋体"/>
                <w:color w:val="000000"/>
                <w:szCs w:val="21"/>
              </w:rPr>
              <w:t>14、设备外观尺寸、重量：符合人体工程学棒式设计，长度不得大于330mm, 方便携带。</w:t>
            </w:r>
          </w:p>
          <w:p>
            <w:pPr>
              <w:spacing w:line="360" w:lineRule="auto"/>
              <w:rPr>
                <w:rFonts w:ascii="宋体" w:hAnsi="宋体" w:cs="宋体"/>
                <w:color w:val="000000"/>
                <w:szCs w:val="21"/>
              </w:rPr>
            </w:pPr>
            <w:r>
              <w:rPr>
                <w:rFonts w:hint="eastAsia" w:ascii="宋体" w:hAnsi="宋体" w:cs="宋体"/>
                <w:color w:val="000000"/>
                <w:szCs w:val="21"/>
              </w:rPr>
              <w:t>15、手电模式：手电照明在手柄的前端，方便使用。</w:t>
            </w:r>
          </w:p>
          <w:p>
            <w:pPr>
              <w:spacing w:line="360" w:lineRule="auto"/>
              <w:rPr>
                <w:rFonts w:ascii="宋体" w:hAnsi="宋体" w:cs="宋体"/>
                <w:color w:val="000000"/>
                <w:szCs w:val="21"/>
              </w:rPr>
            </w:pPr>
            <w:r>
              <w:rPr>
                <w:rFonts w:hint="eastAsia" w:ascii="宋体" w:hAnsi="宋体" w:cs="宋体"/>
                <w:color w:val="000000"/>
                <w:szCs w:val="21"/>
              </w:rPr>
              <w:t>16、仪器具有多种设置功能，适应各种使用单位要求。</w:t>
            </w:r>
          </w:p>
          <w:p>
            <w:pPr>
              <w:spacing w:line="360" w:lineRule="auto"/>
              <w:rPr>
                <w:rFonts w:ascii="宋体" w:hAnsi="宋体" w:cs="宋体"/>
                <w:color w:val="000000"/>
                <w:szCs w:val="21"/>
              </w:rPr>
            </w:pPr>
            <w:r>
              <w:rPr>
                <w:rFonts w:hint="eastAsia" w:ascii="宋体" w:hAnsi="宋体" w:cs="宋体"/>
                <w:color w:val="000000"/>
                <w:szCs w:val="21"/>
              </w:rPr>
              <w:t>17、进气孔处有防水防尘材料，防止水和尘粒进入测酒精的核心元件（电化学酒精感觉器），增加了仪器的使用性和使用寿命。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29</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手持式金属探测器</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7044" w:type="dxa"/>
            <w:shd w:val="clear" w:color="auto" w:fill="auto"/>
            <w:tcMar>
              <w:top w:w="15" w:type="dxa"/>
              <w:left w:w="15" w:type="dxa"/>
              <w:right w:w="15" w:type="dxa"/>
            </w:tcMar>
            <w:vAlign w:val="center"/>
          </w:tcPr>
          <w:p>
            <w:pPr>
              <w:widowControl/>
              <w:numPr>
                <w:ilvl w:val="0"/>
                <w:numId w:val="15"/>
              </w:numPr>
              <w:jc w:val="left"/>
              <w:textAlignment w:val="center"/>
              <w:rPr>
                <w:rFonts w:ascii="宋体" w:hAnsi="宋体" w:cs="宋体"/>
                <w:color w:val="000000"/>
                <w:szCs w:val="21"/>
              </w:rPr>
            </w:pPr>
            <w:r>
              <w:rPr>
                <w:rFonts w:hint="eastAsia" w:ascii="宋体" w:hAnsi="宋体" w:cs="宋体"/>
                <w:color w:val="000000"/>
                <w:kern w:val="0"/>
                <w:szCs w:val="21"/>
              </w:rPr>
              <w:t>外观：表面光滑洁净，不应出现龟裂起泡、涂层脱落、尖角锐棱、飞边毛刺、明显划痕。</w:t>
            </w:r>
          </w:p>
          <w:p>
            <w:pPr>
              <w:widowControl/>
              <w:numPr>
                <w:ilvl w:val="0"/>
                <w:numId w:val="15"/>
              </w:numPr>
              <w:jc w:val="left"/>
              <w:textAlignment w:val="center"/>
              <w:rPr>
                <w:rFonts w:ascii="宋体" w:hAnsi="宋体" w:cs="宋体"/>
                <w:color w:val="000000"/>
                <w:szCs w:val="21"/>
              </w:rPr>
            </w:pPr>
            <w:r>
              <w:rPr>
                <w:rFonts w:hint="eastAsia" w:ascii="宋体" w:hAnsi="宋体" w:cs="宋体"/>
                <w:color w:val="000000"/>
                <w:kern w:val="0"/>
                <w:szCs w:val="21"/>
              </w:rPr>
              <w:t>外壳防护：应不低于GB4208规定的IP31要求，探头和操作面板应能防护偶然的雨水滴溅，整机应能防止异物进入内部。</w:t>
            </w:r>
          </w:p>
          <w:p>
            <w:pPr>
              <w:widowControl/>
              <w:numPr>
                <w:ilvl w:val="0"/>
                <w:numId w:val="15"/>
              </w:numPr>
              <w:jc w:val="left"/>
              <w:textAlignment w:val="center"/>
              <w:rPr>
                <w:rFonts w:ascii="宋体" w:hAnsi="宋体" w:cs="宋体"/>
                <w:color w:val="000000"/>
                <w:szCs w:val="21"/>
              </w:rPr>
            </w:pPr>
            <w:r>
              <w:rPr>
                <w:rFonts w:hint="eastAsia" w:ascii="宋体" w:hAnsi="宋体" w:cs="宋体"/>
                <w:color w:val="000000"/>
                <w:kern w:val="0"/>
                <w:szCs w:val="21"/>
              </w:rPr>
              <w:t>电池：电池应内置，且便于更换或充电。电池部分应与电池仓有效隔离，以免被电池液腐蚀。</w:t>
            </w:r>
          </w:p>
          <w:p>
            <w:pPr>
              <w:widowControl/>
              <w:numPr>
                <w:ilvl w:val="0"/>
                <w:numId w:val="15"/>
              </w:numPr>
              <w:jc w:val="left"/>
              <w:textAlignment w:val="center"/>
              <w:rPr>
                <w:rFonts w:ascii="宋体" w:hAnsi="宋体" w:cs="宋体"/>
                <w:color w:val="000000"/>
                <w:szCs w:val="21"/>
              </w:rPr>
            </w:pPr>
            <w:r>
              <w:rPr>
                <w:rFonts w:hint="eastAsia" w:ascii="宋体" w:hAnsi="宋体" w:cs="宋体"/>
                <w:color w:val="000000"/>
                <w:kern w:val="0"/>
                <w:szCs w:val="21"/>
              </w:rPr>
              <w:t>尺寸：长≤600mm，宽≤100mm，厚≤70mm</w:t>
            </w:r>
          </w:p>
          <w:p>
            <w:pPr>
              <w:widowControl/>
              <w:numPr>
                <w:ilvl w:val="0"/>
                <w:numId w:val="15"/>
              </w:numPr>
              <w:jc w:val="left"/>
              <w:textAlignment w:val="center"/>
              <w:rPr>
                <w:rFonts w:ascii="宋体" w:hAnsi="宋体" w:cs="宋体"/>
                <w:color w:val="000000"/>
                <w:szCs w:val="21"/>
              </w:rPr>
            </w:pPr>
            <w:r>
              <w:rPr>
                <w:rFonts w:hint="eastAsia" w:ascii="宋体" w:hAnsi="宋体" w:cs="宋体"/>
                <w:color w:val="000000"/>
                <w:kern w:val="0"/>
                <w:szCs w:val="21"/>
              </w:rPr>
              <w:t>整机质量：≤600g</w:t>
            </w:r>
          </w:p>
          <w:p>
            <w:pPr>
              <w:widowControl/>
              <w:numPr>
                <w:ilvl w:val="0"/>
                <w:numId w:val="15"/>
              </w:numPr>
              <w:jc w:val="left"/>
              <w:textAlignment w:val="center"/>
              <w:rPr>
                <w:rFonts w:ascii="宋体" w:hAnsi="宋体" w:cs="宋体"/>
                <w:color w:val="000000"/>
                <w:szCs w:val="21"/>
              </w:rPr>
            </w:pPr>
            <w:r>
              <w:rPr>
                <w:rFonts w:hint="eastAsia" w:ascii="宋体" w:hAnsi="宋体" w:cs="宋体"/>
                <w:color w:val="000000"/>
                <w:kern w:val="0"/>
                <w:szCs w:val="21"/>
              </w:rPr>
              <w:t>灵敏度：至少应能适合或覆盖一个检测等级。</w:t>
            </w:r>
          </w:p>
          <w:p>
            <w:pPr>
              <w:widowControl/>
              <w:numPr>
                <w:ilvl w:val="0"/>
                <w:numId w:val="15"/>
              </w:numPr>
              <w:jc w:val="left"/>
              <w:textAlignment w:val="center"/>
              <w:rPr>
                <w:rFonts w:ascii="宋体" w:hAnsi="宋体" w:cs="宋体"/>
                <w:color w:val="000000"/>
                <w:szCs w:val="21"/>
              </w:rPr>
            </w:pPr>
            <w:r>
              <w:rPr>
                <w:rFonts w:hint="eastAsia" w:ascii="宋体" w:hAnsi="宋体" w:cs="宋体"/>
                <w:color w:val="000000"/>
                <w:kern w:val="0"/>
                <w:szCs w:val="21"/>
              </w:rPr>
              <w:t>报警声音：报警声最大不应低于75dB。</w:t>
            </w:r>
          </w:p>
          <w:p>
            <w:pPr>
              <w:widowControl/>
              <w:numPr>
                <w:ilvl w:val="0"/>
                <w:numId w:val="15"/>
              </w:numPr>
              <w:jc w:val="left"/>
              <w:textAlignment w:val="center"/>
              <w:rPr>
                <w:rFonts w:ascii="宋体" w:hAnsi="宋体" w:cs="宋体"/>
                <w:color w:val="000000"/>
                <w:szCs w:val="21"/>
              </w:rPr>
            </w:pPr>
            <w:r>
              <w:rPr>
                <w:rFonts w:hint="eastAsia" w:ascii="宋体" w:hAnsi="宋体" w:cs="宋体"/>
                <w:color w:val="000000"/>
                <w:kern w:val="0"/>
                <w:szCs w:val="21"/>
              </w:rPr>
              <w:t>报警显示：报警显示应与非报警显示有区别。报警显示时宜采用红色，且在100001x的明亮环境和251x的昏暗环境下均应能清晰的观看到。</w:t>
            </w:r>
          </w:p>
          <w:p>
            <w:pPr>
              <w:widowControl/>
              <w:numPr>
                <w:ilvl w:val="0"/>
                <w:numId w:val="15"/>
              </w:numPr>
              <w:jc w:val="left"/>
              <w:textAlignment w:val="center"/>
              <w:rPr>
                <w:rFonts w:ascii="宋体" w:hAnsi="宋体" w:cs="宋体"/>
                <w:color w:val="000000"/>
                <w:szCs w:val="21"/>
              </w:rPr>
            </w:pPr>
            <w:r>
              <w:rPr>
                <w:rFonts w:hint="eastAsia" w:ascii="宋体" w:hAnsi="宋体" w:cs="宋体"/>
                <w:color w:val="000000"/>
                <w:kern w:val="0"/>
                <w:szCs w:val="21"/>
              </w:rPr>
              <w:t>报警状态：探测器应有报警状态自动恢复功能。在离开报警测试物规定距离后，报警指示应立即停止。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8" w:hRule="atLeast"/>
        </w:trPr>
        <w:tc>
          <w:tcPr>
            <w:tcW w:w="322"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c>
          <w:tcPr>
            <w:tcW w:w="540"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储物柜</w:t>
            </w:r>
          </w:p>
        </w:tc>
        <w:tc>
          <w:tcPr>
            <w:tcW w:w="516"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504" w:type="dxa"/>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7044" w:type="dxa"/>
            <w:shd w:val="clear" w:color="auto" w:fill="auto"/>
            <w:tcMar>
              <w:top w:w="15" w:type="dxa"/>
              <w:left w:w="15" w:type="dxa"/>
              <w:right w:w="15" w:type="dxa"/>
            </w:tcMar>
            <w:vAlign w:val="center"/>
          </w:tcPr>
          <w:p>
            <w:pPr>
              <w:widowControl/>
              <w:jc w:val="left"/>
              <w:textAlignment w:val="center"/>
            </w:pPr>
          </w:p>
          <w:p>
            <w:pPr>
              <w:numPr>
                <w:ilvl w:val="0"/>
                <w:numId w:val="16"/>
              </w:numPr>
              <w:spacing w:line="360" w:lineRule="auto"/>
            </w:pPr>
            <w:r>
              <w:rPr>
                <w:rFonts w:hint="eastAsia"/>
              </w:rPr>
              <w:t>柜子整体尺寸：1800mm*850mm*460mm</w:t>
            </w:r>
          </w:p>
          <w:p>
            <w:pPr>
              <w:pStyle w:val="25"/>
              <w:ind w:left="0" w:leftChars="0" w:firstLine="0" w:firstLineChars="0"/>
            </w:pPr>
            <w:r>
              <w:rPr>
                <w:rFonts w:hint="eastAsia"/>
              </w:rPr>
              <w:t>2、单门尺寸：270mm*300mm*460mm</w:t>
            </w:r>
          </w:p>
          <w:p>
            <w:pPr>
              <w:spacing w:line="360" w:lineRule="auto"/>
            </w:pPr>
            <w:r>
              <w:rPr>
                <w:rFonts w:hint="eastAsia"/>
              </w:rPr>
              <w:t>2、主体材质为钢</w:t>
            </w:r>
          </w:p>
          <w:p>
            <w:pPr>
              <w:spacing w:line="360" w:lineRule="auto"/>
            </w:pPr>
            <w:r>
              <w:rPr>
                <w:rFonts w:hint="eastAsia"/>
              </w:rPr>
              <w:t>3、主题材质厚度0.7mm</w:t>
            </w:r>
          </w:p>
          <w:p>
            <w:pPr>
              <w:pStyle w:val="25"/>
              <w:ind w:left="0" w:leftChars="0" w:firstLine="0" w:firstLineChars="0"/>
            </w:pPr>
            <w:r>
              <w:rPr>
                <w:rFonts w:hint="eastAsia"/>
              </w:rPr>
              <w:t>4、具有数字按键、液晶显示屏、红外扫码器。</w:t>
            </w:r>
          </w:p>
        </w:tc>
      </w:tr>
    </w:tbl>
    <w:p>
      <w:pPr>
        <w:pStyle w:val="10"/>
        <w:spacing w:line="276" w:lineRule="auto"/>
      </w:pPr>
    </w:p>
    <w:p>
      <w:pPr>
        <w:spacing w:line="276" w:lineRule="auto"/>
        <w:rPr>
          <w:rFonts w:hint="eastAsia" w:eastAsia="宋体"/>
          <w:b/>
          <w:bCs/>
          <w:highlight w:val="none"/>
          <w:lang w:val="en-US" w:eastAsia="zh-CN"/>
        </w:rPr>
      </w:pPr>
      <w:r>
        <w:rPr>
          <w:rFonts w:hint="eastAsia"/>
          <w:b/>
          <w:bCs/>
          <w:highlight w:val="none"/>
          <w:lang w:val="en-US" w:eastAsia="zh-CN"/>
        </w:rPr>
        <w:t>注：本项目核心产品为：</w:t>
      </w:r>
      <w:r>
        <w:rPr>
          <w:rFonts w:hint="eastAsia" w:ascii="宋体" w:hAnsi="宋体" w:cs="宋体"/>
          <w:b/>
          <w:bCs/>
          <w:color w:val="000000"/>
          <w:kern w:val="0"/>
          <w:szCs w:val="21"/>
          <w:highlight w:val="none"/>
        </w:rPr>
        <w:t>执法记录仪</w:t>
      </w:r>
      <w:r>
        <w:rPr>
          <w:rFonts w:hint="eastAsia" w:ascii="宋体" w:hAnsi="宋体" w:cs="宋体"/>
          <w:b/>
          <w:bCs/>
          <w:color w:val="000000"/>
          <w:kern w:val="0"/>
          <w:szCs w:val="21"/>
          <w:highlight w:val="none"/>
          <w:lang w:eastAsia="zh-CN"/>
        </w:rPr>
        <w:t>。</w:t>
      </w:r>
    </w:p>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pPr>
    </w:p>
    <w:p>
      <w:r>
        <w:br w:type="page"/>
      </w:r>
    </w:p>
    <w:p/>
    <w:p>
      <w:pPr>
        <w:pStyle w:val="3"/>
        <w:numPr>
          <w:ilvl w:val="0"/>
          <w:numId w:val="0"/>
        </w:numPr>
        <w:spacing w:line="360" w:lineRule="auto"/>
        <w:rPr>
          <w:rFonts w:ascii="宋体" w:hAnsi="宋体" w:eastAsia="宋体"/>
          <w:b/>
          <w:sz w:val="32"/>
          <w:szCs w:val="32"/>
        </w:rPr>
      </w:pPr>
      <w:bookmarkStart w:id="620" w:name="_Toc28794"/>
      <w:r>
        <w:rPr>
          <w:rFonts w:hint="eastAsia" w:ascii="宋体" w:hAnsi="宋体" w:eastAsia="宋体"/>
          <w:b/>
          <w:sz w:val="32"/>
          <w:szCs w:val="32"/>
        </w:rPr>
        <w:t>第八部分 磋商响应文件格式及内容</w:t>
      </w:r>
      <w:bookmarkEnd w:id="616"/>
      <w:bookmarkEnd w:id="617"/>
      <w:bookmarkEnd w:id="618"/>
      <w:bookmarkEnd w:id="619"/>
      <w:bookmarkEnd w:id="620"/>
    </w:p>
    <w:p>
      <w:pPr>
        <w:spacing w:line="360" w:lineRule="auto"/>
        <w:ind w:left="735" w:leftChars="350" w:firstLine="180" w:firstLineChars="50"/>
        <w:rPr>
          <w:rFonts w:ascii="宋体" w:hAnsi="宋体"/>
          <w:sz w:val="36"/>
          <w:szCs w:val="36"/>
        </w:rPr>
      </w:pPr>
      <w:r>
        <w:rPr>
          <w:rFonts w:hint="eastAsia" w:ascii="宋体" w:hAnsi="宋体"/>
          <w:sz w:val="36"/>
          <w:szCs w:val="36"/>
        </w:rPr>
        <w:t xml:space="preserve"> </w:t>
      </w:r>
    </w:p>
    <w:p>
      <w:pPr>
        <w:spacing w:line="360" w:lineRule="auto"/>
        <w:ind w:left="735" w:leftChars="350" w:firstLine="180" w:firstLineChars="50"/>
        <w:rPr>
          <w:rFonts w:ascii="宋体" w:hAnsi="宋体"/>
          <w:sz w:val="36"/>
          <w:szCs w:val="36"/>
        </w:rPr>
      </w:pPr>
      <w:r>
        <w:rPr>
          <w:rFonts w:hint="eastAsia" w:ascii="宋体" w:hAnsi="宋体"/>
          <w:sz w:val="36"/>
          <w:szCs w:val="36"/>
        </w:rPr>
        <w:t xml:space="preserve">  </w:t>
      </w:r>
      <w:r>
        <w:rPr>
          <w:rFonts w:hint="eastAsia" w:ascii="宋体" w:hAnsi="宋体"/>
          <w:sz w:val="36"/>
          <w:szCs w:val="36"/>
          <w:u w:val="single"/>
        </w:rPr>
        <w:t xml:space="preserve">                        </w:t>
      </w:r>
      <w:r>
        <w:rPr>
          <w:rFonts w:hint="eastAsia" w:ascii="宋体" w:hAnsi="宋体"/>
          <w:sz w:val="36"/>
          <w:szCs w:val="36"/>
        </w:rPr>
        <w:t>（项目名称）</w:t>
      </w:r>
    </w:p>
    <w:p>
      <w:pPr>
        <w:spacing w:line="360" w:lineRule="auto"/>
        <w:ind w:left="735" w:leftChars="350" w:firstLine="120" w:firstLineChars="50"/>
        <w:rPr>
          <w:rFonts w:ascii="宋体" w:hAnsi="宋体"/>
          <w:sz w:val="24"/>
        </w:rPr>
      </w:pPr>
      <w:r>
        <w:rPr>
          <w:rFonts w:ascii="宋体" w:hAnsi="宋体"/>
          <w:sz w:val="24"/>
        </w:rPr>
        <w:tab/>
      </w: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440" w:firstLineChars="200"/>
        <w:rPr>
          <w:rFonts w:ascii="宋体" w:hAnsi="宋体"/>
          <w:sz w:val="72"/>
          <w:szCs w:val="72"/>
        </w:rPr>
      </w:pPr>
      <w:r>
        <w:rPr>
          <w:rFonts w:hint="eastAsia" w:ascii="宋体" w:hAnsi="宋体"/>
          <w:sz w:val="72"/>
          <w:szCs w:val="72"/>
        </w:rPr>
        <w:t>响  应 文 件</w:t>
      </w:r>
    </w:p>
    <w:p>
      <w:pPr>
        <w:spacing w:line="360" w:lineRule="auto"/>
        <w:ind w:left="735" w:leftChars="350" w:firstLine="2880" w:firstLineChars="1200"/>
        <w:rPr>
          <w:rFonts w:ascii="宋体" w:hAnsi="宋体"/>
          <w:sz w:val="24"/>
        </w:rPr>
      </w:pPr>
      <w:r>
        <w:rPr>
          <w:rFonts w:hint="eastAsia" w:ascii="宋体" w:hAnsi="宋体"/>
          <w:sz w:val="24"/>
        </w:rPr>
        <w:t>项目编号：</w:t>
      </w:r>
    </w:p>
    <w:p>
      <w:pPr>
        <w:spacing w:line="360" w:lineRule="auto"/>
        <w:ind w:left="735" w:leftChars="350" w:firstLine="160" w:firstLineChars="50"/>
        <w:jc w:val="center"/>
        <w:rPr>
          <w:rFonts w:ascii="宋体" w:hAnsi="宋体"/>
          <w:sz w:val="32"/>
          <w:szCs w:val="32"/>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pStyle w:val="4"/>
        <w:rPr>
          <w:rFonts w:ascii="宋体" w:hAnsi="宋体"/>
          <w:sz w:val="24"/>
        </w:rPr>
      </w:pPr>
    </w:p>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autoSpaceDE w:val="0"/>
        <w:autoSpaceDN w:val="0"/>
        <w:adjustRightInd w:val="0"/>
        <w:snapToGrid w:val="0"/>
        <w:spacing w:line="360" w:lineRule="auto"/>
        <w:ind w:firstLine="1484" w:firstLineChars="616"/>
        <w:jc w:val="left"/>
        <w:rPr>
          <w:b/>
          <w:kern w:val="0"/>
          <w:sz w:val="24"/>
        </w:rPr>
      </w:pPr>
    </w:p>
    <w:p>
      <w:pPr>
        <w:autoSpaceDE w:val="0"/>
        <w:autoSpaceDN w:val="0"/>
        <w:adjustRightInd w:val="0"/>
        <w:snapToGrid w:val="0"/>
        <w:spacing w:line="360" w:lineRule="auto"/>
        <w:ind w:firstLine="1484" w:firstLineChars="616"/>
        <w:jc w:val="left"/>
        <w:rPr>
          <w:b/>
          <w:kern w:val="0"/>
          <w:sz w:val="24"/>
        </w:rPr>
      </w:pPr>
    </w:p>
    <w:p>
      <w:pPr>
        <w:autoSpaceDE w:val="0"/>
        <w:autoSpaceDN w:val="0"/>
        <w:adjustRightInd w:val="0"/>
        <w:snapToGrid w:val="0"/>
        <w:spacing w:line="360" w:lineRule="auto"/>
        <w:ind w:firstLine="1478" w:firstLineChars="616"/>
        <w:jc w:val="left"/>
        <w:rPr>
          <w:bCs/>
          <w:kern w:val="0"/>
          <w:sz w:val="24"/>
        </w:rPr>
      </w:pPr>
      <w:r>
        <w:rPr>
          <w:rFonts w:hint="eastAsia"/>
          <w:bCs/>
          <w:kern w:val="0"/>
          <w:sz w:val="24"/>
        </w:rPr>
        <w:t>响应人：</w:t>
      </w:r>
      <w:r>
        <w:rPr>
          <w:rFonts w:hint="eastAsia"/>
          <w:bCs/>
          <w:kern w:val="0"/>
          <w:sz w:val="24"/>
          <w:u w:val="single"/>
        </w:rPr>
        <w:t xml:space="preserve">                           </w:t>
      </w:r>
      <w:r>
        <w:rPr>
          <w:rFonts w:hint="eastAsia"/>
          <w:bCs/>
          <w:kern w:val="0"/>
          <w:sz w:val="24"/>
        </w:rPr>
        <w:t>（企业公章）</w:t>
      </w:r>
    </w:p>
    <w:p>
      <w:pPr>
        <w:autoSpaceDE w:val="0"/>
        <w:autoSpaceDN w:val="0"/>
        <w:adjustRightInd w:val="0"/>
        <w:snapToGrid w:val="0"/>
        <w:spacing w:line="360" w:lineRule="auto"/>
        <w:ind w:firstLine="1478" w:firstLineChars="616"/>
        <w:jc w:val="left"/>
        <w:rPr>
          <w:bCs/>
          <w:kern w:val="0"/>
          <w:sz w:val="24"/>
        </w:rPr>
      </w:pPr>
      <w:r>
        <w:rPr>
          <w:rFonts w:hint="eastAsia"/>
          <w:bCs/>
          <w:kern w:val="0"/>
          <w:sz w:val="24"/>
        </w:rPr>
        <w:t>法定代表人或委托代理人：</w:t>
      </w:r>
      <w:r>
        <w:rPr>
          <w:rFonts w:hint="eastAsia"/>
          <w:bCs/>
          <w:kern w:val="0"/>
          <w:sz w:val="24"/>
          <w:u w:val="single"/>
        </w:rPr>
        <w:t xml:space="preserve">           </w:t>
      </w:r>
      <w:r>
        <w:rPr>
          <w:rFonts w:hint="eastAsia"/>
          <w:bCs/>
          <w:kern w:val="0"/>
          <w:sz w:val="24"/>
        </w:rPr>
        <w:t>（签字）</w:t>
      </w:r>
    </w:p>
    <w:p>
      <w:pPr>
        <w:spacing w:line="360" w:lineRule="auto"/>
        <w:ind w:left="735" w:leftChars="350" w:firstLine="1461" w:firstLineChars="609"/>
        <w:jc w:val="left"/>
        <w:rPr>
          <w:rFonts w:ascii="宋体" w:hAnsi="宋体"/>
          <w:bCs/>
          <w:sz w:val="24"/>
        </w:rPr>
      </w:pPr>
      <w:r>
        <w:rPr>
          <w:rFonts w:hint="eastAsia"/>
          <w:bCs/>
          <w:kern w:val="0"/>
          <w:sz w:val="24"/>
          <w:u w:val="single"/>
        </w:rPr>
        <w:t xml:space="preserve">         </w:t>
      </w:r>
      <w:r>
        <w:rPr>
          <w:rFonts w:hint="eastAsia"/>
          <w:bCs/>
          <w:kern w:val="0"/>
          <w:sz w:val="24"/>
        </w:rPr>
        <w:t>年</w:t>
      </w:r>
      <w:r>
        <w:rPr>
          <w:rFonts w:hint="eastAsia"/>
          <w:bCs/>
          <w:kern w:val="0"/>
          <w:sz w:val="24"/>
          <w:u w:val="single"/>
        </w:rPr>
        <w:t xml:space="preserve">      </w:t>
      </w:r>
      <w:r>
        <w:rPr>
          <w:rFonts w:hint="eastAsia"/>
          <w:bCs/>
          <w:kern w:val="0"/>
          <w:sz w:val="24"/>
        </w:rPr>
        <w:t>月</w:t>
      </w:r>
      <w:r>
        <w:rPr>
          <w:rFonts w:hint="eastAsia"/>
          <w:bCs/>
          <w:kern w:val="0"/>
          <w:sz w:val="24"/>
          <w:u w:val="single"/>
        </w:rPr>
        <w:t xml:space="preserve">      </w:t>
      </w:r>
      <w:r>
        <w:rPr>
          <w:rFonts w:hint="eastAsia"/>
          <w:bCs/>
          <w:kern w:val="0"/>
          <w:sz w:val="24"/>
        </w:rPr>
        <w:t>日</w:t>
      </w:r>
      <w:r>
        <w:rPr>
          <w:rFonts w:hint="eastAsia"/>
          <w:bCs/>
          <w:sz w:val="72"/>
          <w:szCs w:val="72"/>
        </w:rPr>
        <w:t xml:space="preserve">    </w:t>
      </w:r>
    </w:p>
    <w:p>
      <w:pPr>
        <w:spacing w:line="360" w:lineRule="auto"/>
        <w:jc w:val="center"/>
        <w:rPr>
          <w:rFonts w:ascii="宋体" w:hAnsi="宋体"/>
          <w:b/>
          <w:bCs/>
          <w:sz w:val="28"/>
          <w:szCs w:val="28"/>
        </w:rPr>
      </w:pPr>
      <w:r>
        <w:rPr>
          <w:rFonts w:hint="eastAsia" w:ascii="宋体" w:hAnsi="宋体"/>
          <w:b/>
          <w:bCs/>
          <w:sz w:val="28"/>
          <w:szCs w:val="28"/>
        </w:rPr>
        <w:t>目  录</w:t>
      </w:r>
    </w:p>
    <w:p>
      <w:pPr>
        <w:spacing w:line="360" w:lineRule="auto"/>
        <w:rPr>
          <w:rFonts w:ascii="宋体" w:hAnsi="宋体"/>
          <w:sz w:val="28"/>
          <w:szCs w:val="28"/>
        </w:rPr>
      </w:pPr>
    </w:p>
    <w:p>
      <w:pPr>
        <w:spacing w:line="360" w:lineRule="auto"/>
        <w:jc w:val="center"/>
      </w:pPr>
      <w:r>
        <w:rPr>
          <w:rFonts w:hint="eastAsia" w:ascii="宋体" w:hAnsi="宋体"/>
          <w:sz w:val="28"/>
          <w:szCs w:val="28"/>
        </w:rPr>
        <w:t>格式自拟</w:t>
      </w:r>
    </w:p>
    <w:p>
      <w:pPr>
        <w:spacing w:line="360" w:lineRule="auto"/>
        <w:jc w:val="center"/>
        <w:outlineLvl w:val="1"/>
        <w:rPr>
          <w:rFonts w:ascii="宋体" w:hAnsi="宋体"/>
          <w:b/>
          <w:sz w:val="24"/>
        </w:rPr>
      </w:pPr>
      <w:bookmarkStart w:id="621" w:name="_Toc87621073"/>
      <w:bookmarkStart w:id="622" w:name="_Toc44924412"/>
      <w:bookmarkStart w:id="623" w:name="_Toc482379078"/>
      <w:bookmarkStart w:id="624" w:name="_Toc16089980"/>
      <w:bookmarkStart w:id="625" w:name="_Toc482378985"/>
      <w:bookmarkStart w:id="626" w:name="_Toc644"/>
      <w:bookmarkStart w:id="627" w:name="_Toc90713372"/>
      <w:bookmarkStart w:id="628" w:name="_Hlk450146465"/>
      <w:bookmarkStart w:id="629" w:name="_Toc15912361"/>
      <w:bookmarkStart w:id="630" w:name="_Toc9037"/>
      <w:bookmarkStart w:id="631" w:name="_Toc16089922"/>
      <w:bookmarkStart w:id="632" w:name="_Toc90712553"/>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bookmarkStart w:id="633" w:name="_Toc28518"/>
    </w:p>
    <w:p>
      <w:pPr>
        <w:spacing w:line="360" w:lineRule="auto"/>
        <w:jc w:val="center"/>
        <w:outlineLvl w:val="1"/>
        <w:rPr>
          <w:rFonts w:ascii="宋体" w:hAnsi="宋体"/>
          <w:b/>
          <w:sz w:val="24"/>
        </w:rPr>
      </w:pPr>
      <w:r>
        <w:rPr>
          <w:rFonts w:hint="eastAsia" w:ascii="宋体" w:hAnsi="宋体"/>
          <w:b/>
          <w:sz w:val="24"/>
        </w:rPr>
        <w:t>一、磋商复函格式</w:t>
      </w:r>
      <w:bookmarkEnd w:id="621"/>
      <w:bookmarkEnd w:id="622"/>
      <w:bookmarkEnd w:id="623"/>
      <w:bookmarkEnd w:id="624"/>
      <w:bookmarkEnd w:id="625"/>
      <w:bookmarkEnd w:id="626"/>
      <w:bookmarkEnd w:id="627"/>
      <w:bookmarkEnd w:id="628"/>
      <w:bookmarkEnd w:id="629"/>
      <w:bookmarkEnd w:id="630"/>
      <w:bookmarkEnd w:id="631"/>
      <w:bookmarkEnd w:id="632"/>
      <w:bookmarkEnd w:id="633"/>
    </w:p>
    <w:p>
      <w:pPr>
        <w:spacing w:line="360" w:lineRule="auto"/>
        <w:rPr>
          <w:rFonts w:ascii="宋体" w:hAnsi="宋体"/>
          <w:b/>
          <w:sz w:val="24"/>
        </w:rPr>
      </w:pPr>
      <w:r>
        <w:rPr>
          <w:rFonts w:hint="eastAsia" w:ascii="宋体" w:hAnsi="宋体"/>
          <w:b/>
          <w:sz w:val="24"/>
        </w:rPr>
        <w:t>致：</w:t>
      </w:r>
      <w:r>
        <w:rPr>
          <w:rFonts w:hint="eastAsia" w:ascii="宋体" w:hAnsi="宋体"/>
          <w:b/>
          <w:sz w:val="24"/>
          <w:u w:val="single"/>
        </w:rPr>
        <w:t>河南招标采购服务有限公司</w:t>
      </w:r>
    </w:p>
    <w:p>
      <w:pPr>
        <w:spacing w:line="360" w:lineRule="auto"/>
        <w:ind w:firstLine="645"/>
        <w:rPr>
          <w:rFonts w:ascii="宋体" w:hAnsi="宋体"/>
          <w:sz w:val="24"/>
        </w:rPr>
      </w:pPr>
      <w:r>
        <w:rPr>
          <w:rFonts w:hint="eastAsia" w:ascii="宋体" w:hAnsi="宋体"/>
          <w:sz w:val="24"/>
        </w:rPr>
        <w:t>1、根据贵单位</w:t>
      </w:r>
      <w:r>
        <w:rPr>
          <w:rFonts w:hint="eastAsia" w:ascii="宋体" w:hAnsi="宋体"/>
          <w:sz w:val="24"/>
          <w:u w:val="single"/>
        </w:rPr>
        <w:t xml:space="preserve">    </w:t>
      </w:r>
      <w:r>
        <w:rPr>
          <w:rFonts w:hint="eastAsia" w:ascii="宋体" w:hAnsi="宋体"/>
          <w:sz w:val="24"/>
        </w:rPr>
        <w:t>号磋商邀请书的邀请，我们决定参加贵单位组织的</w:t>
      </w:r>
      <w:r>
        <w:rPr>
          <w:rFonts w:hint="eastAsia" w:ascii="宋体" w:hAnsi="宋体"/>
          <w:sz w:val="24"/>
          <w:u w:val="single"/>
        </w:rPr>
        <w:t xml:space="preserve">         </w:t>
      </w:r>
      <w:r>
        <w:rPr>
          <w:rFonts w:hint="eastAsia" w:ascii="宋体" w:hAnsi="宋体"/>
          <w:sz w:val="24"/>
        </w:rPr>
        <w:t>项目的磋商采购。我方</w:t>
      </w:r>
      <w:r>
        <w:rPr>
          <w:rFonts w:hint="eastAsia" w:ascii="宋体" w:hAnsi="宋体"/>
          <w:sz w:val="24"/>
          <w:u w:val="single"/>
        </w:rPr>
        <w:t xml:space="preserve">        (法定代表人姓名和职务)</w:t>
      </w:r>
      <w:r>
        <w:rPr>
          <w:rFonts w:hint="eastAsia" w:ascii="宋体" w:hAnsi="宋体"/>
          <w:sz w:val="24"/>
        </w:rPr>
        <w:t>代表我方</w:t>
      </w:r>
      <w:r>
        <w:rPr>
          <w:rFonts w:hint="eastAsia" w:ascii="宋体" w:hAnsi="宋体"/>
          <w:sz w:val="24"/>
          <w:u w:val="single"/>
        </w:rPr>
        <w:t xml:space="preserve">           （供应商的名称）</w:t>
      </w:r>
      <w:r>
        <w:rPr>
          <w:rFonts w:hint="eastAsia" w:ascii="宋体" w:hAnsi="宋体"/>
          <w:sz w:val="24"/>
        </w:rPr>
        <w:t>全权处理本项目磋商的有关事宜。</w:t>
      </w:r>
    </w:p>
    <w:p>
      <w:pPr>
        <w:spacing w:line="360" w:lineRule="auto"/>
        <w:ind w:firstLine="645"/>
        <w:rPr>
          <w:rFonts w:ascii="宋体" w:hAnsi="宋体"/>
          <w:sz w:val="24"/>
        </w:rPr>
      </w:pPr>
      <w:r>
        <w:rPr>
          <w:rFonts w:hint="eastAsia" w:ascii="宋体" w:hAnsi="宋体"/>
          <w:sz w:val="24"/>
        </w:rPr>
        <w:t>2、我方愿意按照磋商文件规定的各项要求，所附投标报价表中规定的应提供的项目磋商总价为人民币（大写）</w:t>
      </w:r>
      <w:r>
        <w:rPr>
          <w:rFonts w:hint="eastAsia" w:ascii="宋体" w:hAnsi="宋体"/>
          <w:sz w:val="24"/>
          <w:u w:val="single"/>
        </w:rPr>
        <w:t xml:space="preserve">      </w:t>
      </w:r>
      <w:r>
        <w:rPr>
          <w:rFonts w:hint="eastAsia" w:ascii="宋体" w:hAnsi="宋体"/>
          <w:sz w:val="24"/>
        </w:rPr>
        <w:t>，（小写）</w:t>
      </w:r>
      <w:r>
        <w:rPr>
          <w:rFonts w:hint="eastAsia" w:ascii="宋体" w:hAnsi="宋体"/>
          <w:sz w:val="24"/>
          <w:u w:val="single"/>
        </w:rPr>
        <w:t xml:space="preserve">           </w:t>
      </w:r>
      <w:r>
        <w:rPr>
          <w:rFonts w:hint="eastAsia" w:ascii="宋体" w:hAnsi="宋体"/>
          <w:sz w:val="24"/>
        </w:rPr>
        <w:t>。</w:t>
      </w:r>
    </w:p>
    <w:p>
      <w:pPr>
        <w:spacing w:line="360" w:lineRule="auto"/>
        <w:ind w:firstLine="645"/>
        <w:rPr>
          <w:rFonts w:ascii="宋体" w:hAnsi="宋体"/>
          <w:sz w:val="24"/>
        </w:rPr>
      </w:pPr>
      <w:r>
        <w:rPr>
          <w:rFonts w:hint="eastAsia" w:ascii="宋体" w:hAnsi="宋体"/>
          <w:sz w:val="24"/>
        </w:rPr>
        <w:t>3、一旦我方成交，我方将严格履行合同规定的责任和义务，保证于</w:t>
      </w:r>
      <w:r>
        <w:rPr>
          <w:rFonts w:hint="eastAsia" w:ascii="宋体" w:hAnsi="宋体"/>
          <w:sz w:val="24"/>
          <w:u w:val="single"/>
        </w:rPr>
        <w:t xml:space="preserve">      日内</w:t>
      </w:r>
      <w:r>
        <w:rPr>
          <w:rFonts w:hint="eastAsia" w:ascii="宋体" w:hAnsi="宋体"/>
          <w:sz w:val="24"/>
        </w:rPr>
        <w:t>完成项目；按磋商文件的规定向贵单位支付代理服务费。</w:t>
      </w:r>
    </w:p>
    <w:p>
      <w:pPr>
        <w:spacing w:line="360" w:lineRule="auto"/>
        <w:ind w:firstLine="645"/>
        <w:rPr>
          <w:rFonts w:ascii="宋体" w:hAnsi="宋体"/>
          <w:sz w:val="24"/>
        </w:rPr>
      </w:pPr>
      <w:r>
        <w:rPr>
          <w:rFonts w:hint="eastAsia" w:ascii="宋体" w:hAnsi="宋体"/>
          <w:sz w:val="24"/>
        </w:rPr>
        <w:t>4、我方为本项目提交的竞争性磋商响应文件一份。</w:t>
      </w:r>
    </w:p>
    <w:p>
      <w:pPr>
        <w:spacing w:line="360" w:lineRule="auto"/>
        <w:ind w:firstLine="645"/>
        <w:rPr>
          <w:rFonts w:ascii="宋体" w:hAnsi="宋体"/>
          <w:sz w:val="24"/>
        </w:rPr>
      </w:pPr>
      <w:r>
        <w:rPr>
          <w:rFonts w:hint="eastAsia" w:ascii="宋体" w:hAnsi="宋体"/>
          <w:sz w:val="24"/>
        </w:rPr>
        <w:t>5、磋商有效期</w:t>
      </w:r>
      <w:r>
        <w:rPr>
          <w:rFonts w:hint="eastAsia" w:ascii="宋体" w:hAnsi="宋体"/>
          <w:sz w:val="24"/>
          <w:u w:val="single"/>
        </w:rPr>
        <w:t>60</w:t>
      </w:r>
      <w:r>
        <w:rPr>
          <w:rFonts w:hint="eastAsia" w:ascii="宋体" w:hAnsi="宋体"/>
          <w:sz w:val="24"/>
        </w:rPr>
        <w:t>天</w:t>
      </w:r>
    </w:p>
    <w:p>
      <w:pPr>
        <w:tabs>
          <w:tab w:val="left" w:pos="840"/>
        </w:tabs>
        <w:spacing w:line="360" w:lineRule="auto"/>
        <w:ind w:firstLine="628"/>
        <w:rPr>
          <w:rFonts w:ascii="宋体" w:hAnsi="宋体"/>
          <w:sz w:val="24"/>
        </w:rPr>
      </w:pPr>
      <w:r>
        <w:rPr>
          <w:rFonts w:hint="eastAsia" w:ascii="宋体" w:hAnsi="宋体"/>
          <w:sz w:val="24"/>
        </w:rPr>
        <w:t>6、我方愿意提供贵单位可能另外要求的、与磋商有关的文件资料，并保证我方已提供和将要提供的文件是真实的、准确的。</w:t>
      </w:r>
    </w:p>
    <w:p>
      <w:pPr>
        <w:tabs>
          <w:tab w:val="left" w:pos="0"/>
          <w:tab w:val="left" w:pos="840"/>
        </w:tabs>
        <w:spacing w:line="360" w:lineRule="auto"/>
        <w:ind w:firstLine="525"/>
        <w:rPr>
          <w:rFonts w:ascii="宋体" w:hAnsi="宋体"/>
          <w:sz w:val="24"/>
        </w:rPr>
      </w:pPr>
      <w:r>
        <w:rPr>
          <w:rFonts w:hint="eastAsia" w:ascii="宋体" w:hAnsi="宋体"/>
          <w:sz w:val="24"/>
        </w:rPr>
        <w:t xml:space="preserve"> 7、在质量、性能和服务不相等情况下，我方完全理解并认可贵单位不一定将合同授予最低报价的供应商。</w:t>
      </w:r>
    </w:p>
    <w:p>
      <w:pPr>
        <w:autoSpaceDE w:val="0"/>
        <w:autoSpaceDN w:val="0"/>
        <w:adjustRightInd w:val="0"/>
        <w:snapToGrid w:val="0"/>
        <w:spacing w:line="360" w:lineRule="auto"/>
        <w:jc w:val="left"/>
        <w:rPr>
          <w:kern w:val="0"/>
          <w:sz w:val="24"/>
        </w:rPr>
      </w:pPr>
    </w:p>
    <w:p>
      <w:pPr>
        <w:autoSpaceDE w:val="0"/>
        <w:autoSpaceDN w:val="0"/>
        <w:adjustRightInd w:val="0"/>
        <w:snapToGrid w:val="0"/>
        <w:spacing w:line="360" w:lineRule="auto"/>
        <w:jc w:val="left"/>
        <w:rPr>
          <w:kern w:val="0"/>
          <w:sz w:val="24"/>
        </w:rPr>
      </w:pPr>
    </w:p>
    <w:p>
      <w:pPr>
        <w:autoSpaceDE w:val="0"/>
        <w:autoSpaceDN w:val="0"/>
        <w:adjustRightInd w:val="0"/>
        <w:snapToGrid w:val="0"/>
        <w:spacing w:line="360" w:lineRule="auto"/>
        <w:jc w:val="left"/>
        <w:rPr>
          <w:kern w:val="0"/>
          <w:sz w:val="24"/>
        </w:rPr>
      </w:pPr>
      <w:r>
        <w:rPr>
          <w:rFonts w:hint="eastAsia"/>
          <w:kern w:val="0"/>
          <w:sz w:val="24"/>
        </w:rPr>
        <w:t>响应人：</w:t>
      </w:r>
      <w:r>
        <w:rPr>
          <w:rFonts w:hint="eastAsia"/>
          <w:kern w:val="0"/>
          <w:sz w:val="24"/>
          <w:u w:val="single"/>
        </w:rPr>
        <w:t xml:space="preserve">                             </w:t>
      </w:r>
      <w:r>
        <w:rPr>
          <w:rFonts w:hint="eastAsia"/>
          <w:kern w:val="0"/>
          <w:sz w:val="24"/>
        </w:rPr>
        <w:t>（企业公章）</w:t>
      </w:r>
    </w:p>
    <w:p>
      <w:pPr>
        <w:autoSpaceDE w:val="0"/>
        <w:autoSpaceDN w:val="0"/>
        <w:adjustRightInd w:val="0"/>
        <w:snapToGrid w:val="0"/>
        <w:spacing w:line="360" w:lineRule="auto"/>
        <w:jc w:val="left"/>
        <w:rPr>
          <w:kern w:val="0"/>
          <w:sz w:val="24"/>
        </w:rPr>
      </w:pPr>
      <w:r>
        <w:rPr>
          <w:rFonts w:hint="eastAsia"/>
          <w:bCs/>
          <w:kern w:val="0"/>
          <w:sz w:val="24"/>
        </w:rPr>
        <w:t>法定代表人或委托代理人（签字）：</w:t>
      </w:r>
      <w:r>
        <w:rPr>
          <w:rFonts w:hint="eastAsia"/>
          <w:sz w:val="24"/>
          <w:u w:val="single"/>
        </w:rPr>
        <w:t xml:space="preserve">                </w:t>
      </w:r>
    </w:p>
    <w:p>
      <w:pPr>
        <w:spacing w:line="360" w:lineRule="auto"/>
        <w:rPr>
          <w:rFonts w:ascii="宋体" w:hAnsi="宋体"/>
          <w:sz w:val="24"/>
        </w:rPr>
      </w:pPr>
      <w:r>
        <w:rPr>
          <w:rFonts w:hint="eastAsia" w:ascii="宋体" w:hAnsi="宋体"/>
          <w:sz w:val="24"/>
        </w:rPr>
        <w:t>日期：</w:t>
      </w:r>
    </w:p>
    <w:p>
      <w:pPr>
        <w:spacing w:line="360" w:lineRule="auto"/>
        <w:rPr>
          <w:rFonts w:ascii="宋体" w:hAnsi="宋体"/>
          <w:sz w:val="24"/>
        </w:rPr>
      </w:pPr>
      <w:r>
        <w:rPr>
          <w:rFonts w:hint="eastAsia" w:ascii="宋体" w:hAnsi="宋体"/>
          <w:sz w:val="24"/>
        </w:rPr>
        <w:t xml:space="preserve">通讯地址：                </w:t>
      </w:r>
    </w:p>
    <w:p>
      <w:pPr>
        <w:spacing w:line="360" w:lineRule="auto"/>
        <w:rPr>
          <w:rFonts w:ascii="宋体" w:hAnsi="宋体"/>
          <w:sz w:val="24"/>
        </w:rPr>
      </w:pPr>
      <w:r>
        <w:rPr>
          <w:rFonts w:hint="eastAsia" w:ascii="宋体" w:hAnsi="宋体"/>
          <w:sz w:val="24"/>
        </w:rPr>
        <w:t>电话：</w:t>
      </w:r>
    </w:p>
    <w:p>
      <w:pPr>
        <w:spacing w:line="360" w:lineRule="auto"/>
        <w:rPr>
          <w:rFonts w:ascii="宋体" w:hAnsi="宋体"/>
          <w:sz w:val="24"/>
          <w:u w:val="single"/>
        </w:rPr>
      </w:pPr>
      <w:r>
        <w:rPr>
          <w:rFonts w:hint="eastAsia" w:ascii="宋体" w:hAnsi="宋体"/>
          <w:sz w:val="24"/>
        </w:rPr>
        <w:t>传真：</w:t>
      </w:r>
    </w:p>
    <w:p>
      <w:pPr>
        <w:spacing w:line="360" w:lineRule="auto"/>
        <w:rPr>
          <w:rFonts w:ascii="宋体" w:hAnsi="宋体"/>
          <w:sz w:val="24"/>
        </w:rPr>
      </w:pPr>
      <w:r>
        <w:rPr>
          <w:rFonts w:hint="eastAsia" w:ascii="宋体" w:hAnsi="宋体"/>
          <w:sz w:val="24"/>
        </w:rPr>
        <w:t xml:space="preserve">供应商开户行:                                </w:t>
      </w:r>
    </w:p>
    <w:p>
      <w:pPr>
        <w:spacing w:line="360" w:lineRule="auto"/>
        <w:rPr>
          <w:rFonts w:ascii="宋体" w:hAnsi="宋体"/>
          <w:sz w:val="24"/>
        </w:rPr>
      </w:pPr>
      <w:r>
        <w:rPr>
          <w:rFonts w:hint="eastAsia" w:ascii="宋体" w:hAnsi="宋体"/>
          <w:sz w:val="24"/>
        </w:rPr>
        <w:t xml:space="preserve">账号:                                </w:t>
      </w:r>
    </w:p>
    <w:p>
      <w:pPr>
        <w:spacing w:line="360" w:lineRule="auto"/>
        <w:jc w:val="center"/>
        <w:outlineLvl w:val="1"/>
        <w:rPr>
          <w:rFonts w:ascii="宋体" w:hAnsi="宋体"/>
          <w:b/>
          <w:sz w:val="24"/>
        </w:rPr>
      </w:pPr>
      <w:r>
        <w:rPr>
          <w:rFonts w:hint="eastAsia" w:ascii="宋体" w:hAnsi="宋体"/>
          <w:sz w:val="24"/>
        </w:rPr>
        <w:br w:type="page"/>
      </w:r>
      <w:bookmarkStart w:id="634" w:name="_Toc482379079"/>
      <w:bookmarkStart w:id="635" w:name="_Toc482378986"/>
      <w:bookmarkStart w:id="636" w:name="_Toc44924413"/>
      <w:bookmarkStart w:id="637" w:name="_Toc16089981"/>
      <w:bookmarkStart w:id="638" w:name="_Toc20698"/>
      <w:bookmarkStart w:id="639" w:name="_Toc13943"/>
      <w:bookmarkStart w:id="640" w:name="_Toc16089923"/>
      <w:bookmarkStart w:id="641" w:name="_Toc15912362"/>
      <w:bookmarkStart w:id="642" w:name="_Toc15277"/>
      <w:r>
        <w:rPr>
          <w:rFonts w:hint="eastAsia" w:ascii="宋体" w:hAnsi="宋体"/>
          <w:sz w:val="24"/>
        </w:rPr>
        <w:t>二、</w:t>
      </w:r>
      <w:r>
        <w:rPr>
          <w:rFonts w:hint="eastAsia" w:ascii="宋体" w:hAnsi="宋体"/>
          <w:b/>
          <w:sz w:val="24"/>
        </w:rPr>
        <w:t>法定代表人</w:t>
      </w:r>
      <w:bookmarkEnd w:id="634"/>
      <w:bookmarkEnd w:id="635"/>
      <w:r>
        <w:rPr>
          <w:rFonts w:hint="eastAsia" w:ascii="宋体" w:hAnsi="宋体"/>
          <w:b/>
          <w:sz w:val="24"/>
        </w:rPr>
        <w:t>证明</w:t>
      </w:r>
      <w:bookmarkEnd w:id="636"/>
      <w:bookmarkEnd w:id="637"/>
      <w:bookmarkEnd w:id="638"/>
      <w:bookmarkEnd w:id="639"/>
      <w:bookmarkEnd w:id="640"/>
      <w:bookmarkEnd w:id="641"/>
      <w:bookmarkEnd w:id="642"/>
    </w:p>
    <w:p>
      <w:pPr>
        <w:spacing w:line="360" w:lineRule="auto"/>
        <w:jc w:val="center"/>
        <w:rPr>
          <w:rFonts w:ascii="宋体" w:hAnsi="宋体"/>
          <w:b/>
          <w:sz w:val="24"/>
        </w:rPr>
      </w:pPr>
    </w:p>
    <w:p>
      <w:pPr>
        <w:spacing w:line="360" w:lineRule="auto"/>
        <w:rPr>
          <w:rFonts w:ascii="宋体" w:hAnsi="宋体"/>
          <w:sz w:val="24"/>
        </w:rPr>
      </w:pPr>
      <w:r>
        <w:rPr>
          <w:rFonts w:hint="eastAsia" w:ascii="宋体" w:hAnsi="宋体"/>
          <w:sz w:val="24"/>
        </w:rPr>
        <w:t xml:space="preserve">    本授权书声明：注册于（</w:t>
      </w:r>
      <w:r>
        <w:rPr>
          <w:rFonts w:hint="eastAsia" w:ascii="宋体" w:hAnsi="宋体"/>
          <w:sz w:val="24"/>
          <w:u w:val="single"/>
        </w:rPr>
        <w:t>注册地址名称</w:t>
      </w:r>
      <w:r>
        <w:rPr>
          <w:rFonts w:hint="eastAsia" w:ascii="宋体" w:hAnsi="宋体"/>
          <w:sz w:val="24"/>
        </w:rPr>
        <w:t>）的(</w:t>
      </w:r>
      <w:r>
        <w:rPr>
          <w:rFonts w:hint="eastAsia" w:ascii="宋体" w:hAnsi="宋体"/>
          <w:sz w:val="24"/>
          <w:u w:val="single"/>
        </w:rPr>
        <w:t>磋商供应商全名</w:t>
      </w:r>
      <w:r>
        <w:rPr>
          <w:rFonts w:hint="eastAsia" w:ascii="宋体" w:hAnsi="宋体"/>
          <w:sz w:val="24"/>
        </w:rPr>
        <w:t>)的在下面签字/签章的</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法定代表人姓名、职务</w:t>
      </w:r>
      <w:r>
        <w:rPr>
          <w:rFonts w:hint="eastAsia" w:ascii="宋体" w:hAnsi="宋体"/>
          <w:sz w:val="24"/>
        </w:rPr>
        <w:t>)为本公司法定代表人。特此声明。</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供应商（企业公章）：</w:t>
      </w:r>
      <w:r>
        <w:rPr>
          <w:rFonts w:hint="eastAsia" w:ascii="宋体" w:hAnsi="宋体"/>
          <w:sz w:val="24"/>
          <w:u w:val="single"/>
        </w:rPr>
        <w:t xml:space="preserve">                  </w:t>
      </w:r>
    </w:p>
    <w:p>
      <w:pPr>
        <w:pStyle w:val="9"/>
        <w:spacing w:line="360" w:lineRule="auto"/>
        <w:rPr>
          <w:rFonts w:ascii="宋体" w:hAnsi="宋体"/>
          <w:sz w:val="24"/>
        </w:rPr>
      </w:pPr>
      <w:r>
        <w:rPr>
          <w:rFonts w:hint="eastAsia" w:ascii="宋体" w:hAnsi="宋体"/>
          <w:sz w:val="24"/>
        </w:rPr>
        <w:t>法定代表人（签字）：</w:t>
      </w:r>
      <w:r>
        <w:rPr>
          <w:rFonts w:hint="eastAsia" w:ascii="宋体" w:hAnsi="宋体"/>
          <w:sz w:val="24"/>
          <w:u w:val="single"/>
        </w:rPr>
        <w:t xml:space="preserve">                 </w:t>
      </w:r>
    </w:p>
    <w:p>
      <w:pPr>
        <w:spacing w:beforeLines="50" w:line="360" w:lineRule="auto"/>
        <w:rPr>
          <w:rFonts w:ascii="宋体" w:hAnsi="宋体"/>
          <w:sz w:val="24"/>
        </w:rPr>
      </w:pPr>
      <w:r>
        <w:rPr>
          <w:rFonts w:hint="eastAsia" w:ascii="宋体" w:hAnsi="宋体"/>
          <w:sz w:val="24"/>
        </w:rPr>
        <w:t>日  期：  年  月  日</w:t>
      </w:r>
    </w:p>
    <w:p>
      <w:pPr>
        <w:pStyle w:val="9"/>
        <w:spacing w:line="360" w:lineRule="auto"/>
        <w:rPr>
          <w:rFonts w:ascii="宋体" w:hAnsi="宋体"/>
          <w:sz w:val="24"/>
        </w:rPr>
      </w:pPr>
    </w:p>
    <w:tbl>
      <w:tblPr>
        <w:tblStyle w:val="26"/>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501" w:type="dxa"/>
            <w:vAlign w:val="center"/>
          </w:tcPr>
          <w:p>
            <w:pPr>
              <w:spacing w:line="360" w:lineRule="auto"/>
              <w:jc w:val="center"/>
              <w:outlineLvl w:val="1"/>
              <w:rPr>
                <w:rFonts w:ascii="宋体" w:hAnsi="宋体"/>
                <w:sz w:val="24"/>
              </w:rPr>
            </w:pPr>
            <w:bookmarkStart w:id="643" w:name="_Toc17265"/>
            <w:bookmarkStart w:id="644" w:name="_Toc15912363"/>
            <w:bookmarkStart w:id="645" w:name="_Toc1988"/>
            <w:bookmarkStart w:id="646" w:name="_Toc29184"/>
            <w:bookmarkStart w:id="647" w:name="_Toc16089924"/>
            <w:bookmarkStart w:id="648" w:name="_Toc16089982"/>
            <w:bookmarkStart w:id="649" w:name="_Toc44924414"/>
            <w:r>
              <w:rPr>
                <w:rFonts w:hint="eastAsia" w:ascii="宋体" w:hAnsi="宋体"/>
                <w:sz w:val="24"/>
              </w:rPr>
              <w:t>法定代表人身份证复印件（正面）</w:t>
            </w:r>
            <w:bookmarkEnd w:id="643"/>
            <w:bookmarkEnd w:id="644"/>
            <w:bookmarkEnd w:id="645"/>
            <w:bookmarkEnd w:id="646"/>
            <w:bookmarkEnd w:id="647"/>
            <w:bookmarkEnd w:id="648"/>
            <w:bookmarkEnd w:id="649"/>
          </w:p>
        </w:tc>
        <w:tc>
          <w:tcPr>
            <w:tcW w:w="4502" w:type="dxa"/>
            <w:vAlign w:val="center"/>
          </w:tcPr>
          <w:p>
            <w:pPr>
              <w:spacing w:line="360" w:lineRule="auto"/>
              <w:jc w:val="center"/>
              <w:outlineLvl w:val="1"/>
              <w:rPr>
                <w:rFonts w:ascii="宋体" w:hAnsi="宋体"/>
                <w:sz w:val="24"/>
              </w:rPr>
            </w:pPr>
            <w:bookmarkStart w:id="650" w:name="_Toc44924415"/>
            <w:bookmarkStart w:id="651" w:name="_Toc16089925"/>
            <w:bookmarkStart w:id="652" w:name="_Toc23932"/>
            <w:bookmarkStart w:id="653" w:name="_Toc15912364"/>
            <w:bookmarkStart w:id="654" w:name="_Toc10411"/>
            <w:bookmarkStart w:id="655" w:name="_Toc16089983"/>
            <w:bookmarkStart w:id="656" w:name="_Toc30747"/>
            <w:r>
              <w:rPr>
                <w:rFonts w:hint="eastAsia" w:ascii="宋体" w:hAnsi="宋体"/>
                <w:sz w:val="24"/>
              </w:rPr>
              <w:t>法定代表人身份证复印件（反面）</w:t>
            </w:r>
            <w:bookmarkEnd w:id="650"/>
            <w:bookmarkEnd w:id="651"/>
            <w:bookmarkEnd w:id="652"/>
            <w:bookmarkEnd w:id="653"/>
            <w:bookmarkEnd w:id="654"/>
            <w:bookmarkEnd w:id="655"/>
            <w:bookmarkEnd w:id="656"/>
          </w:p>
        </w:tc>
      </w:tr>
    </w:tbl>
    <w:p>
      <w:pPr>
        <w:pStyle w:val="9"/>
        <w:spacing w:line="360" w:lineRule="auto"/>
        <w:rPr>
          <w:rFonts w:ascii="宋体" w:hAnsi="宋体"/>
          <w:b/>
          <w:sz w:val="24"/>
        </w:rPr>
      </w:pPr>
      <w:bookmarkStart w:id="657" w:name="_资格证明文件"/>
      <w:bookmarkEnd w:id="657"/>
    </w:p>
    <w:p>
      <w:pPr>
        <w:pStyle w:val="9"/>
        <w:spacing w:line="360" w:lineRule="auto"/>
        <w:rPr>
          <w:rFonts w:ascii="宋体" w:hAnsi="宋体"/>
          <w:b/>
          <w:sz w:val="24"/>
        </w:rPr>
      </w:pPr>
    </w:p>
    <w:p>
      <w:pPr>
        <w:spacing w:line="360" w:lineRule="auto"/>
        <w:jc w:val="center"/>
        <w:outlineLvl w:val="1"/>
        <w:rPr>
          <w:rFonts w:ascii="宋体" w:hAnsi="宋体"/>
          <w:b/>
          <w:sz w:val="24"/>
        </w:rPr>
      </w:pPr>
      <w:r>
        <w:rPr>
          <w:rFonts w:hint="eastAsia" w:ascii="宋体" w:hAnsi="宋体"/>
          <w:sz w:val="24"/>
        </w:rPr>
        <w:br w:type="page"/>
      </w:r>
      <w:bookmarkStart w:id="658" w:name="_Toc87621074"/>
      <w:bookmarkStart w:id="659" w:name="_Hlk450185103"/>
      <w:bookmarkStart w:id="660" w:name="_Toc16089984"/>
      <w:bookmarkStart w:id="661" w:name="_Toc15912365"/>
      <w:bookmarkStart w:id="662" w:name="_Toc90713373"/>
      <w:bookmarkStart w:id="663" w:name="_Toc4082"/>
      <w:bookmarkStart w:id="664" w:name="_Toc482379080"/>
      <w:bookmarkStart w:id="665" w:name="_Toc482378987"/>
      <w:bookmarkStart w:id="666" w:name="_Toc44924416"/>
      <w:bookmarkStart w:id="667" w:name="_Toc1320"/>
      <w:bookmarkStart w:id="668" w:name="_Toc10238"/>
      <w:bookmarkStart w:id="669" w:name="_Toc16089926"/>
      <w:bookmarkStart w:id="670" w:name="_Toc90712554"/>
      <w:r>
        <w:rPr>
          <w:rFonts w:hint="eastAsia" w:ascii="宋体" w:hAnsi="宋体"/>
          <w:b/>
          <w:sz w:val="24"/>
        </w:rPr>
        <w:t>三</w:t>
      </w:r>
      <w:bookmarkEnd w:id="658"/>
      <w:bookmarkEnd w:id="659"/>
      <w:r>
        <w:rPr>
          <w:rFonts w:hint="eastAsia" w:ascii="宋体" w:hAnsi="宋体"/>
          <w:b/>
          <w:sz w:val="24"/>
        </w:rPr>
        <w:t>、竞争性磋商报价表</w:t>
      </w:r>
      <w:bookmarkEnd w:id="660"/>
      <w:bookmarkEnd w:id="661"/>
      <w:bookmarkEnd w:id="662"/>
      <w:bookmarkEnd w:id="663"/>
      <w:bookmarkEnd w:id="664"/>
      <w:bookmarkEnd w:id="665"/>
      <w:bookmarkEnd w:id="666"/>
      <w:bookmarkEnd w:id="667"/>
      <w:bookmarkEnd w:id="668"/>
      <w:bookmarkEnd w:id="669"/>
      <w:bookmarkEnd w:id="670"/>
    </w:p>
    <w:p>
      <w:pPr>
        <w:spacing w:line="360" w:lineRule="auto"/>
        <w:jc w:val="center"/>
        <w:rPr>
          <w:rFonts w:ascii="宋体" w:hAnsi="宋体"/>
          <w:b/>
          <w:sz w:val="24"/>
        </w:rPr>
      </w:pPr>
    </w:p>
    <w:tbl>
      <w:tblPr>
        <w:tblStyle w:val="26"/>
        <w:tblW w:w="87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7"/>
        <w:gridCol w:w="73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437" w:type="dxa"/>
            <w:vAlign w:val="center"/>
          </w:tcPr>
          <w:p>
            <w:pPr>
              <w:jc w:val="center"/>
              <w:rPr>
                <w:rFonts w:ascii="宋体" w:hAnsi="宋体"/>
                <w:b/>
                <w:sz w:val="24"/>
              </w:rPr>
            </w:pPr>
            <w:r>
              <w:rPr>
                <w:rFonts w:hint="eastAsia" w:ascii="宋体" w:hAnsi="宋体"/>
                <w:b/>
                <w:sz w:val="24"/>
              </w:rPr>
              <w:t xml:space="preserve">供应商名称 </w:t>
            </w:r>
          </w:p>
        </w:tc>
        <w:tc>
          <w:tcPr>
            <w:tcW w:w="7353" w:type="dxa"/>
            <w:vAlign w:val="center"/>
          </w:tcPr>
          <w:p>
            <w:pPr>
              <w:spacing w:line="480" w:lineRule="auto"/>
              <w:ind w:firstLine="240" w:firstLineChars="100"/>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jc w:val="center"/>
              <w:rPr>
                <w:rFonts w:ascii="宋体" w:hAnsi="宋体"/>
                <w:b/>
                <w:sz w:val="24"/>
              </w:rPr>
            </w:pPr>
            <w:r>
              <w:rPr>
                <w:rFonts w:hint="eastAsia" w:ascii="宋体" w:hAnsi="宋体"/>
                <w:b/>
                <w:sz w:val="24"/>
              </w:rPr>
              <w:t>磋商报价</w:t>
            </w:r>
          </w:p>
        </w:tc>
        <w:tc>
          <w:tcPr>
            <w:tcW w:w="7353" w:type="dxa"/>
            <w:vAlign w:val="center"/>
          </w:tcPr>
          <w:p>
            <w:pPr>
              <w:spacing w:line="480" w:lineRule="auto"/>
              <w:ind w:firstLine="240" w:firstLineChars="100"/>
              <w:rPr>
                <w:rFonts w:ascii="宋体" w:hAnsi="宋体"/>
                <w:sz w:val="24"/>
              </w:rPr>
            </w:pPr>
            <w:r>
              <w:rPr>
                <w:rFonts w:hint="eastAsia" w:ascii="宋体" w:hAnsi="宋体"/>
                <w:sz w:val="24"/>
              </w:rPr>
              <w:t>大写：</w:t>
            </w:r>
            <w:r>
              <w:rPr>
                <w:rFonts w:hint="eastAsia" w:ascii="宋体" w:hAnsi="宋体"/>
                <w:sz w:val="24"/>
                <w:u w:val="single"/>
              </w:rPr>
              <w:t xml:space="preserve">                     </w:t>
            </w:r>
            <w:r>
              <w:rPr>
                <w:rFonts w:hint="eastAsia" w:ascii="宋体" w:hAnsi="宋体"/>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jc w:val="center"/>
              <w:rPr>
                <w:rFonts w:ascii="宋体" w:hAnsi="宋体"/>
                <w:b/>
                <w:sz w:val="24"/>
              </w:rPr>
            </w:pPr>
            <w:r>
              <w:rPr>
                <w:rFonts w:hint="eastAsia" w:ascii="宋体" w:hAnsi="宋体"/>
                <w:b/>
                <w:sz w:val="24"/>
              </w:rPr>
              <w:t>磋商报价</w:t>
            </w:r>
          </w:p>
        </w:tc>
        <w:tc>
          <w:tcPr>
            <w:tcW w:w="7353" w:type="dxa"/>
            <w:vAlign w:val="center"/>
          </w:tcPr>
          <w:p>
            <w:pPr>
              <w:spacing w:line="480" w:lineRule="auto"/>
              <w:ind w:firstLine="240" w:firstLineChars="100"/>
              <w:rPr>
                <w:rFonts w:ascii="宋体" w:hAnsi="宋体"/>
                <w:sz w:val="24"/>
              </w:rPr>
            </w:pPr>
            <w:r>
              <w:rPr>
                <w:rFonts w:hint="eastAsia" w:ascii="宋体" w:hAnsi="宋体"/>
                <w:sz w:val="24"/>
              </w:rPr>
              <w:t>小写：</w:t>
            </w:r>
            <w:r>
              <w:rPr>
                <w:rFonts w:hint="eastAsia" w:ascii="宋体" w:hAnsi="宋体"/>
                <w:sz w:val="24"/>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437" w:type="dxa"/>
            <w:vAlign w:val="center"/>
          </w:tcPr>
          <w:p>
            <w:pPr>
              <w:jc w:val="center"/>
              <w:rPr>
                <w:rFonts w:ascii="宋体" w:hAnsi="宋体"/>
                <w:b/>
                <w:sz w:val="24"/>
              </w:rPr>
            </w:pPr>
            <w:r>
              <w:rPr>
                <w:rFonts w:hint="eastAsia" w:ascii="宋体" w:hAnsi="宋体"/>
                <w:b/>
                <w:sz w:val="24"/>
              </w:rPr>
              <w:t>交货期</w:t>
            </w:r>
          </w:p>
        </w:tc>
        <w:tc>
          <w:tcPr>
            <w:tcW w:w="7353" w:type="dxa"/>
            <w:vAlign w:val="center"/>
          </w:tcPr>
          <w:p>
            <w:pPr>
              <w:ind w:firstLine="120" w:firstLineChars="50"/>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437" w:type="dxa"/>
            <w:vAlign w:val="center"/>
          </w:tcPr>
          <w:p>
            <w:pPr>
              <w:jc w:val="center"/>
              <w:rPr>
                <w:rFonts w:ascii="宋体" w:hAnsi="宋体"/>
                <w:b/>
                <w:sz w:val="24"/>
              </w:rPr>
            </w:pPr>
            <w:r>
              <w:rPr>
                <w:rFonts w:hint="eastAsia" w:ascii="宋体" w:hAnsi="宋体"/>
                <w:b/>
                <w:sz w:val="24"/>
              </w:rPr>
              <w:t>质保期</w:t>
            </w:r>
          </w:p>
        </w:tc>
        <w:tc>
          <w:tcPr>
            <w:tcW w:w="7353" w:type="dxa"/>
            <w:vAlign w:val="center"/>
          </w:tcPr>
          <w:p>
            <w:pPr>
              <w:ind w:firstLine="240" w:firstLineChars="100"/>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437" w:type="dxa"/>
            <w:vAlign w:val="center"/>
          </w:tcPr>
          <w:p>
            <w:pPr>
              <w:jc w:val="center"/>
              <w:rPr>
                <w:rFonts w:ascii="宋体" w:hAnsi="宋体"/>
                <w:b/>
                <w:sz w:val="24"/>
              </w:rPr>
            </w:pPr>
            <w:r>
              <w:rPr>
                <w:rFonts w:hint="eastAsia" w:ascii="宋体" w:hAnsi="宋体"/>
                <w:b/>
                <w:sz w:val="24"/>
              </w:rPr>
              <w:t>保证金</w:t>
            </w:r>
          </w:p>
        </w:tc>
        <w:tc>
          <w:tcPr>
            <w:tcW w:w="7353" w:type="dxa"/>
            <w:vAlign w:val="center"/>
          </w:tcPr>
          <w:p>
            <w:pPr>
              <w:ind w:firstLine="240" w:firstLineChars="100"/>
              <w:rPr>
                <w:rFonts w:ascii="宋体" w:hAnsi="宋体"/>
                <w:sz w:val="24"/>
              </w:rPr>
            </w:pPr>
            <w:r>
              <w:rPr>
                <w:rFonts w:hint="eastAsia" w:ascii="宋体" w:hAnsi="宋体"/>
                <w:sz w:val="24"/>
              </w:rPr>
              <w:t>0元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37" w:type="dxa"/>
            <w:vAlign w:val="center"/>
          </w:tcPr>
          <w:p>
            <w:pPr>
              <w:jc w:val="center"/>
              <w:rPr>
                <w:rFonts w:ascii="宋体" w:hAnsi="宋体"/>
                <w:b/>
                <w:sz w:val="24"/>
              </w:rPr>
            </w:pPr>
            <w:r>
              <w:rPr>
                <w:rFonts w:hint="eastAsia" w:ascii="宋体" w:hAnsi="宋体"/>
                <w:b/>
                <w:sz w:val="24"/>
              </w:rPr>
              <w:t>磋商有效期</w:t>
            </w:r>
          </w:p>
        </w:tc>
        <w:tc>
          <w:tcPr>
            <w:tcW w:w="7353" w:type="dxa"/>
            <w:vAlign w:val="center"/>
          </w:tcPr>
          <w:p>
            <w:pPr>
              <w:rPr>
                <w:rFonts w:ascii="宋体" w:hAnsi="宋体"/>
                <w:sz w:val="24"/>
              </w:rPr>
            </w:pPr>
            <w:r>
              <w:rPr>
                <w:rFonts w:hint="eastAsia" w:ascii="宋体" w:hAnsi="宋体"/>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41" w:hRule="atLeast"/>
          <w:jc w:val="center"/>
        </w:trPr>
        <w:tc>
          <w:tcPr>
            <w:tcW w:w="1437" w:type="dxa"/>
            <w:vAlign w:val="center"/>
          </w:tcPr>
          <w:p>
            <w:pPr>
              <w:jc w:val="center"/>
              <w:rPr>
                <w:rFonts w:ascii="宋体" w:hAnsi="宋体"/>
                <w:b/>
                <w:sz w:val="24"/>
              </w:rPr>
            </w:pPr>
            <w:r>
              <w:rPr>
                <w:rFonts w:hint="eastAsia" w:ascii="宋体" w:hAnsi="宋体"/>
                <w:b/>
                <w:sz w:val="24"/>
              </w:rPr>
              <w:t>其他声明</w:t>
            </w:r>
          </w:p>
        </w:tc>
        <w:tc>
          <w:tcPr>
            <w:tcW w:w="7353" w:type="dxa"/>
            <w:vAlign w:val="center"/>
          </w:tcPr>
          <w:p>
            <w:pPr>
              <w:rPr>
                <w:rFonts w:ascii="宋体" w:hAnsi="宋体"/>
                <w:sz w:val="24"/>
              </w:rPr>
            </w:pPr>
            <w:r>
              <w:rPr>
                <w:rFonts w:hint="eastAsia" w:ascii="宋体" w:hAnsi="宋体"/>
                <w:sz w:val="24"/>
              </w:rPr>
              <w:t xml:space="preserve">  </w:t>
            </w:r>
          </w:p>
        </w:tc>
      </w:tr>
    </w:tbl>
    <w:p>
      <w:pPr>
        <w:pStyle w:val="6"/>
        <w:rPr>
          <w:rFonts w:ascii="宋体" w:hAnsi="宋体"/>
          <w:szCs w:val="21"/>
        </w:rPr>
      </w:pPr>
    </w:p>
    <w:p>
      <w:pPr>
        <w:pStyle w:val="9"/>
        <w:kinsoku w:val="0"/>
        <w:overflowPunct w:val="0"/>
        <w:snapToGrid w:val="0"/>
        <w:ind w:left="2649" w:right="95" w:firstLine="1351"/>
        <w:jc w:val="right"/>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9"/>
        <w:kinsoku w:val="0"/>
        <w:overflowPunct w:val="0"/>
        <w:snapToGrid w:val="0"/>
        <w:ind w:right="95" w:firstLine="3422" w:firstLineChars="145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9"/>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beforeLines="50" w:line="360" w:lineRule="auto"/>
        <w:rPr>
          <w:rFonts w:ascii="宋体" w:hAnsi="宋体"/>
          <w:sz w:val="24"/>
        </w:rPr>
      </w:pPr>
    </w:p>
    <w:p>
      <w:pPr>
        <w:spacing w:line="360" w:lineRule="auto"/>
        <w:jc w:val="center"/>
        <w:outlineLvl w:val="1"/>
        <w:rPr>
          <w:rFonts w:ascii="宋体" w:hAnsi="宋体"/>
          <w:b/>
          <w:sz w:val="24"/>
        </w:rPr>
      </w:pPr>
      <w:r>
        <w:rPr>
          <w:rFonts w:hint="eastAsia" w:ascii="宋体" w:hAnsi="宋体"/>
          <w:b/>
          <w:sz w:val="24"/>
        </w:rPr>
        <w:br w:type="page"/>
      </w:r>
      <w:bookmarkStart w:id="671" w:name="_Toc482378988"/>
      <w:bookmarkStart w:id="672" w:name="_Toc482379081"/>
      <w:bookmarkStart w:id="673" w:name="_Toc15912366"/>
      <w:bookmarkStart w:id="674" w:name="_Toc13505"/>
      <w:bookmarkStart w:id="675" w:name="_Toc16089985"/>
      <w:bookmarkStart w:id="676" w:name="_Toc28690"/>
      <w:bookmarkStart w:id="677" w:name="_Toc25247"/>
      <w:bookmarkStart w:id="678" w:name="_Toc16089927"/>
      <w:bookmarkStart w:id="679" w:name="_Toc44924417"/>
      <w:r>
        <w:rPr>
          <w:rFonts w:hint="eastAsia" w:ascii="宋体" w:hAnsi="宋体"/>
          <w:b/>
          <w:sz w:val="24"/>
        </w:rPr>
        <w:t>四、竞争性磋商</w:t>
      </w:r>
      <w:bookmarkEnd w:id="671"/>
      <w:bookmarkEnd w:id="672"/>
      <w:bookmarkStart w:id="680" w:name="_Toc482379082"/>
      <w:bookmarkStart w:id="681" w:name="_Toc482378989"/>
      <w:r>
        <w:rPr>
          <w:rFonts w:hint="eastAsia" w:ascii="宋体" w:hAnsi="宋体"/>
          <w:b/>
          <w:sz w:val="24"/>
        </w:rPr>
        <w:t>分项报价表</w:t>
      </w:r>
      <w:bookmarkEnd w:id="673"/>
      <w:bookmarkEnd w:id="674"/>
      <w:bookmarkEnd w:id="675"/>
      <w:bookmarkEnd w:id="676"/>
      <w:bookmarkEnd w:id="677"/>
      <w:bookmarkEnd w:id="678"/>
      <w:bookmarkEnd w:id="679"/>
    </w:p>
    <w:p>
      <w:pPr>
        <w:rPr>
          <w:rFonts w:ascii="宋体" w:hAnsi="宋体"/>
          <w:sz w:val="24"/>
        </w:rPr>
      </w:pPr>
      <w:r>
        <w:rPr>
          <w:rFonts w:hint="eastAsia" w:ascii="宋体" w:hAnsi="宋体"/>
          <w:sz w:val="24"/>
        </w:rPr>
        <w:t>供应商（此处填名称并盖章）</w:t>
      </w:r>
    </w:p>
    <w:p>
      <w:pPr>
        <w:rPr>
          <w:rFonts w:ascii="宋体" w:hAnsi="宋体"/>
          <w:sz w:val="24"/>
        </w:rPr>
      </w:pPr>
      <w:r>
        <w:rPr>
          <w:rFonts w:hint="eastAsia" w:ascii="宋体" w:hAnsi="宋体"/>
          <w:sz w:val="24"/>
        </w:rPr>
        <w:t>项目名称：                                              单位：人民币元</w:t>
      </w:r>
    </w:p>
    <w:tbl>
      <w:tblPr>
        <w:tblStyle w:val="2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715"/>
        <w:gridCol w:w="715"/>
        <w:gridCol w:w="546"/>
        <w:gridCol w:w="539"/>
        <w:gridCol w:w="539"/>
        <w:gridCol w:w="539"/>
        <w:gridCol w:w="1072"/>
        <w:gridCol w:w="1072"/>
        <w:gridCol w:w="539"/>
        <w:gridCol w:w="539"/>
        <w:gridCol w:w="717"/>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Align w:val="center"/>
          </w:tcPr>
          <w:p>
            <w:pPr>
              <w:jc w:val="center"/>
              <w:rPr>
                <w:rFonts w:ascii="宋体" w:hAnsi="宋体"/>
                <w:b/>
                <w:bCs/>
                <w:sz w:val="24"/>
              </w:rPr>
            </w:pPr>
            <w:r>
              <w:rPr>
                <w:rFonts w:hint="eastAsia" w:ascii="宋体" w:hAnsi="宋体"/>
                <w:b/>
                <w:bCs/>
                <w:sz w:val="24"/>
              </w:rPr>
              <w:t>序号</w:t>
            </w:r>
          </w:p>
        </w:tc>
        <w:tc>
          <w:tcPr>
            <w:tcW w:w="715" w:type="dxa"/>
            <w:vAlign w:val="center"/>
          </w:tcPr>
          <w:p>
            <w:pPr>
              <w:jc w:val="center"/>
              <w:rPr>
                <w:rFonts w:ascii="宋体" w:hAnsi="宋体"/>
                <w:b/>
                <w:bCs/>
                <w:sz w:val="24"/>
              </w:rPr>
            </w:pPr>
            <w:r>
              <w:rPr>
                <w:rFonts w:hint="eastAsia" w:ascii="宋体" w:hAnsi="宋体"/>
                <w:b/>
                <w:bCs/>
                <w:sz w:val="24"/>
              </w:rPr>
              <w:t>货物名称</w:t>
            </w:r>
          </w:p>
        </w:tc>
        <w:tc>
          <w:tcPr>
            <w:tcW w:w="715" w:type="dxa"/>
            <w:vAlign w:val="center"/>
          </w:tcPr>
          <w:p>
            <w:pPr>
              <w:jc w:val="center"/>
              <w:rPr>
                <w:rFonts w:ascii="宋体" w:hAnsi="宋体"/>
                <w:b/>
                <w:bCs/>
                <w:sz w:val="24"/>
              </w:rPr>
            </w:pPr>
            <w:r>
              <w:rPr>
                <w:rFonts w:hint="eastAsia" w:ascii="宋体" w:hAnsi="宋体"/>
                <w:b/>
                <w:bCs/>
                <w:sz w:val="24"/>
              </w:rPr>
              <w:t>品牌型号</w:t>
            </w:r>
          </w:p>
        </w:tc>
        <w:tc>
          <w:tcPr>
            <w:tcW w:w="546" w:type="dxa"/>
            <w:vAlign w:val="center"/>
          </w:tcPr>
          <w:p>
            <w:pPr>
              <w:jc w:val="center"/>
              <w:rPr>
                <w:rFonts w:ascii="宋体" w:hAnsi="宋体"/>
                <w:b/>
                <w:bCs/>
                <w:sz w:val="24"/>
              </w:rPr>
            </w:pPr>
            <w:r>
              <w:rPr>
                <w:rFonts w:hint="eastAsia" w:ascii="宋体" w:hAnsi="宋体"/>
                <w:b/>
                <w:bCs/>
                <w:sz w:val="24"/>
              </w:rPr>
              <w:t>单位</w:t>
            </w:r>
          </w:p>
        </w:tc>
        <w:tc>
          <w:tcPr>
            <w:tcW w:w="539" w:type="dxa"/>
            <w:vAlign w:val="center"/>
          </w:tcPr>
          <w:p>
            <w:pPr>
              <w:jc w:val="center"/>
              <w:rPr>
                <w:rFonts w:ascii="宋体" w:hAnsi="宋体"/>
                <w:b/>
                <w:bCs/>
                <w:sz w:val="24"/>
              </w:rPr>
            </w:pPr>
            <w:r>
              <w:rPr>
                <w:rFonts w:hint="eastAsia" w:ascii="宋体" w:hAnsi="宋体"/>
                <w:b/>
                <w:bCs/>
                <w:sz w:val="24"/>
              </w:rPr>
              <w:t>数量</w:t>
            </w:r>
          </w:p>
        </w:tc>
        <w:tc>
          <w:tcPr>
            <w:tcW w:w="539" w:type="dxa"/>
            <w:vAlign w:val="center"/>
          </w:tcPr>
          <w:p>
            <w:pPr>
              <w:jc w:val="center"/>
              <w:rPr>
                <w:rFonts w:ascii="宋体" w:hAnsi="宋体"/>
                <w:b/>
                <w:bCs/>
                <w:sz w:val="24"/>
              </w:rPr>
            </w:pPr>
            <w:r>
              <w:rPr>
                <w:rFonts w:hint="eastAsia" w:ascii="宋体" w:hAnsi="宋体"/>
                <w:b/>
                <w:bCs/>
                <w:sz w:val="24"/>
              </w:rPr>
              <w:t>单价</w:t>
            </w:r>
          </w:p>
        </w:tc>
        <w:tc>
          <w:tcPr>
            <w:tcW w:w="539" w:type="dxa"/>
            <w:vAlign w:val="center"/>
          </w:tcPr>
          <w:p>
            <w:pPr>
              <w:jc w:val="center"/>
              <w:rPr>
                <w:rFonts w:ascii="宋体" w:hAnsi="宋体"/>
                <w:b/>
                <w:bCs/>
                <w:sz w:val="24"/>
              </w:rPr>
            </w:pPr>
            <w:r>
              <w:rPr>
                <w:rFonts w:hint="eastAsia" w:ascii="宋体" w:hAnsi="宋体"/>
                <w:b/>
                <w:bCs/>
                <w:sz w:val="24"/>
              </w:rPr>
              <w:t>小计</w:t>
            </w:r>
          </w:p>
        </w:tc>
        <w:tc>
          <w:tcPr>
            <w:tcW w:w="1072" w:type="dxa"/>
            <w:vAlign w:val="center"/>
          </w:tcPr>
          <w:p>
            <w:pPr>
              <w:jc w:val="center"/>
              <w:rPr>
                <w:rFonts w:ascii="宋体" w:hAnsi="宋体"/>
                <w:b/>
                <w:bCs/>
                <w:sz w:val="24"/>
              </w:rPr>
            </w:pPr>
            <w:r>
              <w:rPr>
                <w:rFonts w:hint="eastAsia" w:ascii="宋体" w:hAnsi="宋体"/>
                <w:b/>
                <w:bCs/>
                <w:sz w:val="24"/>
              </w:rPr>
              <w:t>运输及保险费</w:t>
            </w:r>
          </w:p>
        </w:tc>
        <w:tc>
          <w:tcPr>
            <w:tcW w:w="1072" w:type="dxa"/>
            <w:vAlign w:val="center"/>
          </w:tcPr>
          <w:p>
            <w:pPr>
              <w:jc w:val="center"/>
              <w:rPr>
                <w:rFonts w:ascii="宋体" w:hAnsi="宋体"/>
                <w:b/>
                <w:bCs/>
                <w:sz w:val="24"/>
              </w:rPr>
            </w:pPr>
            <w:r>
              <w:rPr>
                <w:rFonts w:hint="eastAsia" w:ascii="宋体" w:hAnsi="宋体"/>
                <w:b/>
                <w:bCs/>
                <w:sz w:val="24"/>
              </w:rPr>
              <w:t>技术服务费</w:t>
            </w:r>
          </w:p>
        </w:tc>
        <w:tc>
          <w:tcPr>
            <w:tcW w:w="539" w:type="dxa"/>
            <w:vAlign w:val="center"/>
          </w:tcPr>
          <w:p>
            <w:pPr>
              <w:jc w:val="center"/>
              <w:rPr>
                <w:rFonts w:ascii="宋体" w:hAnsi="宋体"/>
                <w:b/>
                <w:bCs/>
                <w:sz w:val="24"/>
              </w:rPr>
            </w:pPr>
            <w:r>
              <w:rPr>
                <w:rFonts w:hint="eastAsia" w:ascii="宋体" w:hAnsi="宋体"/>
                <w:b/>
                <w:bCs/>
                <w:sz w:val="24"/>
              </w:rPr>
              <w:t>税费</w:t>
            </w:r>
          </w:p>
        </w:tc>
        <w:tc>
          <w:tcPr>
            <w:tcW w:w="539" w:type="dxa"/>
            <w:vAlign w:val="center"/>
          </w:tcPr>
          <w:p>
            <w:pPr>
              <w:jc w:val="center"/>
              <w:rPr>
                <w:rFonts w:ascii="宋体" w:hAnsi="宋体"/>
                <w:b/>
                <w:bCs/>
                <w:sz w:val="24"/>
              </w:rPr>
            </w:pPr>
            <w:r>
              <w:rPr>
                <w:rFonts w:hint="eastAsia" w:ascii="宋体" w:hAnsi="宋体"/>
                <w:b/>
                <w:bCs/>
                <w:sz w:val="24"/>
              </w:rPr>
              <w:t>合计</w:t>
            </w:r>
          </w:p>
        </w:tc>
        <w:tc>
          <w:tcPr>
            <w:tcW w:w="717" w:type="dxa"/>
            <w:vAlign w:val="center"/>
          </w:tcPr>
          <w:p>
            <w:pPr>
              <w:jc w:val="center"/>
              <w:rPr>
                <w:rFonts w:ascii="宋体" w:hAnsi="宋体"/>
                <w:b/>
                <w:bCs/>
                <w:sz w:val="24"/>
              </w:rPr>
            </w:pPr>
            <w:r>
              <w:rPr>
                <w:rFonts w:hint="eastAsia" w:ascii="宋体" w:hAnsi="宋体"/>
                <w:b/>
                <w:bCs/>
                <w:sz w:val="24"/>
              </w:rPr>
              <w:t>交货日期</w:t>
            </w:r>
          </w:p>
        </w:tc>
        <w:tc>
          <w:tcPr>
            <w:tcW w:w="717" w:type="dxa"/>
            <w:vAlign w:val="center"/>
          </w:tcPr>
          <w:p>
            <w:pPr>
              <w:jc w:val="center"/>
              <w:rPr>
                <w:rFonts w:ascii="宋体" w:hAnsi="宋体"/>
                <w:b/>
                <w:bCs/>
                <w:sz w:val="24"/>
              </w:rPr>
            </w:pPr>
            <w:r>
              <w:rPr>
                <w:rFonts w:hint="eastAsia" w:ascii="宋体" w:hAnsi="宋体"/>
                <w:b/>
                <w:bCs/>
                <w:sz w:val="24"/>
              </w:rPr>
              <w:t>交货地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sz w:val="24"/>
              </w:rPr>
            </w:pPr>
          </w:p>
        </w:tc>
        <w:tc>
          <w:tcPr>
            <w:tcW w:w="715" w:type="dxa"/>
          </w:tcPr>
          <w:p>
            <w:pPr>
              <w:rPr>
                <w:rFonts w:ascii="宋体" w:hAnsi="宋体"/>
                <w:sz w:val="24"/>
              </w:rPr>
            </w:pPr>
          </w:p>
        </w:tc>
        <w:tc>
          <w:tcPr>
            <w:tcW w:w="715" w:type="dxa"/>
          </w:tcPr>
          <w:p>
            <w:pPr>
              <w:rPr>
                <w:rFonts w:ascii="宋体" w:hAnsi="宋体"/>
                <w:sz w:val="24"/>
              </w:rPr>
            </w:pPr>
          </w:p>
        </w:tc>
        <w:tc>
          <w:tcPr>
            <w:tcW w:w="546"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1072" w:type="dxa"/>
          </w:tcPr>
          <w:p>
            <w:pPr>
              <w:rPr>
                <w:rFonts w:ascii="宋体" w:hAnsi="宋体"/>
                <w:sz w:val="24"/>
              </w:rPr>
            </w:pPr>
          </w:p>
        </w:tc>
        <w:tc>
          <w:tcPr>
            <w:tcW w:w="1072"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717" w:type="dxa"/>
          </w:tcPr>
          <w:p>
            <w:pPr>
              <w:rPr>
                <w:rFonts w:ascii="宋体" w:hAnsi="宋体"/>
                <w:sz w:val="24"/>
              </w:rPr>
            </w:pPr>
          </w:p>
        </w:tc>
        <w:tc>
          <w:tcPr>
            <w:tcW w:w="717"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sz w:val="24"/>
              </w:rPr>
            </w:pPr>
          </w:p>
        </w:tc>
        <w:tc>
          <w:tcPr>
            <w:tcW w:w="715" w:type="dxa"/>
          </w:tcPr>
          <w:p>
            <w:pPr>
              <w:rPr>
                <w:rFonts w:ascii="宋体" w:hAnsi="宋体"/>
                <w:sz w:val="24"/>
              </w:rPr>
            </w:pPr>
          </w:p>
        </w:tc>
        <w:tc>
          <w:tcPr>
            <w:tcW w:w="715" w:type="dxa"/>
          </w:tcPr>
          <w:p>
            <w:pPr>
              <w:rPr>
                <w:rFonts w:ascii="宋体" w:hAnsi="宋体"/>
                <w:sz w:val="24"/>
              </w:rPr>
            </w:pPr>
          </w:p>
        </w:tc>
        <w:tc>
          <w:tcPr>
            <w:tcW w:w="546"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1072" w:type="dxa"/>
          </w:tcPr>
          <w:p>
            <w:pPr>
              <w:rPr>
                <w:rFonts w:ascii="宋体" w:hAnsi="宋体"/>
                <w:sz w:val="24"/>
              </w:rPr>
            </w:pPr>
          </w:p>
        </w:tc>
        <w:tc>
          <w:tcPr>
            <w:tcW w:w="1072"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717" w:type="dxa"/>
          </w:tcPr>
          <w:p>
            <w:pPr>
              <w:rPr>
                <w:rFonts w:ascii="宋体" w:hAnsi="宋体"/>
                <w:sz w:val="24"/>
              </w:rPr>
            </w:pPr>
          </w:p>
        </w:tc>
        <w:tc>
          <w:tcPr>
            <w:tcW w:w="717"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sz w:val="24"/>
              </w:rPr>
            </w:pPr>
          </w:p>
        </w:tc>
        <w:tc>
          <w:tcPr>
            <w:tcW w:w="715" w:type="dxa"/>
          </w:tcPr>
          <w:p>
            <w:pPr>
              <w:rPr>
                <w:rFonts w:ascii="宋体" w:hAnsi="宋体"/>
                <w:sz w:val="24"/>
              </w:rPr>
            </w:pPr>
          </w:p>
        </w:tc>
        <w:tc>
          <w:tcPr>
            <w:tcW w:w="715" w:type="dxa"/>
          </w:tcPr>
          <w:p>
            <w:pPr>
              <w:rPr>
                <w:rFonts w:ascii="宋体" w:hAnsi="宋体"/>
                <w:sz w:val="24"/>
              </w:rPr>
            </w:pPr>
          </w:p>
        </w:tc>
        <w:tc>
          <w:tcPr>
            <w:tcW w:w="546"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1072" w:type="dxa"/>
          </w:tcPr>
          <w:p>
            <w:pPr>
              <w:rPr>
                <w:rFonts w:ascii="宋体" w:hAnsi="宋体"/>
                <w:sz w:val="24"/>
              </w:rPr>
            </w:pPr>
          </w:p>
        </w:tc>
        <w:tc>
          <w:tcPr>
            <w:tcW w:w="1072"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717" w:type="dxa"/>
          </w:tcPr>
          <w:p>
            <w:pPr>
              <w:rPr>
                <w:rFonts w:ascii="宋体" w:hAnsi="宋体"/>
                <w:sz w:val="24"/>
              </w:rPr>
            </w:pPr>
          </w:p>
        </w:tc>
        <w:tc>
          <w:tcPr>
            <w:tcW w:w="717"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sz w:val="24"/>
              </w:rPr>
            </w:pPr>
          </w:p>
        </w:tc>
        <w:tc>
          <w:tcPr>
            <w:tcW w:w="715" w:type="dxa"/>
          </w:tcPr>
          <w:p>
            <w:pPr>
              <w:rPr>
                <w:rFonts w:ascii="宋体" w:hAnsi="宋体"/>
                <w:sz w:val="24"/>
              </w:rPr>
            </w:pPr>
          </w:p>
        </w:tc>
        <w:tc>
          <w:tcPr>
            <w:tcW w:w="715" w:type="dxa"/>
          </w:tcPr>
          <w:p>
            <w:pPr>
              <w:rPr>
                <w:rFonts w:ascii="宋体" w:hAnsi="宋体"/>
                <w:sz w:val="24"/>
              </w:rPr>
            </w:pPr>
          </w:p>
        </w:tc>
        <w:tc>
          <w:tcPr>
            <w:tcW w:w="546"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1072" w:type="dxa"/>
          </w:tcPr>
          <w:p>
            <w:pPr>
              <w:rPr>
                <w:rFonts w:ascii="宋体" w:hAnsi="宋体"/>
                <w:sz w:val="24"/>
              </w:rPr>
            </w:pPr>
          </w:p>
        </w:tc>
        <w:tc>
          <w:tcPr>
            <w:tcW w:w="1072"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717" w:type="dxa"/>
          </w:tcPr>
          <w:p>
            <w:pPr>
              <w:rPr>
                <w:rFonts w:ascii="宋体" w:hAnsi="宋体"/>
                <w:sz w:val="24"/>
              </w:rPr>
            </w:pPr>
          </w:p>
        </w:tc>
        <w:tc>
          <w:tcPr>
            <w:tcW w:w="717"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sz w:val="24"/>
              </w:rPr>
            </w:pPr>
          </w:p>
        </w:tc>
        <w:tc>
          <w:tcPr>
            <w:tcW w:w="715" w:type="dxa"/>
          </w:tcPr>
          <w:p>
            <w:pPr>
              <w:rPr>
                <w:rFonts w:ascii="宋体" w:hAnsi="宋体"/>
                <w:sz w:val="24"/>
              </w:rPr>
            </w:pPr>
          </w:p>
        </w:tc>
        <w:tc>
          <w:tcPr>
            <w:tcW w:w="715" w:type="dxa"/>
          </w:tcPr>
          <w:p>
            <w:pPr>
              <w:rPr>
                <w:rFonts w:ascii="宋体" w:hAnsi="宋体"/>
                <w:sz w:val="24"/>
              </w:rPr>
            </w:pPr>
          </w:p>
        </w:tc>
        <w:tc>
          <w:tcPr>
            <w:tcW w:w="546"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1072" w:type="dxa"/>
          </w:tcPr>
          <w:p>
            <w:pPr>
              <w:rPr>
                <w:rFonts w:ascii="宋体" w:hAnsi="宋体"/>
                <w:sz w:val="24"/>
              </w:rPr>
            </w:pPr>
          </w:p>
        </w:tc>
        <w:tc>
          <w:tcPr>
            <w:tcW w:w="1072"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717" w:type="dxa"/>
          </w:tcPr>
          <w:p>
            <w:pPr>
              <w:rPr>
                <w:rFonts w:ascii="宋体" w:hAnsi="宋体"/>
                <w:sz w:val="24"/>
              </w:rPr>
            </w:pPr>
          </w:p>
        </w:tc>
        <w:tc>
          <w:tcPr>
            <w:tcW w:w="717"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sz w:val="24"/>
              </w:rPr>
            </w:pPr>
          </w:p>
        </w:tc>
        <w:tc>
          <w:tcPr>
            <w:tcW w:w="715" w:type="dxa"/>
          </w:tcPr>
          <w:p>
            <w:pPr>
              <w:rPr>
                <w:rFonts w:ascii="宋体" w:hAnsi="宋体"/>
                <w:sz w:val="24"/>
              </w:rPr>
            </w:pPr>
          </w:p>
        </w:tc>
        <w:tc>
          <w:tcPr>
            <w:tcW w:w="715" w:type="dxa"/>
          </w:tcPr>
          <w:p>
            <w:pPr>
              <w:rPr>
                <w:rFonts w:ascii="宋体" w:hAnsi="宋体"/>
                <w:sz w:val="24"/>
              </w:rPr>
            </w:pPr>
          </w:p>
        </w:tc>
        <w:tc>
          <w:tcPr>
            <w:tcW w:w="546"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1072" w:type="dxa"/>
          </w:tcPr>
          <w:p>
            <w:pPr>
              <w:rPr>
                <w:rFonts w:ascii="宋体" w:hAnsi="宋体"/>
                <w:sz w:val="24"/>
              </w:rPr>
            </w:pPr>
          </w:p>
        </w:tc>
        <w:tc>
          <w:tcPr>
            <w:tcW w:w="1072"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717" w:type="dxa"/>
          </w:tcPr>
          <w:p>
            <w:pPr>
              <w:rPr>
                <w:rFonts w:ascii="宋体" w:hAnsi="宋体"/>
                <w:sz w:val="24"/>
              </w:rPr>
            </w:pPr>
          </w:p>
        </w:tc>
        <w:tc>
          <w:tcPr>
            <w:tcW w:w="717"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sz w:val="24"/>
              </w:rPr>
            </w:pPr>
          </w:p>
        </w:tc>
        <w:tc>
          <w:tcPr>
            <w:tcW w:w="715" w:type="dxa"/>
          </w:tcPr>
          <w:p>
            <w:pPr>
              <w:rPr>
                <w:rFonts w:ascii="宋体" w:hAnsi="宋体"/>
                <w:sz w:val="24"/>
              </w:rPr>
            </w:pPr>
          </w:p>
        </w:tc>
        <w:tc>
          <w:tcPr>
            <w:tcW w:w="715" w:type="dxa"/>
          </w:tcPr>
          <w:p>
            <w:pPr>
              <w:rPr>
                <w:rFonts w:ascii="宋体" w:hAnsi="宋体"/>
                <w:sz w:val="24"/>
              </w:rPr>
            </w:pPr>
          </w:p>
        </w:tc>
        <w:tc>
          <w:tcPr>
            <w:tcW w:w="546"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1072" w:type="dxa"/>
          </w:tcPr>
          <w:p>
            <w:pPr>
              <w:rPr>
                <w:rFonts w:ascii="宋体" w:hAnsi="宋体"/>
                <w:sz w:val="24"/>
              </w:rPr>
            </w:pPr>
          </w:p>
        </w:tc>
        <w:tc>
          <w:tcPr>
            <w:tcW w:w="1072"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717" w:type="dxa"/>
          </w:tcPr>
          <w:p>
            <w:pPr>
              <w:rPr>
                <w:rFonts w:ascii="宋体" w:hAnsi="宋体"/>
                <w:sz w:val="24"/>
              </w:rPr>
            </w:pPr>
          </w:p>
        </w:tc>
        <w:tc>
          <w:tcPr>
            <w:tcW w:w="717"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sz w:val="24"/>
              </w:rPr>
            </w:pPr>
          </w:p>
        </w:tc>
        <w:tc>
          <w:tcPr>
            <w:tcW w:w="715" w:type="dxa"/>
          </w:tcPr>
          <w:p>
            <w:pPr>
              <w:rPr>
                <w:rFonts w:ascii="宋体" w:hAnsi="宋体"/>
                <w:sz w:val="24"/>
              </w:rPr>
            </w:pPr>
          </w:p>
        </w:tc>
        <w:tc>
          <w:tcPr>
            <w:tcW w:w="715" w:type="dxa"/>
          </w:tcPr>
          <w:p>
            <w:pPr>
              <w:rPr>
                <w:rFonts w:ascii="宋体" w:hAnsi="宋体"/>
                <w:sz w:val="24"/>
              </w:rPr>
            </w:pPr>
          </w:p>
        </w:tc>
        <w:tc>
          <w:tcPr>
            <w:tcW w:w="546"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1072" w:type="dxa"/>
          </w:tcPr>
          <w:p>
            <w:pPr>
              <w:rPr>
                <w:rFonts w:ascii="宋体" w:hAnsi="宋体"/>
                <w:sz w:val="24"/>
              </w:rPr>
            </w:pPr>
          </w:p>
        </w:tc>
        <w:tc>
          <w:tcPr>
            <w:tcW w:w="1072"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717" w:type="dxa"/>
          </w:tcPr>
          <w:p>
            <w:pPr>
              <w:rPr>
                <w:rFonts w:ascii="宋体" w:hAnsi="宋体"/>
                <w:sz w:val="24"/>
              </w:rPr>
            </w:pPr>
          </w:p>
        </w:tc>
        <w:tc>
          <w:tcPr>
            <w:tcW w:w="717"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sz w:val="24"/>
              </w:rPr>
            </w:pPr>
          </w:p>
        </w:tc>
        <w:tc>
          <w:tcPr>
            <w:tcW w:w="715" w:type="dxa"/>
          </w:tcPr>
          <w:p>
            <w:pPr>
              <w:rPr>
                <w:rFonts w:ascii="宋体" w:hAnsi="宋体"/>
                <w:sz w:val="24"/>
              </w:rPr>
            </w:pPr>
          </w:p>
        </w:tc>
        <w:tc>
          <w:tcPr>
            <w:tcW w:w="715" w:type="dxa"/>
          </w:tcPr>
          <w:p>
            <w:pPr>
              <w:rPr>
                <w:rFonts w:ascii="宋体" w:hAnsi="宋体"/>
                <w:sz w:val="24"/>
              </w:rPr>
            </w:pPr>
          </w:p>
        </w:tc>
        <w:tc>
          <w:tcPr>
            <w:tcW w:w="546"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1072" w:type="dxa"/>
          </w:tcPr>
          <w:p>
            <w:pPr>
              <w:rPr>
                <w:rFonts w:ascii="宋体" w:hAnsi="宋体"/>
                <w:sz w:val="24"/>
              </w:rPr>
            </w:pPr>
          </w:p>
        </w:tc>
        <w:tc>
          <w:tcPr>
            <w:tcW w:w="1072"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717" w:type="dxa"/>
          </w:tcPr>
          <w:p>
            <w:pPr>
              <w:rPr>
                <w:rFonts w:ascii="宋体" w:hAnsi="宋体"/>
                <w:sz w:val="24"/>
              </w:rPr>
            </w:pPr>
          </w:p>
        </w:tc>
        <w:tc>
          <w:tcPr>
            <w:tcW w:w="717"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4" w:type="dxa"/>
            <w:gridSpan w:val="2"/>
          </w:tcPr>
          <w:p>
            <w:pPr>
              <w:pStyle w:val="12"/>
            </w:pPr>
            <w:r>
              <w:rPr>
                <w:rFonts w:hint="eastAsia"/>
              </w:rPr>
              <w:t>合计</w:t>
            </w:r>
          </w:p>
        </w:tc>
        <w:tc>
          <w:tcPr>
            <w:tcW w:w="7534" w:type="dxa"/>
            <w:gridSpan w:val="11"/>
          </w:tcPr>
          <w:p>
            <w:pPr>
              <w:rPr>
                <w:rFonts w:ascii="宋体" w:hAnsi="宋体"/>
                <w:sz w:val="24"/>
              </w:rPr>
            </w:pPr>
          </w:p>
        </w:tc>
      </w:tr>
    </w:tbl>
    <w:p>
      <w:pPr>
        <w:widowControl/>
        <w:ind w:firstLine="420" w:firstLineChars="200"/>
        <w:jc w:val="left"/>
        <w:rPr>
          <w:bCs/>
          <w:szCs w:val="28"/>
        </w:rPr>
      </w:pPr>
    </w:p>
    <w:p>
      <w:pPr>
        <w:pStyle w:val="9"/>
        <w:kinsoku w:val="0"/>
        <w:overflowPunct w:val="0"/>
        <w:snapToGrid w:val="0"/>
        <w:ind w:left="2649" w:right="95" w:firstLine="1351"/>
        <w:jc w:val="right"/>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9"/>
        <w:kinsoku w:val="0"/>
        <w:overflowPunct w:val="0"/>
        <w:snapToGrid w:val="0"/>
        <w:ind w:right="95" w:firstLine="3422" w:firstLineChars="145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9"/>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beforeLines="50" w:line="360" w:lineRule="auto"/>
        <w:rPr>
          <w:rFonts w:ascii="宋体" w:hAnsi="宋体"/>
          <w:sz w:val="24"/>
        </w:rPr>
      </w:pPr>
    </w:p>
    <w:p>
      <w:pPr>
        <w:spacing w:line="360" w:lineRule="auto"/>
        <w:jc w:val="center"/>
        <w:outlineLvl w:val="1"/>
        <w:rPr>
          <w:rFonts w:ascii="宋体" w:hAnsi="宋体"/>
          <w:b/>
          <w:sz w:val="24"/>
        </w:rPr>
      </w:pPr>
      <w:r>
        <w:rPr>
          <w:rFonts w:ascii="宋体" w:hAnsi="宋体"/>
          <w:szCs w:val="21"/>
        </w:rPr>
        <w:br w:type="page"/>
      </w:r>
      <w:bookmarkStart w:id="682" w:name="_Toc11491"/>
      <w:bookmarkStart w:id="683" w:name="_Toc44924418"/>
      <w:bookmarkStart w:id="684" w:name="_Toc15912367"/>
      <w:bookmarkStart w:id="685" w:name="_Toc238"/>
      <w:bookmarkStart w:id="686" w:name="_Toc16089928"/>
      <w:bookmarkStart w:id="687" w:name="_Toc16089986"/>
      <w:bookmarkStart w:id="688" w:name="_Toc32662"/>
      <w:r>
        <w:rPr>
          <w:rFonts w:hint="eastAsia" w:ascii="宋体" w:hAnsi="宋体"/>
          <w:b/>
          <w:sz w:val="24"/>
        </w:rPr>
        <w:t>五、主要设备（产品）规格一览表</w:t>
      </w:r>
      <w:bookmarkEnd w:id="682"/>
      <w:bookmarkEnd w:id="683"/>
      <w:bookmarkEnd w:id="684"/>
      <w:bookmarkEnd w:id="685"/>
      <w:bookmarkEnd w:id="686"/>
      <w:bookmarkEnd w:id="687"/>
      <w:bookmarkEnd w:id="688"/>
    </w:p>
    <w:p>
      <w:pPr>
        <w:rPr>
          <w:rFonts w:ascii="宋体" w:hAnsi="宋体"/>
          <w:sz w:val="24"/>
        </w:rPr>
      </w:pPr>
      <w:r>
        <w:rPr>
          <w:rFonts w:hint="eastAsia" w:ascii="宋体" w:hAnsi="宋体"/>
          <w:sz w:val="24"/>
        </w:rPr>
        <w:t>供应商（此处填名称并盖章）</w:t>
      </w:r>
    </w:p>
    <w:p>
      <w:pPr>
        <w:rPr>
          <w:rFonts w:ascii="宋体" w:hAnsi="宋体"/>
          <w:sz w:val="24"/>
        </w:rPr>
      </w:pPr>
      <w:r>
        <w:rPr>
          <w:rFonts w:hint="eastAsia" w:ascii="宋体" w:hAnsi="宋体"/>
          <w:sz w:val="24"/>
        </w:rPr>
        <w:t xml:space="preserve">项目名称：                              </w:t>
      </w:r>
    </w:p>
    <w:tbl>
      <w:tblPr>
        <w:tblStyle w:val="26"/>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15"/>
        <w:gridCol w:w="1272"/>
        <w:gridCol w:w="267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9" w:type="dxa"/>
            <w:vAlign w:val="center"/>
          </w:tcPr>
          <w:p>
            <w:pPr>
              <w:jc w:val="center"/>
              <w:rPr>
                <w:rFonts w:ascii="宋体" w:hAnsi="宋体"/>
                <w:sz w:val="24"/>
              </w:rPr>
            </w:pPr>
            <w:r>
              <w:rPr>
                <w:rFonts w:hint="eastAsia" w:ascii="宋体" w:hAnsi="宋体"/>
                <w:sz w:val="24"/>
              </w:rPr>
              <w:t>序号</w:t>
            </w:r>
          </w:p>
        </w:tc>
        <w:tc>
          <w:tcPr>
            <w:tcW w:w="1215" w:type="dxa"/>
            <w:vAlign w:val="center"/>
          </w:tcPr>
          <w:p>
            <w:pPr>
              <w:jc w:val="center"/>
              <w:rPr>
                <w:rFonts w:ascii="宋体" w:hAnsi="宋体"/>
                <w:sz w:val="24"/>
              </w:rPr>
            </w:pPr>
            <w:r>
              <w:rPr>
                <w:rFonts w:hint="eastAsia" w:ascii="宋体" w:hAnsi="宋体"/>
                <w:sz w:val="24"/>
              </w:rPr>
              <w:t>货物名称</w:t>
            </w:r>
          </w:p>
        </w:tc>
        <w:tc>
          <w:tcPr>
            <w:tcW w:w="1272" w:type="dxa"/>
            <w:vAlign w:val="center"/>
          </w:tcPr>
          <w:p>
            <w:pPr>
              <w:jc w:val="center"/>
              <w:rPr>
                <w:rFonts w:ascii="宋体" w:hAnsi="宋体"/>
                <w:sz w:val="24"/>
              </w:rPr>
            </w:pPr>
            <w:r>
              <w:rPr>
                <w:rFonts w:hint="eastAsia" w:ascii="宋体" w:hAnsi="宋体"/>
                <w:sz w:val="24"/>
              </w:rPr>
              <w:t>品牌型号</w:t>
            </w:r>
          </w:p>
        </w:tc>
        <w:tc>
          <w:tcPr>
            <w:tcW w:w="2670" w:type="dxa"/>
            <w:vAlign w:val="center"/>
          </w:tcPr>
          <w:p>
            <w:pPr>
              <w:jc w:val="center"/>
              <w:rPr>
                <w:rFonts w:ascii="宋体" w:hAnsi="宋体"/>
                <w:sz w:val="24"/>
              </w:rPr>
            </w:pPr>
            <w:r>
              <w:rPr>
                <w:rFonts w:hint="eastAsia" w:ascii="宋体" w:hAnsi="宋体"/>
                <w:sz w:val="24"/>
              </w:rPr>
              <w:t>规格及技术参数</w:t>
            </w:r>
          </w:p>
        </w:tc>
        <w:tc>
          <w:tcPr>
            <w:tcW w:w="1620" w:type="dxa"/>
            <w:vAlign w:val="center"/>
          </w:tcPr>
          <w:p>
            <w:pPr>
              <w:jc w:val="center"/>
              <w:rPr>
                <w:rFonts w:ascii="宋体" w:hAnsi="宋体"/>
                <w:sz w:val="24"/>
              </w:rPr>
            </w:pPr>
            <w:r>
              <w:rPr>
                <w:rFonts w:hint="eastAsia" w:ascii="宋体" w:hAnsi="宋体"/>
                <w:sz w:val="24"/>
              </w:rPr>
              <w:t>制造商</w:t>
            </w:r>
          </w:p>
        </w:tc>
        <w:tc>
          <w:tcPr>
            <w:tcW w:w="1440" w:type="dxa"/>
            <w:vAlign w:val="center"/>
          </w:tcPr>
          <w:p>
            <w:pPr>
              <w:jc w:val="center"/>
              <w:rPr>
                <w:rFonts w:ascii="宋体" w:hAnsi="宋体"/>
                <w:sz w:val="24"/>
              </w:rPr>
            </w:pPr>
            <w:r>
              <w:rPr>
                <w:rFonts w:hint="eastAsia" w:ascii="宋体" w:hAnsi="宋体"/>
                <w:sz w:val="24"/>
              </w:rPr>
              <w:t>原产地（国）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sz w:val="24"/>
              </w:rPr>
            </w:pPr>
          </w:p>
        </w:tc>
        <w:tc>
          <w:tcPr>
            <w:tcW w:w="1215" w:type="dxa"/>
            <w:vAlign w:val="center"/>
          </w:tcPr>
          <w:p>
            <w:pPr>
              <w:jc w:val="center"/>
              <w:rPr>
                <w:rFonts w:ascii="宋体" w:hAnsi="宋体"/>
                <w:sz w:val="24"/>
              </w:rPr>
            </w:pPr>
          </w:p>
        </w:tc>
        <w:tc>
          <w:tcPr>
            <w:tcW w:w="1272" w:type="dxa"/>
            <w:vAlign w:val="center"/>
          </w:tcPr>
          <w:p>
            <w:pPr>
              <w:jc w:val="center"/>
              <w:rPr>
                <w:rFonts w:ascii="宋体" w:hAnsi="宋体"/>
                <w:sz w:val="24"/>
              </w:rPr>
            </w:pPr>
          </w:p>
        </w:tc>
        <w:tc>
          <w:tcPr>
            <w:tcW w:w="2670" w:type="dxa"/>
            <w:vAlign w:val="center"/>
          </w:tcPr>
          <w:p>
            <w:pPr>
              <w:jc w:val="center"/>
              <w:rPr>
                <w:rFonts w:ascii="宋体" w:hAnsi="宋体"/>
                <w:sz w:val="24"/>
              </w:rPr>
            </w:pPr>
          </w:p>
        </w:tc>
        <w:tc>
          <w:tcPr>
            <w:tcW w:w="162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sz w:val="24"/>
              </w:rPr>
            </w:pPr>
          </w:p>
        </w:tc>
        <w:tc>
          <w:tcPr>
            <w:tcW w:w="1215" w:type="dxa"/>
            <w:vAlign w:val="center"/>
          </w:tcPr>
          <w:p>
            <w:pPr>
              <w:jc w:val="center"/>
              <w:rPr>
                <w:rFonts w:ascii="宋体" w:hAnsi="宋体"/>
                <w:sz w:val="24"/>
              </w:rPr>
            </w:pPr>
          </w:p>
        </w:tc>
        <w:tc>
          <w:tcPr>
            <w:tcW w:w="1272" w:type="dxa"/>
            <w:vAlign w:val="center"/>
          </w:tcPr>
          <w:p>
            <w:pPr>
              <w:jc w:val="center"/>
              <w:rPr>
                <w:rFonts w:ascii="宋体" w:hAnsi="宋体"/>
                <w:sz w:val="24"/>
              </w:rPr>
            </w:pPr>
          </w:p>
        </w:tc>
        <w:tc>
          <w:tcPr>
            <w:tcW w:w="2670" w:type="dxa"/>
            <w:vAlign w:val="center"/>
          </w:tcPr>
          <w:p>
            <w:pPr>
              <w:jc w:val="center"/>
              <w:rPr>
                <w:rFonts w:ascii="宋体" w:hAnsi="宋体"/>
                <w:sz w:val="24"/>
              </w:rPr>
            </w:pPr>
          </w:p>
        </w:tc>
        <w:tc>
          <w:tcPr>
            <w:tcW w:w="162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sz w:val="24"/>
              </w:rPr>
            </w:pPr>
          </w:p>
        </w:tc>
        <w:tc>
          <w:tcPr>
            <w:tcW w:w="1215" w:type="dxa"/>
            <w:vAlign w:val="center"/>
          </w:tcPr>
          <w:p>
            <w:pPr>
              <w:jc w:val="center"/>
              <w:rPr>
                <w:rFonts w:ascii="宋体" w:hAnsi="宋体"/>
                <w:sz w:val="24"/>
              </w:rPr>
            </w:pPr>
          </w:p>
        </w:tc>
        <w:tc>
          <w:tcPr>
            <w:tcW w:w="1272" w:type="dxa"/>
            <w:vAlign w:val="center"/>
          </w:tcPr>
          <w:p>
            <w:pPr>
              <w:jc w:val="center"/>
              <w:rPr>
                <w:rFonts w:ascii="宋体" w:hAnsi="宋体"/>
                <w:sz w:val="24"/>
              </w:rPr>
            </w:pPr>
          </w:p>
        </w:tc>
        <w:tc>
          <w:tcPr>
            <w:tcW w:w="2670" w:type="dxa"/>
            <w:vAlign w:val="center"/>
          </w:tcPr>
          <w:p>
            <w:pPr>
              <w:jc w:val="center"/>
              <w:rPr>
                <w:rFonts w:ascii="宋体" w:hAnsi="宋体"/>
                <w:sz w:val="24"/>
              </w:rPr>
            </w:pPr>
          </w:p>
        </w:tc>
        <w:tc>
          <w:tcPr>
            <w:tcW w:w="162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sz w:val="24"/>
              </w:rPr>
            </w:pPr>
          </w:p>
        </w:tc>
        <w:tc>
          <w:tcPr>
            <w:tcW w:w="1215" w:type="dxa"/>
            <w:vAlign w:val="center"/>
          </w:tcPr>
          <w:p>
            <w:pPr>
              <w:jc w:val="center"/>
              <w:rPr>
                <w:rFonts w:ascii="宋体" w:hAnsi="宋体"/>
                <w:sz w:val="24"/>
              </w:rPr>
            </w:pPr>
          </w:p>
        </w:tc>
        <w:tc>
          <w:tcPr>
            <w:tcW w:w="1272" w:type="dxa"/>
            <w:vAlign w:val="center"/>
          </w:tcPr>
          <w:p>
            <w:pPr>
              <w:jc w:val="center"/>
              <w:rPr>
                <w:rFonts w:ascii="宋体" w:hAnsi="宋体"/>
                <w:sz w:val="24"/>
              </w:rPr>
            </w:pPr>
          </w:p>
        </w:tc>
        <w:tc>
          <w:tcPr>
            <w:tcW w:w="2670" w:type="dxa"/>
            <w:vAlign w:val="center"/>
          </w:tcPr>
          <w:p>
            <w:pPr>
              <w:jc w:val="center"/>
              <w:rPr>
                <w:rFonts w:ascii="宋体" w:hAnsi="宋体"/>
                <w:sz w:val="24"/>
              </w:rPr>
            </w:pPr>
          </w:p>
        </w:tc>
        <w:tc>
          <w:tcPr>
            <w:tcW w:w="162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sz w:val="24"/>
              </w:rPr>
            </w:pPr>
          </w:p>
        </w:tc>
        <w:tc>
          <w:tcPr>
            <w:tcW w:w="1215" w:type="dxa"/>
            <w:vAlign w:val="center"/>
          </w:tcPr>
          <w:p>
            <w:pPr>
              <w:jc w:val="center"/>
              <w:rPr>
                <w:rFonts w:ascii="宋体" w:hAnsi="宋体"/>
                <w:sz w:val="24"/>
              </w:rPr>
            </w:pPr>
          </w:p>
        </w:tc>
        <w:tc>
          <w:tcPr>
            <w:tcW w:w="1272" w:type="dxa"/>
            <w:vAlign w:val="center"/>
          </w:tcPr>
          <w:p>
            <w:pPr>
              <w:jc w:val="center"/>
              <w:rPr>
                <w:rFonts w:ascii="宋体" w:hAnsi="宋体"/>
                <w:sz w:val="24"/>
              </w:rPr>
            </w:pPr>
          </w:p>
        </w:tc>
        <w:tc>
          <w:tcPr>
            <w:tcW w:w="2670" w:type="dxa"/>
            <w:vAlign w:val="center"/>
          </w:tcPr>
          <w:p>
            <w:pPr>
              <w:jc w:val="center"/>
              <w:rPr>
                <w:rFonts w:ascii="宋体" w:hAnsi="宋体"/>
                <w:sz w:val="24"/>
              </w:rPr>
            </w:pPr>
          </w:p>
        </w:tc>
        <w:tc>
          <w:tcPr>
            <w:tcW w:w="162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sz w:val="24"/>
              </w:rPr>
            </w:pPr>
          </w:p>
        </w:tc>
        <w:tc>
          <w:tcPr>
            <w:tcW w:w="1215" w:type="dxa"/>
            <w:vAlign w:val="center"/>
          </w:tcPr>
          <w:p>
            <w:pPr>
              <w:jc w:val="center"/>
              <w:rPr>
                <w:rFonts w:ascii="宋体" w:hAnsi="宋体"/>
                <w:sz w:val="24"/>
              </w:rPr>
            </w:pPr>
          </w:p>
        </w:tc>
        <w:tc>
          <w:tcPr>
            <w:tcW w:w="1272" w:type="dxa"/>
            <w:vAlign w:val="center"/>
          </w:tcPr>
          <w:p>
            <w:pPr>
              <w:jc w:val="center"/>
              <w:rPr>
                <w:rFonts w:ascii="宋体" w:hAnsi="宋体"/>
                <w:sz w:val="24"/>
              </w:rPr>
            </w:pPr>
          </w:p>
        </w:tc>
        <w:tc>
          <w:tcPr>
            <w:tcW w:w="2670" w:type="dxa"/>
            <w:vAlign w:val="center"/>
          </w:tcPr>
          <w:p>
            <w:pPr>
              <w:jc w:val="center"/>
              <w:rPr>
                <w:rFonts w:ascii="宋体" w:hAnsi="宋体"/>
                <w:sz w:val="24"/>
              </w:rPr>
            </w:pPr>
          </w:p>
        </w:tc>
        <w:tc>
          <w:tcPr>
            <w:tcW w:w="162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sz w:val="24"/>
              </w:rPr>
            </w:pPr>
          </w:p>
        </w:tc>
        <w:tc>
          <w:tcPr>
            <w:tcW w:w="1215" w:type="dxa"/>
            <w:vAlign w:val="center"/>
          </w:tcPr>
          <w:p>
            <w:pPr>
              <w:jc w:val="center"/>
              <w:rPr>
                <w:rFonts w:ascii="宋体" w:hAnsi="宋体"/>
                <w:sz w:val="24"/>
              </w:rPr>
            </w:pPr>
          </w:p>
        </w:tc>
        <w:tc>
          <w:tcPr>
            <w:tcW w:w="1272" w:type="dxa"/>
            <w:vAlign w:val="center"/>
          </w:tcPr>
          <w:p>
            <w:pPr>
              <w:jc w:val="center"/>
              <w:rPr>
                <w:rFonts w:ascii="宋体" w:hAnsi="宋体"/>
                <w:sz w:val="24"/>
              </w:rPr>
            </w:pPr>
          </w:p>
        </w:tc>
        <w:tc>
          <w:tcPr>
            <w:tcW w:w="2670" w:type="dxa"/>
            <w:vAlign w:val="center"/>
          </w:tcPr>
          <w:p>
            <w:pPr>
              <w:jc w:val="center"/>
              <w:rPr>
                <w:rFonts w:ascii="宋体" w:hAnsi="宋体"/>
                <w:sz w:val="24"/>
              </w:rPr>
            </w:pPr>
          </w:p>
        </w:tc>
        <w:tc>
          <w:tcPr>
            <w:tcW w:w="162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sz w:val="24"/>
              </w:rPr>
            </w:pPr>
          </w:p>
        </w:tc>
        <w:tc>
          <w:tcPr>
            <w:tcW w:w="1215" w:type="dxa"/>
            <w:vAlign w:val="center"/>
          </w:tcPr>
          <w:p>
            <w:pPr>
              <w:jc w:val="center"/>
              <w:rPr>
                <w:rFonts w:ascii="宋体" w:hAnsi="宋体"/>
                <w:sz w:val="24"/>
              </w:rPr>
            </w:pPr>
          </w:p>
        </w:tc>
        <w:tc>
          <w:tcPr>
            <w:tcW w:w="1272" w:type="dxa"/>
            <w:vAlign w:val="center"/>
          </w:tcPr>
          <w:p>
            <w:pPr>
              <w:jc w:val="center"/>
              <w:rPr>
                <w:rFonts w:ascii="宋体" w:hAnsi="宋体"/>
                <w:sz w:val="24"/>
              </w:rPr>
            </w:pPr>
          </w:p>
        </w:tc>
        <w:tc>
          <w:tcPr>
            <w:tcW w:w="2670" w:type="dxa"/>
            <w:vAlign w:val="center"/>
          </w:tcPr>
          <w:p>
            <w:pPr>
              <w:jc w:val="center"/>
              <w:rPr>
                <w:rFonts w:ascii="宋体" w:hAnsi="宋体"/>
                <w:sz w:val="24"/>
              </w:rPr>
            </w:pPr>
          </w:p>
        </w:tc>
        <w:tc>
          <w:tcPr>
            <w:tcW w:w="162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sz w:val="24"/>
              </w:rPr>
            </w:pPr>
          </w:p>
        </w:tc>
        <w:tc>
          <w:tcPr>
            <w:tcW w:w="1215" w:type="dxa"/>
            <w:vAlign w:val="center"/>
          </w:tcPr>
          <w:p>
            <w:pPr>
              <w:jc w:val="center"/>
              <w:rPr>
                <w:rFonts w:ascii="宋体" w:hAnsi="宋体"/>
                <w:sz w:val="24"/>
              </w:rPr>
            </w:pPr>
          </w:p>
        </w:tc>
        <w:tc>
          <w:tcPr>
            <w:tcW w:w="1272" w:type="dxa"/>
            <w:vAlign w:val="center"/>
          </w:tcPr>
          <w:p>
            <w:pPr>
              <w:jc w:val="center"/>
              <w:rPr>
                <w:rFonts w:ascii="宋体" w:hAnsi="宋体"/>
                <w:sz w:val="24"/>
              </w:rPr>
            </w:pPr>
          </w:p>
        </w:tc>
        <w:tc>
          <w:tcPr>
            <w:tcW w:w="2670" w:type="dxa"/>
            <w:vAlign w:val="center"/>
          </w:tcPr>
          <w:p>
            <w:pPr>
              <w:jc w:val="center"/>
              <w:rPr>
                <w:rFonts w:ascii="宋体" w:hAnsi="宋体"/>
                <w:sz w:val="24"/>
              </w:rPr>
            </w:pPr>
          </w:p>
        </w:tc>
        <w:tc>
          <w:tcPr>
            <w:tcW w:w="162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sz w:val="24"/>
              </w:rPr>
            </w:pPr>
          </w:p>
        </w:tc>
        <w:tc>
          <w:tcPr>
            <w:tcW w:w="1215" w:type="dxa"/>
            <w:vAlign w:val="center"/>
          </w:tcPr>
          <w:p>
            <w:pPr>
              <w:jc w:val="center"/>
              <w:rPr>
                <w:rFonts w:ascii="宋体" w:hAnsi="宋体"/>
                <w:sz w:val="24"/>
              </w:rPr>
            </w:pPr>
            <w:r>
              <w:rPr>
                <w:rFonts w:hint="eastAsia" w:ascii="宋体" w:hAnsi="宋体"/>
                <w:sz w:val="24"/>
              </w:rPr>
              <w:t>…</w:t>
            </w:r>
          </w:p>
        </w:tc>
        <w:tc>
          <w:tcPr>
            <w:tcW w:w="1272" w:type="dxa"/>
            <w:vAlign w:val="center"/>
          </w:tcPr>
          <w:p>
            <w:pPr>
              <w:jc w:val="center"/>
              <w:rPr>
                <w:rFonts w:ascii="宋体" w:hAnsi="宋体"/>
                <w:sz w:val="24"/>
              </w:rPr>
            </w:pPr>
          </w:p>
        </w:tc>
        <w:tc>
          <w:tcPr>
            <w:tcW w:w="2670" w:type="dxa"/>
            <w:vAlign w:val="center"/>
          </w:tcPr>
          <w:p>
            <w:pPr>
              <w:jc w:val="center"/>
              <w:rPr>
                <w:rFonts w:ascii="宋体" w:hAnsi="宋体"/>
                <w:sz w:val="24"/>
              </w:rPr>
            </w:pPr>
          </w:p>
        </w:tc>
        <w:tc>
          <w:tcPr>
            <w:tcW w:w="1620" w:type="dxa"/>
            <w:vAlign w:val="center"/>
          </w:tcPr>
          <w:p>
            <w:pPr>
              <w:jc w:val="center"/>
              <w:rPr>
                <w:rFonts w:ascii="宋体" w:hAnsi="宋体"/>
                <w:sz w:val="24"/>
              </w:rPr>
            </w:pPr>
          </w:p>
        </w:tc>
        <w:tc>
          <w:tcPr>
            <w:tcW w:w="1440" w:type="dxa"/>
            <w:vAlign w:val="center"/>
          </w:tcPr>
          <w:p>
            <w:pPr>
              <w:jc w:val="center"/>
              <w:rPr>
                <w:rFonts w:ascii="宋体" w:hAnsi="宋体"/>
                <w:sz w:val="24"/>
              </w:rPr>
            </w:pPr>
          </w:p>
        </w:tc>
      </w:tr>
    </w:tbl>
    <w:p>
      <w:pPr>
        <w:rPr>
          <w:rFonts w:ascii="宋体" w:hAnsi="宋体"/>
          <w:sz w:val="24"/>
        </w:rPr>
      </w:pPr>
    </w:p>
    <w:p>
      <w:pPr>
        <w:pStyle w:val="9"/>
        <w:kinsoku w:val="0"/>
        <w:overflowPunct w:val="0"/>
        <w:snapToGrid w:val="0"/>
        <w:ind w:left="2649" w:right="95" w:firstLine="1351"/>
        <w:jc w:val="right"/>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9"/>
        <w:kinsoku w:val="0"/>
        <w:overflowPunct w:val="0"/>
        <w:snapToGrid w:val="0"/>
        <w:ind w:right="95" w:firstLine="3422" w:firstLineChars="145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9"/>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widowControl/>
        <w:jc w:val="left"/>
        <w:rPr>
          <w:rFonts w:ascii="宋体" w:hAnsi="宋体"/>
          <w:szCs w:val="21"/>
        </w:rPr>
      </w:pPr>
    </w:p>
    <w:p>
      <w:pPr>
        <w:rPr>
          <w:rFonts w:ascii="宋体" w:hAnsi="宋体"/>
          <w:sz w:val="24"/>
        </w:rPr>
      </w:pPr>
    </w:p>
    <w:p>
      <w:pPr>
        <w:rPr>
          <w:rFonts w:ascii="宋体" w:hAnsi="宋体"/>
          <w:sz w:val="24"/>
        </w:rPr>
      </w:pPr>
      <w:r>
        <w:rPr>
          <w:rFonts w:hint="eastAsia" w:ascii="宋体" w:hAnsi="宋体"/>
          <w:sz w:val="24"/>
        </w:rPr>
        <w:t>说明：1、设备规格参数如有详细描述可另作说明。</w:t>
      </w:r>
    </w:p>
    <w:p>
      <w:pPr>
        <w:widowControl/>
        <w:ind w:firstLine="720" w:firstLineChars="300"/>
        <w:jc w:val="left"/>
        <w:rPr>
          <w:bCs/>
          <w:szCs w:val="28"/>
        </w:rPr>
      </w:pPr>
      <w:r>
        <w:rPr>
          <w:rFonts w:hint="eastAsia" w:ascii="宋体" w:hAnsi="宋体"/>
          <w:sz w:val="24"/>
        </w:rPr>
        <w:t>2、磋商供应商可对该产品的特性和优点作详细的文字说明。</w:t>
      </w:r>
    </w:p>
    <w:p>
      <w:pPr>
        <w:spacing w:line="360" w:lineRule="auto"/>
        <w:jc w:val="center"/>
        <w:outlineLvl w:val="1"/>
        <w:rPr>
          <w:rFonts w:ascii="宋体" w:hAnsi="宋体"/>
          <w:b/>
          <w:bCs/>
          <w:sz w:val="24"/>
        </w:rPr>
      </w:pPr>
      <w:r>
        <w:rPr>
          <w:bCs/>
          <w:szCs w:val="28"/>
        </w:rPr>
        <w:br w:type="page"/>
      </w:r>
      <w:bookmarkStart w:id="689" w:name="_Toc3312"/>
      <w:bookmarkStart w:id="690" w:name="_Toc24328"/>
      <w:bookmarkStart w:id="691" w:name="_Toc44924419"/>
      <w:bookmarkStart w:id="692" w:name="_Toc482378990"/>
      <w:bookmarkStart w:id="693" w:name="_Toc13264"/>
      <w:bookmarkStart w:id="694" w:name="_Toc482379083"/>
      <w:bookmarkStart w:id="695" w:name="_Toc87621077"/>
      <w:bookmarkStart w:id="696" w:name="_Toc90713376"/>
      <w:bookmarkStart w:id="697" w:name="_Toc90712557"/>
      <w:r>
        <w:rPr>
          <w:rFonts w:hint="eastAsia" w:ascii="宋体" w:hAnsi="宋体"/>
          <w:b/>
          <w:sz w:val="24"/>
        </w:rPr>
        <w:t>六、资格申明</w:t>
      </w:r>
      <w:bookmarkEnd w:id="680"/>
      <w:bookmarkEnd w:id="681"/>
      <w:bookmarkEnd w:id="689"/>
      <w:bookmarkEnd w:id="690"/>
      <w:bookmarkEnd w:id="691"/>
      <w:bookmarkEnd w:id="692"/>
      <w:bookmarkEnd w:id="693"/>
      <w:bookmarkEnd w:id="694"/>
    </w:p>
    <w:p>
      <w:pPr>
        <w:pStyle w:val="6"/>
        <w:numPr>
          <w:ilvl w:val="0"/>
          <w:numId w:val="17"/>
        </w:numPr>
        <w:tabs>
          <w:tab w:val="left" w:pos="900"/>
        </w:tabs>
        <w:spacing w:line="360" w:lineRule="auto"/>
        <w:ind w:left="845" w:hanging="305" w:firstLineChars="0"/>
        <w:rPr>
          <w:rFonts w:ascii="宋体" w:hAnsi="宋体"/>
          <w:sz w:val="24"/>
          <w:szCs w:val="24"/>
        </w:rPr>
      </w:pPr>
      <w:r>
        <w:rPr>
          <w:rFonts w:hint="eastAsia" w:ascii="宋体" w:hAnsi="宋体"/>
          <w:sz w:val="24"/>
          <w:szCs w:val="24"/>
        </w:rPr>
        <w:t>供应商名称（此处填名称并盖章）</w:t>
      </w:r>
    </w:p>
    <w:p>
      <w:pPr>
        <w:pStyle w:val="6"/>
        <w:numPr>
          <w:ilvl w:val="0"/>
          <w:numId w:val="17"/>
        </w:numPr>
        <w:tabs>
          <w:tab w:val="left" w:pos="900"/>
        </w:tabs>
        <w:spacing w:line="360" w:lineRule="auto"/>
        <w:ind w:left="845" w:hanging="305" w:firstLineChars="0"/>
        <w:rPr>
          <w:rFonts w:ascii="宋体" w:hAnsi="宋体"/>
          <w:sz w:val="24"/>
          <w:szCs w:val="24"/>
        </w:rPr>
      </w:pPr>
      <w:r>
        <w:rPr>
          <w:rFonts w:hint="eastAsia" w:ascii="宋体" w:hAnsi="宋体"/>
          <w:sz w:val="24"/>
          <w:szCs w:val="24"/>
        </w:rPr>
        <w:t>地址</w:t>
      </w:r>
    </w:p>
    <w:p>
      <w:pPr>
        <w:pStyle w:val="6"/>
        <w:tabs>
          <w:tab w:val="left" w:pos="900"/>
        </w:tabs>
        <w:spacing w:line="360" w:lineRule="auto"/>
        <w:ind w:left="540" w:firstLine="268" w:firstLineChars="112"/>
        <w:rPr>
          <w:rFonts w:ascii="宋体" w:hAnsi="宋体"/>
          <w:sz w:val="24"/>
          <w:szCs w:val="24"/>
        </w:rPr>
      </w:pPr>
      <w:r>
        <w:rPr>
          <w:rFonts w:hint="eastAsia" w:ascii="宋体" w:hAnsi="宋体"/>
          <w:sz w:val="24"/>
          <w:szCs w:val="24"/>
        </w:rPr>
        <w:t>联系电话、传真</w:t>
      </w:r>
    </w:p>
    <w:p>
      <w:pPr>
        <w:pStyle w:val="6"/>
        <w:numPr>
          <w:ilvl w:val="0"/>
          <w:numId w:val="17"/>
        </w:numPr>
        <w:tabs>
          <w:tab w:val="left" w:pos="900"/>
        </w:tabs>
        <w:spacing w:line="360" w:lineRule="auto"/>
        <w:ind w:left="845" w:hanging="305" w:firstLineChars="0"/>
        <w:rPr>
          <w:rFonts w:ascii="宋体" w:hAnsi="宋体"/>
          <w:sz w:val="24"/>
          <w:szCs w:val="24"/>
        </w:rPr>
      </w:pPr>
      <w:r>
        <w:rPr>
          <w:rFonts w:hint="eastAsia" w:ascii="宋体" w:hAnsi="宋体"/>
          <w:sz w:val="24"/>
          <w:szCs w:val="24"/>
        </w:rPr>
        <w:t>成立或/注册日期（提供其营业执照副本复印件）</w:t>
      </w:r>
    </w:p>
    <w:p>
      <w:pPr>
        <w:pStyle w:val="6"/>
        <w:numPr>
          <w:ilvl w:val="0"/>
          <w:numId w:val="17"/>
        </w:numPr>
        <w:tabs>
          <w:tab w:val="left" w:pos="900"/>
        </w:tabs>
        <w:spacing w:line="360" w:lineRule="auto"/>
        <w:ind w:left="845" w:hanging="305" w:firstLineChars="0"/>
        <w:rPr>
          <w:rFonts w:ascii="宋体" w:hAnsi="宋体"/>
          <w:sz w:val="24"/>
          <w:szCs w:val="24"/>
        </w:rPr>
      </w:pPr>
      <w:r>
        <w:rPr>
          <w:rFonts w:hint="eastAsia" w:ascii="宋体" w:hAnsi="宋体"/>
          <w:sz w:val="24"/>
          <w:szCs w:val="24"/>
        </w:rPr>
        <w:t>法人代表</w:t>
      </w:r>
    </w:p>
    <w:p>
      <w:pPr>
        <w:pStyle w:val="6"/>
        <w:numPr>
          <w:ilvl w:val="0"/>
          <w:numId w:val="17"/>
        </w:numPr>
        <w:tabs>
          <w:tab w:val="left" w:pos="900"/>
        </w:tabs>
        <w:spacing w:line="360" w:lineRule="auto"/>
        <w:ind w:left="845" w:hanging="305" w:firstLineChars="0"/>
        <w:rPr>
          <w:rFonts w:ascii="宋体" w:hAnsi="宋体"/>
          <w:sz w:val="24"/>
          <w:szCs w:val="24"/>
        </w:rPr>
      </w:pPr>
      <w:r>
        <w:rPr>
          <w:rFonts w:hint="eastAsia" w:ascii="宋体" w:hAnsi="宋体"/>
          <w:sz w:val="24"/>
          <w:szCs w:val="24"/>
        </w:rPr>
        <w:t>竞争性磋商供应商代表</w:t>
      </w:r>
    </w:p>
    <w:p>
      <w:pPr>
        <w:pStyle w:val="6"/>
        <w:numPr>
          <w:ilvl w:val="0"/>
          <w:numId w:val="17"/>
        </w:numPr>
        <w:tabs>
          <w:tab w:val="left" w:pos="845"/>
          <w:tab w:val="left" w:pos="900"/>
          <w:tab w:val="clear" w:pos="425"/>
        </w:tabs>
        <w:spacing w:line="360" w:lineRule="auto"/>
        <w:ind w:left="845" w:hanging="305" w:firstLineChars="0"/>
        <w:rPr>
          <w:rFonts w:ascii="宋体" w:hAnsi="宋体"/>
          <w:sz w:val="24"/>
          <w:szCs w:val="24"/>
        </w:rPr>
      </w:pPr>
      <w:r>
        <w:rPr>
          <w:rFonts w:hint="eastAsia" w:ascii="宋体" w:hAnsi="宋体"/>
          <w:sz w:val="24"/>
          <w:szCs w:val="24"/>
        </w:rPr>
        <w:t>投标联系人</w:t>
      </w:r>
    </w:p>
    <w:p>
      <w:pPr>
        <w:pStyle w:val="6"/>
        <w:spacing w:line="360" w:lineRule="auto"/>
        <w:ind w:left="3050" w:firstLine="0" w:firstLineChars="0"/>
        <w:rPr>
          <w:rFonts w:ascii="宋体" w:hAnsi="宋体"/>
          <w:sz w:val="24"/>
          <w:szCs w:val="24"/>
        </w:rPr>
      </w:pPr>
      <w:r>
        <w:rPr>
          <w:rFonts w:hint="eastAsia" w:ascii="宋体" w:hAnsi="宋体"/>
          <w:sz w:val="24"/>
          <w:szCs w:val="24"/>
        </w:rPr>
        <w:t>财务状况：</w:t>
      </w:r>
    </w:p>
    <w:p>
      <w:pPr>
        <w:pStyle w:val="6"/>
        <w:numPr>
          <w:ilvl w:val="0"/>
          <w:numId w:val="18"/>
        </w:numPr>
        <w:tabs>
          <w:tab w:val="left" w:pos="900"/>
        </w:tabs>
        <w:spacing w:line="360" w:lineRule="auto"/>
        <w:ind w:left="1260" w:hanging="720" w:firstLineChars="0"/>
        <w:rPr>
          <w:rFonts w:ascii="宋体" w:hAnsi="宋体"/>
          <w:sz w:val="24"/>
          <w:szCs w:val="24"/>
        </w:rPr>
      </w:pPr>
      <w:r>
        <w:rPr>
          <w:rFonts w:hint="eastAsia" w:ascii="宋体" w:hAnsi="宋体"/>
          <w:sz w:val="24"/>
          <w:szCs w:val="24"/>
        </w:rPr>
        <w:t>固定资产</w:t>
      </w:r>
    </w:p>
    <w:p>
      <w:pPr>
        <w:pStyle w:val="6"/>
        <w:numPr>
          <w:ilvl w:val="0"/>
          <w:numId w:val="18"/>
        </w:numPr>
        <w:tabs>
          <w:tab w:val="left" w:pos="900"/>
        </w:tabs>
        <w:spacing w:line="360" w:lineRule="auto"/>
        <w:ind w:left="1260" w:hanging="720" w:firstLineChars="0"/>
        <w:rPr>
          <w:rFonts w:ascii="宋体" w:hAnsi="宋体"/>
          <w:sz w:val="24"/>
          <w:szCs w:val="24"/>
        </w:rPr>
      </w:pPr>
      <w:r>
        <w:rPr>
          <w:rFonts w:hint="eastAsia" w:ascii="宋体" w:hAnsi="宋体"/>
          <w:sz w:val="24"/>
          <w:szCs w:val="24"/>
        </w:rPr>
        <w:t>流动资产</w:t>
      </w:r>
    </w:p>
    <w:p>
      <w:pPr>
        <w:pStyle w:val="6"/>
        <w:numPr>
          <w:ilvl w:val="0"/>
          <w:numId w:val="18"/>
        </w:numPr>
        <w:tabs>
          <w:tab w:val="left" w:pos="900"/>
        </w:tabs>
        <w:spacing w:line="360" w:lineRule="auto"/>
        <w:ind w:left="1260" w:hanging="720" w:firstLineChars="0"/>
        <w:rPr>
          <w:rFonts w:ascii="宋体" w:hAnsi="宋体"/>
          <w:sz w:val="24"/>
          <w:szCs w:val="24"/>
        </w:rPr>
      </w:pPr>
      <w:r>
        <w:rPr>
          <w:rFonts w:hint="eastAsia" w:ascii="宋体" w:hAnsi="宋体"/>
          <w:sz w:val="24"/>
          <w:szCs w:val="24"/>
        </w:rPr>
        <w:t>长期负债</w:t>
      </w:r>
    </w:p>
    <w:p>
      <w:pPr>
        <w:pStyle w:val="6"/>
        <w:numPr>
          <w:ilvl w:val="0"/>
          <w:numId w:val="18"/>
        </w:numPr>
        <w:tabs>
          <w:tab w:val="left" w:pos="900"/>
        </w:tabs>
        <w:spacing w:line="360" w:lineRule="auto"/>
        <w:ind w:left="1260" w:hanging="720" w:firstLineChars="0"/>
        <w:rPr>
          <w:rFonts w:ascii="宋体" w:hAnsi="宋体"/>
          <w:sz w:val="24"/>
          <w:szCs w:val="24"/>
        </w:rPr>
      </w:pPr>
      <w:r>
        <w:rPr>
          <w:rFonts w:hint="eastAsia" w:ascii="宋体" w:hAnsi="宋体"/>
          <w:sz w:val="24"/>
          <w:szCs w:val="24"/>
        </w:rPr>
        <w:t>流动负债</w:t>
      </w:r>
    </w:p>
    <w:p>
      <w:pPr>
        <w:pStyle w:val="6"/>
        <w:numPr>
          <w:ilvl w:val="0"/>
          <w:numId w:val="18"/>
        </w:numPr>
        <w:tabs>
          <w:tab w:val="left" w:pos="900"/>
        </w:tabs>
        <w:spacing w:line="360" w:lineRule="auto"/>
        <w:ind w:left="1260" w:hanging="720" w:firstLineChars="0"/>
        <w:rPr>
          <w:rFonts w:ascii="宋体" w:hAnsi="宋体"/>
          <w:sz w:val="24"/>
          <w:szCs w:val="24"/>
        </w:rPr>
      </w:pPr>
      <w:r>
        <w:rPr>
          <w:rFonts w:hint="eastAsia" w:ascii="宋体" w:hAnsi="宋体"/>
          <w:sz w:val="24"/>
          <w:szCs w:val="24"/>
        </w:rPr>
        <w:t>资产净值</w:t>
      </w:r>
    </w:p>
    <w:p>
      <w:pPr>
        <w:pStyle w:val="6"/>
        <w:numPr>
          <w:ilvl w:val="0"/>
          <w:numId w:val="18"/>
        </w:numPr>
        <w:tabs>
          <w:tab w:val="left" w:pos="900"/>
        </w:tabs>
        <w:spacing w:line="360" w:lineRule="auto"/>
        <w:ind w:left="1080" w:hanging="540" w:firstLineChars="0"/>
        <w:rPr>
          <w:rFonts w:ascii="宋体" w:hAnsi="宋体"/>
          <w:sz w:val="24"/>
          <w:szCs w:val="24"/>
        </w:rPr>
      </w:pPr>
      <w:r>
        <w:rPr>
          <w:rFonts w:hint="eastAsia" w:ascii="宋体" w:hAnsi="宋体"/>
          <w:sz w:val="24"/>
          <w:szCs w:val="24"/>
        </w:rPr>
        <w:t>有关开户银行的名称、地址</w:t>
      </w:r>
    </w:p>
    <w:p>
      <w:pPr>
        <w:pStyle w:val="6"/>
        <w:numPr>
          <w:ilvl w:val="0"/>
          <w:numId w:val="18"/>
        </w:numPr>
        <w:tabs>
          <w:tab w:val="left" w:pos="900"/>
        </w:tabs>
        <w:spacing w:line="360" w:lineRule="auto"/>
        <w:ind w:left="1080" w:hanging="540" w:firstLineChars="0"/>
        <w:rPr>
          <w:rFonts w:ascii="宋体" w:hAnsi="宋体"/>
          <w:sz w:val="24"/>
          <w:szCs w:val="24"/>
        </w:rPr>
      </w:pPr>
      <w:r>
        <w:rPr>
          <w:rFonts w:hint="eastAsia" w:ascii="宋体" w:hAnsi="宋体"/>
          <w:sz w:val="24"/>
          <w:szCs w:val="24"/>
        </w:rPr>
        <w:t>最近三年每年的与本项目类似营业总额</w:t>
      </w:r>
    </w:p>
    <w:tbl>
      <w:tblPr>
        <w:tblStyle w:val="26"/>
        <w:tblW w:w="6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pStyle w:val="6"/>
              <w:spacing w:line="360" w:lineRule="auto"/>
              <w:ind w:firstLine="480"/>
              <w:rPr>
                <w:rFonts w:ascii="宋体" w:hAnsi="宋体"/>
                <w:sz w:val="24"/>
                <w:szCs w:val="24"/>
              </w:rPr>
            </w:pPr>
            <w:r>
              <w:rPr>
                <w:rFonts w:hint="eastAsia" w:ascii="宋体" w:hAnsi="宋体"/>
                <w:sz w:val="24"/>
                <w:szCs w:val="24"/>
              </w:rPr>
              <w:t>年份</w:t>
            </w:r>
          </w:p>
        </w:tc>
        <w:tc>
          <w:tcPr>
            <w:tcW w:w="2130" w:type="dxa"/>
            <w:vAlign w:val="center"/>
          </w:tcPr>
          <w:p>
            <w:pPr>
              <w:pStyle w:val="6"/>
              <w:spacing w:line="360" w:lineRule="auto"/>
              <w:ind w:firstLine="480"/>
              <w:rPr>
                <w:rFonts w:ascii="宋体" w:hAnsi="宋体"/>
                <w:sz w:val="24"/>
                <w:szCs w:val="24"/>
              </w:rPr>
            </w:pPr>
            <w:r>
              <w:rPr>
                <w:rFonts w:hint="eastAsia" w:ascii="宋体" w:hAnsi="宋体"/>
                <w:sz w:val="24"/>
                <w:szCs w:val="24"/>
              </w:rPr>
              <w:t>业务总额</w:t>
            </w:r>
          </w:p>
        </w:tc>
        <w:tc>
          <w:tcPr>
            <w:tcW w:w="2130" w:type="dxa"/>
            <w:vAlign w:val="center"/>
          </w:tcPr>
          <w:p>
            <w:pPr>
              <w:pStyle w:val="6"/>
              <w:spacing w:line="360" w:lineRule="auto"/>
              <w:ind w:firstLine="480"/>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130" w:type="dxa"/>
          </w:tcPr>
          <w:p>
            <w:pPr>
              <w:pStyle w:val="6"/>
              <w:spacing w:line="360" w:lineRule="auto"/>
              <w:ind w:firstLine="480"/>
              <w:rPr>
                <w:rFonts w:ascii="宋体" w:hAnsi="宋体"/>
                <w:sz w:val="24"/>
                <w:szCs w:val="24"/>
              </w:rPr>
            </w:pPr>
          </w:p>
        </w:tc>
        <w:tc>
          <w:tcPr>
            <w:tcW w:w="2130" w:type="dxa"/>
          </w:tcPr>
          <w:p>
            <w:pPr>
              <w:pStyle w:val="6"/>
              <w:spacing w:line="360" w:lineRule="auto"/>
              <w:ind w:firstLine="480"/>
              <w:rPr>
                <w:rFonts w:ascii="宋体" w:hAnsi="宋体"/>
                <w:sz w:val="24"/>
                <w:szCs w:val="24"/>
              </w:rPr>
            </w:pPr>
          </w:p>
        </w:tc>
        <w:tc>
          <w:tcPr>
            <w:tcW w:w="2130" w:type="dxa"/>
          </w:tcPr>
          <w:p>
            <w:pPr>
              <w:pStyle w:val="6"/>
              <w:spacing w:line="360" w:lineRule="auto"/>
              <w:ind w:firstLine="48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130" w:type="dxa"/>
          </w:tcPr>
          <w:p>
            <w:pPr>
              <w:pStyle w:val="6"/>
              <w:spacing w:line="360" w:lineRule="auto"/>
              <w:ind w:firstLine="480"/>
              <w:rPr>
                <w:rFonts w:ascii="宋体" w:hAnsi="宋体"/>
                <w:sz w:val="24"/>
                <w:szCs w:val="24"/>
              </w:rPr>
            </w:pPr>
          </w:p>
        </w:tc>
        <w:tc>
          <w:tcPr>
            <w:tcW w:w="2130" w:type="dxa"/>
          </w:tcPr>
          <w:p>
            <w:pPr>
              <w:pStyle w:val="6"/>
              <w:spacing w:line="360" w:lineRule="auto"/>
              <w:ind w:firstLine="480"/>
              <w:rPr>
                <w:rFonts w:ascii="宋体" w:hAnsi="宋体"/>
                <w:sz w:val="24"/>
                <w:szCs w:val="24"/>
              </w:rPr>
            </w:pPr>
          </w:p>
        </w:tc>
        <w:tc>
          <w:tcPr>
            <w:tcW w:w="2130" w:type="dxa"/>
          </w:tcPr>
          <w:p>
            <w:pPr>
              <w:pStyle w:val="6"/>
              <w:spacing w:line="360" w:lineRule="auto"/>
              <w:ind w:firstLine="48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130" w:type="dxa"/>
          </w:tcPr>
          <w:p>
            <w:pPr>
              <w:pStyle w:val="6"/>
              <w:spacing w:line="360" w:lineRule="auto"/>
              <w:ind w:firstLine="480"/>
              <w:rPr>
                <w:rFonts w:ascii="宋体" w:hAnsi="宋体"/>
                <w:sz w:val="24"/>
                <w:szCs w:val="24"/>
              </w:rPr>
            </w:pPr>
          </w:p>
        </w:tc>
        <w:tc>
          <w:tcPr>
            <w:tcW w:w="2130" w:type="dxa"/>
          </w:tcPr>
          <w:p>
            <w:pPr>
              <w:pStyle w:val="6"/>
              <w:spacing w:line="360" w:lineRule="auto"/>
              <w:ind w:firstLine="480"/>
              <w:rPr>
                <w:rFonts w:ascii="宋体" w:hAnsi="宋体"/>
                <w:sz w:val="24"/>
                <w:szCs w:val="24"/>
              </w:rPr>
            </w:pPr>
          </w:p>
        </w:tc>
        <w:tc>
          <w:tcPr>
            <w:tcW w:w="2130" w:type="dxa"/>
          </w:tcPr>
          <w:p>
            <w:pPr>
              <w:pStyle w:val="6"/>
              <w:spacing w:line="360" w:lineRule="auto"/>
              <w:ind w:firstLine="480"/>
              <w:rPr>
                <w:rFonts w:ascii="宋体" w:hAnsi="宋体"/>
                <w:sz w:val="24"/>
                <w:szCs w:val="24"/>
              </w:rPr>
            </w:pPr>
          </w:p>
        </w:tc>
      </w:tr>
    </w:tbl>
    <w:p>
      <w:pPr>
        <w:pStyle w:val="6"/>
        <w:spacing w:line="360" w:lineRule="auto"/>
        <w:ind w:firstLine="480"/>
        <w:rPr>
          <w:rFonts w:ascii="宋体" w:hAnsi="宋体"/>
          <w:sz w:val="24"/>
          <w:szCs w:val="24"/>
        </w:rPr>
      </w:pPr>
      <w:r>
        <w:rPr>
          <w:rFonts w:hint="eastAsia" w:ascii="宋体" w:hAnsi="宋体"/>
          <w:sz w:val="24"/>
          <w:szCs w:val="24"/>
        </w:rPr>
        <w:t>兹证明以上陈述是真实的、准确的，所需提供的资料和数据均已提供，我们同意按贵方要求出示有关证明文件。</w:t>
      </w:r>
    </w:p>
    <w:p>
      <w:pPr>
        <w:pStyle w:val="9"/>
        <w:kinsoku w:val="0"/>
        <w:overflowPunct w:val="0"/>
        <w:snapToGrid w:val="0"/>
        <w:ind w:left="2649" w:right="95" w:firstLine="1351"/>
        <w:jc w:val="right"/>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9"/>
        <w:kinsoku w:val="0"/>
        <w:overflowPunct w:val="0"/>
        <w:snapToGrid w:val="0"/>
        <w:ind w:right="95" w:firstLine="3422" w:firstLineChars="145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9"/>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beforeLines="50" w:line="360" w:lineRule="auto"/>
        <w:ind w:firstLine="480" w:firstLineChars="200"/>
        <w:rPr>
          <w:rFonts w:ascii="宋体" w:hAnsi="宋体"/>
          <w:sz w:val="24"/>
        </w:rPr>
      </w:pPr>
    </w:p>
    <w:p>
      <w:pPr>
        <w:pStyle w:val="6"/>
        <w:spacing w:line="360" w:lineRule="auto"/>
        <w:ind w:firstLine="480"/>
        <w:rPr>
          <w:rFonts w:ascii="宋体" w:hAnsi="宋体"/>
          <w:sz w:val="24"/>
          <w:szCs w:val="24"/>
        </w:rPr>
      </w:pPr>
    </w:p>
    <w:p>
      <w:pPr>
        <w:pStyle w:val="6"/>
        <w:spacing w:line="360" w:lineRule="auto"/>
        <w:ind w:firstLine="480"/>
        <w:rPr>
          <w:rFonts w:ascii="宋体" w:hAnsi="宋体"/>
          <w:sz w:val="24"/>
          <w:szCs w:val="24"/>
        </w:rPr>
      </w:pPr>
    </w:p>
    <w:p>
      <w:pPr>
        <w:spacing w:line="360" w:lineRule="auto"/>
        <w:jc w:val="center"/>
        <w:rPr>
          <w:rFonts w:ascii="宋体" w:hAnsi="宋体"/>
          <w:sz w:val="24"/>
        </w:rPr>
        <w:sectPr>
          <w:footerReference r:id="rId4" w:type="first"/>
          <w:footerReference r:id="rId3" w:type="default"/>
          <w:pgSz w:w="11906" w:h="16838"/>
          <w:pgMar w:top="1418" w:right="1418" w:bottom="1701" w:left="1417" w:header="851" w:footer="1020" w:gutter="0"/>
          <w:pgNumType w:start="1"/>
          <w:cols w:space="720" w:num="1"/>
          <w:docGrid w:linePitch="312" w:charSpace="0"/>
        </w:sectPr>
      </w:pPr>
    </w:p>
    <w:p>
      <w:pPr>
        <w:spacing w:line="360" w:lineRule="auto"/>
        <w:jc w:val="center"/>
        <w:outlineLvl w:val="1"/>
        <w:rPr>
          <w:rFonts w:ascii="宋体" w:hAnsi="宋体"/>
          <w:b/>
          <w:sz w:val="24"/>
        </w:rPr>
      </w:pPr>
      <w:bookmarkStart w:id="698" w:name="_Toc25988"/>
      <w:bookmarkStart w:id="699" w:name="_Toc44924420"/>
      <w:bookmarkStart w:id="700" w:name="_Toc16089987"/>
      <w:bookmarkStart w:id="701" w:name="_Toc12620"/>
      <w:bookmarkStart w:id="702" w:name="_Toc15912368"/>
      <w:bookmarkStart w:id="703" w:name="_Toc16089929"/>
      <w:bookmarkStart w:id="704" w:name="_Toc482378991"/>
      <w:bookmarkStart w:id="705" w:name="_Toc482379084"/>
      <w:bookmarkStart w:id="706" w:name="_Toc27425"/>
      <w:r>
        <w:rPr>
          <w:rFonts w:hint="eastAsia" w:ascii="宋体" w:hAnsi="宋体"/>
          <w:b/>
          <w:sz w:val="24"/>
        </w:rPr>
        <w:t>七、承诺函</w:t>
      </w:r>
      <w:bookmarkEnd w:id="698"/>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bookmarkStart w:id="707" w:name="_Toc30119"/>
      <w:r>
        <w:rPr>
          <w:rFonts w:hint="eastAsia" w:ascii="宋体" w:hAnsi="宋体"/>
          <w:b/>
          <w:sz w:val="24"/>
        </w:rPr>
        <w:t>7.1供应商承诺函</w:t>
      </w:r>
      <w:bookmarkEnd w:id="695"/>
      <w:bookmarkEnd w:id="696"/>
      <w:bookmarkEnd w:id="697"/>
      <w:bookmarkEnd w:id="699"/>
      <w:bookmarkEnd w:id="700"/>
      <w:bookmarkEnd w:id="701"/>
      <w:bookmarkEnd w:id="702"/>
      <w:bookmarkEnd w:id="703"/>
      <w:bookmarkEnd w:id="704"/>
      <w:bookmarkEnd w:id="705"/>
      <w:bookmarkEnd w:id="706"/>
      <w:bookmarkEnd w:id="707"/>
    </w:p>
    <w:p>
      <w:pPr>
        <w:spacing w:line="360" w:lineRule="auto"/>
        <w:ind w:left="482"/>
        <w:rPr>
          <w:rFonts w:ascii="宋体" w:hAnsi="宋体"/>
          <w:sz w:val="24"/>
        </w:rPr>
      </w:pPr>
    </w:p>
    <w:p>
      <w:pPr>
        <w:spacing w:line="360" w:lineRule="auto"/>
        <w:rPr>
          <w:rFonts w:ascii="宋体" w:hAnsi="宋体"/>
          <w:sz w:val="24"/>
        </w:rPr>
      </w:pPr>
      <w:r>
        <w:rPr>
          <w:rFonts w:hint="eastAsia" w:ascii="宋体" w:hAnsi="宋体"/>
          <w:sz w:val="24"/>
        </w:rPr>
        <w:t>致：</w:t>
      </w:r>
      <w:r>
        <w:rPr>
          <w:rFonts w:hint="eastAsia" w:ascii="宋体" w:hAnsi="宋体"/>
          <w:b/>
          <w:sz w:val="24"/>
          <w:u w:val="single"/>
        </w:rPr>
        <w:t>河南招标采购服务有限公司</w:t>
      </w:r>
      <w:r>
        <w:rPr>
          <w:rFonts w:hint="eastAsia" w:ascii="宋体" w:hAnsi="宋体"/>
          <w:sz w:val="24"/>
        </w:rPr>
        <w:t>：</w:t>
      </w:r>
    </w:p>
    <w:p>
      <w:pPr>
        <w:tabs>
          <w:tab w:val="left" w:pos="6300"/>
        </w:tabs>
        <w:spacing w:line="360" w:lineRule="auto"/>
        <w:ind w:firstLine="570"/>
        <w:rPr>
          <w:rFonts w:ascii="宋体" w:hAnsi="宋体"/>
          <w:sz w:val="24"/>
        </w:rPr>
      </w:pPr>
      <w:r>
        <w:rPr>
          <w:rFonts w:hint="eastAsia" w:ascii="宋体" w:hAnsi="宋体"/>
          <w:sz w:val="24"/>
        </w:rPr>
        <w:t>很荣幸能参与上述项目的磋商。</w:t>
      </w:r>
    </w:p>
    <w:p>
      <w:pPr>
        <w:tabs>
          <w:tab w:val="left" w:pos="6300"/>
        </w:tabs>
        <w:spacing w:line="360" w:lineRule="auto"/>
        <w:ind w:firstLine="570"/>
        <w:rPr>
          <w:rFonts w:ascii="宋体" w:hAnsi="宋体"/>
          <w:sz w:val="24"/>
        </w:rPr>
      </w:pPr>
      <w:r>
        <w:rPr>
          <w:rFonts w:hint="eastAsia" w:ascii="宋体" w:hAnsi="宋体"/>
          <w:sz w:val="24"/>
        </w:rPr>
        <w:t xml:space="preserve">我代表 </w:t>
      </w:r>
      <w:r>
        <w:rPr>
          <w:rFonts w:hint="eastAsia" w:ascii="宋体" w:hAnsi="宋体"/>
          <w:sz w:val="24"/>
          <w:u w:val="single"/>
        </w:rPr>
        <w:t xml:space="preserve">                   </w:t>
      </w:r>
      <w:r>
        <w:rPr>
          <w:rFonts w:hint="eastAsia" w:ascii="宋体" w:hAnsi="宋体"/>
          <w:sz w:val="24"/>
        </w:rPr>
        <w:t>（供应商名称），在此作如下承诺：</w:t>
      </w:r>
    </w:p>
    <w:p>
      <w:pPr>
        <w:tabs>
          <w:tab w:val="left" w:pos="6300"/>
        </w:tabs>
        <w:spacing w:line="360" w:lineRule="auto"/>
        <w:ind w:firstLine="570"/>
        <w:rPr>
          <w:rFonts w:ascii="宋体" w:hAnsi="宋体"/>
          <w:sz w:val="24"/>
        </w:rPr>
      </w:pPr>
      <w:r>
        <w:rPr>
          <w:rFonts w:hint="eastAsia" w:ascii="宋体" w:hAnsi="宋体"/>
          <w:sz w:val="24"/>
        </w:rPr>
        <w:t>1、完全理解和接受磋商文件的一切规定和要求。</w:t>
      </w:r>
    </w:p>
    <w:p>
      <w:pPr>
        <w:tabs>
          <w:tab w:val="left" w:pos="6300"/>
        </w:tabs>
        <w:spacing w:line="360" w:lineRule="auto"/>
        <w:ind w:firstLine="570"/>
        <w:rPr>
          <w:rFonts w:ascii="宋体" w:hAnsi="宋体"/>
          <w:sz w:val="24"/>
        </w:rPr>
      </w:pPr>
      <w:r>
        <w:rPr>
          <w:rFonts w:hint="eastAsia" w:ascii="宋体" w:hAnsi="宋体"/>
          <w:sz w:val="24"/>
        </w:rPr>
        <w:t>2、若成交，我方将按照磋商文件和磋商响应文件的具体规定与采购人签订合同，并且严格履行合同义务。如果在合同执行过程中，发现问题，我方一定尽快处理。</w:t>
      </w:r>
    </w:p>
    <w:p>
      <w:pPr>
        <w:tabs>
          <w:tab w:val="left" w:pos="6300"/>
        </w:tabs>
        <w:spacing w:line="360" w:lineRule="auto"/>
        <w:ind w:firstLine="570"/>
        <w:rPr>
          <w:rFonts w:ascii="宋体" w:hAnsi="宋体"/>
          <w:sz w:val="24"/>
        </w:rPr>
      </w:pPr>
      <w:r>
        <w:rPr>
          <w:rFonts w:hint="eastAsia" w:ascii="宋体" w:hAnsi="宋体"/>
          <w:sz w:val="24"/>
        </w:rPr>
        <w:t>3、在整个磋商过程中，我方若有违规行为，贵方可按磋商文件和政府采购有关的法律法规之规定给予处罚，我方完全接受。</w:t>
      </w:r>
    </w:p>
    <w:p>
      <w:pPr>
        <w:tabs>
          <w:tab w:val="left" w:pos="6300"/>
        </w:tabs>
        <w:spacing w:line="360" w:lineRule="auto"/>
        <w:ind w:firstLine="570"/>
        <w:rPr>
          <w:rFonts w:ascii="宋体" w:hAnsi="宋体"/>
          <w:sz w:val="24"/>
        </w:rPr>
      </w:pPr>
      <w:r>
        <w:rPr>
          <w:rFonts w:hint="eastAsia" w:ascii="宋体" w:hAnsi="宋体"/>
          <w:sz w:val="24"/>
        </w:rPr>
        <w:t>4、若成交，本承诺函将成为合同不可分割的一部分，与合同具有同等的法律效力。</w:t>
      </w:r>
    </w:p>
    <w:p>
      <w:pPr>
        <w:tabs>
          <w:tab w:val="left" w:pos="6300"/>
        </w:tabs>
        <w:snapToGrid w:val="0"/>
        <w:spacing w:line="360" w:lineRule="auto"/>
        <w:ind w:firstLine="570"/>
        <w:rPr>
          <w:rFonts w:ascii="宋体" w:hAnsi="宋体"/>
          <w:sz w:val="24"/>
        </w:rPr>
      </w:pPr>
    </w:p>
    <w:p>
      <w:pPr>
        <w:pStyle w:val="9"/>
        <w:kinsoku w:val="0"/>
        <w:overflowPunct w:val="0"/>
        <w:snapToGrid w:val="0"/>
        <w:ind w:right="95" w:firstLine="3360" w:firstLineChars="1400"/>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9"/>
        <w:kinsoku w:val="0"/>
        <w:overflowPunct w:val="0"/>
        <w:snapToGrid w:val="0"/>
        <w:ind w:right="95" w:firstLine="3304" w:firstLineChars="14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9"/>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beforeLines="50" w:line="360" w:lineRule="auto"/>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outlineLvl w:val="1"/>
        <w:rPr>
          <w:rFonts w:ascii="宋体" w:hAnsi="宋体"/>
          <w:sz w:val="24"/>
        </w:rPr>
      </w:pPr>
    </w:p>
    <w:p>
      <w:pPr>
        <w:spacing w:line="360" w:lineRule="auto"/>
        <w:jc w:val="center"/>
        <w:rPr>
          <w:rFonts w:ascii="宋体" w:hAnsi="宋体"/>
          <w:b/>
          <w:sz w:val="24"/>
        </w:rPr>
      </w:pPr>
      <w:bookmarkStart w:id="708" w:name="_Toc13835407"/>
      <w:r>
        <w:rPr>
          <w:rFonts w:hint="eastAsia" w:ascii="宋体" w:hAnsi="宋体"/>
          <w:b/>
          <w:sz w:val="24"/>
        </w:rPr>
        <w:t>7.2投标保证承诺书</w:t>
      </w:r>
      <w:bookmarkEnd w:id="708"/>
    </w:p>
    <w:p>
      <w:pPr>
        <w:spacing w:line="360" w:lineRule="auto"/>
        <w:jc w:val="left"/>
        <w:rPr>
          <w:rFonts w:ascii="宋体" w:hAnsi="宋体"/>
          <w:sz w:val="24"/>
        </w:rPr>
      </w:pPr>
      <w:r>
        <w:rPr>
          <w:rFonts w:hint="eastAsia" w:ascii="宋体" w:hAnsi="宋体"/>
          <w:sz w:val="24"/>
        </w:rPr>
        <w:t>致（采购人及采购代理机构）：</w:t>
      </w:r>
    </w:p>
    <w:p>
      <w:pPr>
        <w:spacing w:line="360" w:lineRule="auto"/>
        <w:ind w:firstLine="480" w:firstLineChars="200"/>
        <w:jc w:val="left"/>
        <w:rPr>
          <w:rFonts w:ascii="宋体" w:hAnsi="宋体"/>
          <w:sz w:val="24"/>
        </w:rPr>
      </w:pPr>
      <w:r>
        <w:rPr>
          <w:rFonts w:hint="eastAsia" w:ascii="宋体" w:hAnsi="宋体"/>
          <w:sz w:val="24"/>
        </w:rPr>
        <w:t>我公司作为本次采购项目的投标人，根据招标文件要求，现郑重承诺如下：</w:t>
      </w:r>
    </w:p>
    <w:p>
      <w:pPr>
        <w:spacing w:line="360" w:lineRule="auto"/>
        <w:jc w:val="left"/>
        <w:rPr>
          <w:rFonts w:ascii="宋体" w:hAnsi="宋体"/>
          <w:sz w:val="24"/>
        </w:rPr>
      </w:pPr>
      <w:r>
        <w:rPr>
          <w:rFonts w:hint="eastAsia" w:ascii="宋体" w:hAnsi="宋体"/>
          <w:sz w:val="24"/>
        </w:rPr>
        <w:t>一、具备《中华人民共和国政府采购法》第二十二条第一款和本项目规定的条件：</w:t>
      </w:r>
    </w:p>
    <w:p>
      <w:pPr>
        <w:spacing w:line="360" w:lineRule="auto"/>
        <w:jc w:val="left"/>
        <w:rPr>
          <w:rFonts w:ascii="宋体" w:hAnsi="宋体"/>
          <w:sz w:val="24"/>
        </w:rPr>
      </w:pPr>
      <w:r>
        <w:rPr>
          <w:rFonts w:hint="eastAsia" w:ascii="宋体" w:hAnsi="宋体"/>
          <w:sz w:val="24"/>
        </w:rPr>
        <w:t>（一）具有独立承担民事责任的能力； 　　</w:t>
      </w:r>
    </w:p>
    <w:p>
      <w:pPr>
        <w:spacing w:line="360" w:lineRule="auto"/>
        <w:jc w:val="left"/>
        <w:rPr>
          <w:rFonts w:ascii="宋体" w:hAnsi="宋体"/>
          <w:sz w:val="24"/>
        </w:rPr>
      </w:pPr>
      <w:r>
        <w:rPr>
          <w:rFonts w:hint="eastAsia" w:ascii="宋体" w:hAnsi="宋体"/>
          <w:sz w:val="24"/>
        </w:rPr>
        <w:t>（二）具有良好的商业信誉和健全的财务会计制度； 　</w:t>
      </w:r>
    </w:p>
    <w:p>
      <w:pPr>
        <w:spacing w:line="360" w:lineRule="auto"/>
        <w:jc w:val="left"/>
        <w:rPr>
          <w:rFonts w:ascii="宋体" w:hAnsi="宋体"/>
          <w:sz w:val="24"/>
        </w:rPr>
      </w:pPr>
      <w:r>
        <w:rPr>
          <w:rFonts w:hint="eastAsia" w:ascii="宋体" w:hAnsi="宋体"/>
          <w:sz w:val="24"/>
        </w:rPr>
        <w:t>（三）具有履行合同所必需的设备和专业技术能力； 　　</w:t>
      </w:r>
    </w:p>
    <w:p>
      <w:pPr>
        <w:spacing w:line="360" w:lineRule="auto"/>
        <w:jc w:val="left"/>
        <w:rPr>
          <w:rFonts w:ascii="宋体" w:hAnsi="宋体"/>
          <w:sz w:val="24"/>
        </w:rPr>
      </w:pPr>
      <w:r>
        <w:rPr>
          <w:rFonts w:hint="eastAsia" w:ascii="宋体" w:hAnsi="宋体"/>
          <w:sz w:val="24"/>
        </w:rPr>
        <w:t>（四）有依法缴纳税收和社会保障资金的良好记录； 　　</w:t>
      </w:r>
    </w:p>
    <w:p>
      <w:pPr>
        <w:spacing w:line="360" w:lineRule="auto"/>
        <w:jc w:val="left"/>
        <w:rPr>
          <w:rFonts w:ascii="宋体" w:hAnsi="宋体"/>
          <w:sz w:val="24"/>
        </w:rPr>
      </w:pPr>
      <w:r>
        <w:rPr>
          <w:rFonts w:hint="eastAsia" w:ascii="宋体" w:hAnsi="宋体"/>
          <w:sz w:val="24"/>
        </w:rPr>
        <w:t>（五）参加政府采购活动前三年内，在经营活动中没有重大违法记录；</w:t>
      </w:r>
    </w:p>
    <w:p>
      <w:pPr>
        <w:spacing w:line="360" w:lineRule="auto"/>
        <w:jc w:val="left"/>
        <w:rPr>
          <w:rFonts w:ascii="宋体" w:hAnsi="宋体"/>
          <w:sz w:val="24"/>
        </w:rPr>
      </w:pPr>
      <w:r>
        <w:rPr>
          <w:rFonts w:hint="eastAsia" w:ascii="宋体" w:hAnsi="宋体"/>
          <w:sz w:val="24"/>
        </w:rPr>
        <w:t>（六）法律、行政法规规定的其他条件；</w:t>
      </w:r>
    </w:p>
    <w:p>
      <w:pPr>
        <w:spacing w:line="360" w:lineRule="auto"/>
        <w:jc w:val="left"/>
        <w:rPr>
          <w:rFonts w:ascii="宋体" w:hAnsi="宋体"/>
          <w:sz w:val="24"/>
        </w:rPr>
      </w:pPr>
      <w:r>
        <w:rPr>
          <w:rFonts w:hint="eastAsia" w:ascii="宋体" w:hAnsi="宋体"/>
          <w:sz w:val="24"/>
        </w:rPr>
        <w:t>（七）根据采购项目提出的特殊条件。</w:t>
      </w:r>
    </w:p>
    <w:p>
      <w:pPr>
        <w:spacing w:line="360" w:lineRule="auto"/>
        <w:jc w:val="left"/>
        <w:rPr>
          <w:rFonts w:ascii="宋体" w:hAnsi="宋体"/>
          <w:sz w:val="24"/>
        </w:rPr>
      </w:pPr>
      <w:r>
        <w:rPr>
          <w:rFonts w:hint="eastAsia" w:ascii="宋体" w:hAnsi="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pacing w:line="360" w:lineRule="auto"/>
        <w:jc w:val="left"/>
        <w:rPr>
          <w:rFonts w:ascii="宋体" w:hAnsi="宋体"/>
          <w:sz w:val="24"/>
        </w:rPr>
      </w:pPr>
      <w:r>
        <w:rPr>
          <w:rFonts w:hint="eastAsia" w:ascii="宋体" w:hAnsi="宋体"/>
          <w:sz w:val="24"/>
        </w:rPr>
        <w:t>三、参加本次招标采购活动，不存在与单位负责人为同一人或者存在直接控股、管理关系的其他供应商参与同一合同项下的政府采购活动的行为。    </w:t>
      </w:r>
    </w:p>
    <w:p>
      <w:pPr>
        <w:spacing w:line="360" w:lineRule="auto"/>
        <w:jc w:val="left"/>
        <w:rPr>
          <w:rFonts w:ascii="宋体" w:hAnsi="宋体"/>
          <w:sz w:val="24"/>
        </w:rPr>
      </w:pPr>
      <w:r>
        <w:rPr>
          <w:rFonts w:hint="eastAsia" w:ascii="宋体" w:hAnsi="宋体"/>
          <w:sz w:val="24"/>
        </w:rPr>
        <w:t>四、参加本次招标采购活动，不存在为采购项目提供整体设计、规范编制或者项目管理、监理、检测等服务的行为。</w:t>
      </w:r>
    </w:p>
    <w:p>
      <w:pPr>
        <w:spacing w:line="360" w:lineRule="auto"/>
        <w:jc w:val="left"/>
        <w:rPr>
          <w:rFonts w:ascii="宋体" w:hAnsi="宋体"/>
          <w:sz w:val="24"/>
        </w:rPr>
      </w:pPr>
      <w:r>
        <w:rPr>
          <w:rFonts w:hint="eastAsia" w:ascii="宋体" w:hAnsi="宋体"/>
          <w:sz w:val="24"/>
        </w:rPr>
        <w:t>五、参加本次招标采购活动，不存在和其他供应商在同一合同项下的采购项目中，同时委托同一个自然人、同一家庭的人员、同一单位的人员作为代理人的行为。</w:t>
      </w:r>
    </w:p>
    <w:p>
      <w:pPr>
        <w:spacing w:line="360" w:lineRule="auto"/>
        <w:jc w:val="left"/>
        <w:rPr>
          <w:rFonts w:ascii="宋体" w:hAnsi="宋体"/>
          <w:sz w:val="24"/>
        </w:rPr>
      </w:pPr>
      <w:r>
        <w:rPr>
          <w:rFonts w:hint="eastAsia" w:ascii="宋体" w:hAnsi="宋体"/>
          <w:sz w:val="24"/>
        </w:rPr>
        <w:t>六、投标人参加本次政府采购活动要求在近三年内投标人和其法定代表人没有行贿犯罪行为。</w:t>
      </w:r>
    </w:p>
    <w:p>
      <w:pPr>
        <w:spacing w:line="360" w:lineRule="auto"/>
        <w:jc w:val="left"/>
        <w:rPr>
          <w:rFonts w:ascii="宋体" w:hAnsi="宋体"/>
          <w:sz w:val="24"/>
        </w:rPr>
      </w:pPr>
      <w:r>
        <w:rPr>
          <w:rFonts w:hint="eastAsia" w:ascii="宋体" w:hAnsi="宋体"/>
          <w:sz w:val="24"/>
        </w:rPr>
        <w:t>七、投标文件中提供的能够给予我公司带来优惠、好处的任何材料资料和技术、服务、商务等响应承诺情况都是真实的、有效的、合法的。</w:t>
      </w:r>
    </w:p>
    <w:p>
      <w:pPr>
        <w:spacing w:line="360" w:lineRule="auto"/>
        <w:jc w:val="left"/>
        <w:rPr>
          <w:rFonts w:ascii="宋体" w:hAnsi="宋体"/>
          <w:sz w:val="24"/>
        </w:rPr>
      </w:pPr>
      <w:r>
        <w:rPr>
          <w:rFonts w:hint="eastAsia" w:ascii="宋体" w:hAnsi="宋体"/>
          <w:sz w:val="24"/>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spacing w:line="360" w:lineRule="auto"/>
        <w:jc w:val="left"/>
        <w:rPr>
          <w:rFonts w:ascii="宋体" w:hAnsi="宋体"/>
          <w:sz w:val="24"/>
        </w:rPr>
      </w:pPr>
      <w:r>
        <w:rPr>
          <w:rFonts w:hint="eastAsia" w:ascii="宋体" w:hAnsi="宋体"/>
          <w:sz w:val="24"/>
        </w:rPr>
        <w:t> 九、存在以下行为之一的愿意接受相关部门的处理：</w:t>
      </w:r>
    </w:p>
    <w:p>
      <w:pPr>
        <w:spacing w:line="360" w:lineRule="auto"/>
        <w:jc w:val="left"/>
        <w:rPr>
          <w:rFonts w:ascii="宋体" w:hAnsi="宋体"/>
          <w:sz w:val="24"/>
        </w:rPr>
      </w:pPr>
      <w:r>
        <w:rPr>
          <w:rFonts w:hint="eastAsia" w:ascii="宋体" w:hAnsi="宋体"/>
          <w:sz w:val="24"/>
        </w:rPr>
        <w:t>   （一）投标有效期内撤销投标文件的；</w:t>
      </w:r>
    </w:p>
    <w:p>
      <w:pPr>
        <w:spacing w:line="360" w:lineRule="auto"/>
        <w:jc w:val="left"/>
        <w:rPr>
          <w:rFonts w:ascii="宋体" w:hAnsi="宋体"/>
          <w:sz w:val="24"/>
        </w:rPr>
      </w:pPr>
      <w:r>
        <w:rPr>
          <w:rFonts w:hint="eastAsia" w:ascii="宋体" w:hAnsi="宋体"/>
          <w:sz w:val="24"/>
        </w:rPr>
        <w:t>   （二）在采购人确定中标人以前放弃中标候选资格的；</w:t>
      </w:r>
    </w:p>
    <w:p>
      <w:pPr>
        <w:spacing w:line="360" w:lineRule="auto"/>
        <w:jc w:val="left"/>
        <w:rPr>
          <w:rFonts w:ascii="宋体" w:hAnsi="宋体"/>
          <w:sz w:val="24"/>
        </w:rPr>
      </w:pPr>
      <w:r>
        <w:rPr>
          <w:rFonts w:hint="eastAsia" w:ascii="宋体" w:hAnsi="宋体"/>
          <w:sz w:val="24"/>
        </w:rPr>
        <w:t>   （三）由于中标人的原因未能按照招标文件的规定与采购人签订合同；</w:t>
      </w:r>
    </w:p>
    <w:p>
      <w:pPr>
        <w:spacing w:line="360" w:lineRule="auto"/>
        <w:jc w:val="left"/>
        <w:rPr>
          <w:rFonts w:ascii="宋体" w:hAnsi="宋体"/>
          <w:sz w:val="24"/>
        </w:rPr>
      </w:pPr>
      <w:r>
        <w:rPr>
          <w:rFonts w:hint="eastAsia" w:ascii="宋体" w:hAnsi="宋体"/>
          <w:sz w:val="24"/>
        </w:rPr>
        <w:t>   （四）由于中标人的原因未能按照招标文件的规定交纳履约保证金；</w:t>
      </w:r>
    </w:p>
    <w:p>
      <w:pPr>
        <w:spacing w:line="360" w:lineRule="auto"/>
        <w:jc w:val="left"/>
        <w:rPr>
          <w:rFonts w:ascii="宋体" w:hAnsi="宋体"/>
          <w:sz w:val="24"/>
        </w:rPr>
      </w:pPr>
      <w:r>
        <w:rPr>
          <w:rFonts w:hint="eastAsia" w:ascii="宋体" w:hAnsi="宋体"/>
          <w:sz w:val="24"/>
        </w:rPr>
        <w:t>   （五）在投标文件中提供虚假材料谋取中标；</w:t>
      </w:r>
    </w:p>
    <w:p>
      <w:pPr>
        <w:spacing w:line="360" w:lineRule="auto"/>
        <w:jc w:val="left"/>
        <w:rPr>
          <w:rFonts w:ascii="宋体" w:hAnsi="宋体"/>
          <w:sz w:val="24"/>
        </w:rPr>
      </w:pPr>
      <w:r>
        <w:rPr>
          <w:rFonts w:hint="eastAsia" w:ascii="宋体" w:hAnsi="宋体"/>
          <w:sz w:val="24"/>
        </w:rPr>
        <w:t>   （六）与采购人、其他供应商或者采购代理机构恶意串通的；</w:t>
      </w:r>
    </w:p>
    <w:p>
      <w:pPr>
        <w:spacing w:line="360" w:lineRule="auto"/>
        <w:jc w:val="left"/>
        <w:rPr>
          <w:rFonts w:ascii="宋体" w:hAnsi="宋体"/>
          <w:sz w:val="24"/>
        </w:rPr>
      </w:pPr>
      <w:r>
        <w:rPr>
          <w:rFonts w:hint="eastAsia" w:ascii="宋体" w:hAnsi="宋体"/>
          <w:sz w:val="24"/>
        </w:rPr>
        <w:t>   （七）投标有效期内，投标人在政府采购活动中有违法、违规、违纪行为。</w:t>
      </w:r>
    </w:p>
    <w:p>
      <w:pPr>
        <w:spacing w:line="360" w:lineRule="auto"/>
        <w:jc w:val="left"/>
        <w:rPr>
          <w:rFonts w:ascii="宋体" w:hAnsi="宋体"/>
          <w:sz w:val="24"/>
        </w:rPr>
      </w:pPr>
      <w:r>
        <w:rPr>
          <w:rFonts w:hint="eastAsia" w:ascii="宋体" w:hAnsi="宋体"/>
          <w:sz w:val="24"/>
        </w:rPr>
        <w:t> 如果</w:t>
      </w:r>
      <w:r>
        <w:rPr>
          <w:rFonts w:ascii="宋体" w:hAnsi="宋体"/>
          <w:sz w:val="24"/>
        </w:rPr>
        <w:t>发生</w:t>
      </w:r>
      <w:r>
        <w:rPr>
          <w:rFonts w:hint="eastAsia" w:ascii="宋体" w:hAnsi="宋体"/>
          <w:sz w:val="24"/>
        </w:rPr>
        <w:t>任何一项</w:t>
      </w:r>
      <w:r>
        <w:rPr>
          <w:rFonts w:ascii="宋体" w:hAnsi="宋体"/>
          <w:sz w:val="24"/>
        </w:rPr>
        <w:t>以</w:t>
      </w:r>
      <w:r>
        <w:rPr>
          <w:rFonts w:hint="eastAsia" w:ascii="宋体" w:hAnsi="宋体"/>
          <w:sz w:val="24"/>
        </w:rPr>
        <w:t>上</w:t>
      </w:r>
      <w:r>
        <w:rPr>
          <w:rFonts w:ascii="宋体" w:hAnsi="宋体"/>
          <w:sz w:val="24"/>
        </w:rPr>
        <w:t>行为</w:t>
      </w:r>
      <w:r>
        <w:rPr>
          <w:rFonts w:hint="eastAsia" w:ascii="宋体" w:hAnsi="宋体"/>
          <w:sz w:val="24"/>
        </w:rPr>
        <w:t>，</w:t>
      </w:r>
      <w:r>
        <w:rPr>
          <w:rFonts w:ascii="宋体" w:hAnsi="宋体"/>
          <w:sz w:val="24"/>
        </w:rPr>
        <w:t>将</w:t>
      </w:r>
      <w:r>
        <w:rPr>
          <w:rFonts w:hint="eastAsia" w:ascii="宋体" w:hAnsi="宋体"/>
          <w:sz w:val="24"/>
        </w:rPr>
        <w:t>在该</w:t>
      </w:r>
      <w:r>
        <w:rPr>
          <w:rFonts w:ascii="宋体" w:hAnsi="宋体"/>
          <w:sz w:val="24"/>
        </w:rPr>
        <w:t>行为发生的</w:t>
      </w:r>
      <w:r>
        <w:rPr>
          <w:rFonts w:hint="eastAsia" w:ascii="宋体" w:hAnsi="宋体"/>
          <w:sz w:val="24"/>
        </w:rPr>
        <w:t>10个</w:t>
      </w:r>
      <w:r>
        <w:rPr>
          <w:rFonts w:ascii="宋体" w:hAnsi="宋体"/>
          <w:sz w:val="24"/>
        </w:rPr>
        <w:t>工作日内，</w:t>
      </w:r>
      <w:r>
        <w:rPr>
          <w:rFonts w:hint="eastAsia" w:ascii="宋体" w:hAnsi="宋体"/>
          <w:sz w:val="24"/>
        </w:rPr>
        <w:t>向贵方</w:t>
      </w:r>
      <w:r>
        <w:rPr>
          <w:rFonts w:hint="eastAsia" w:ascii="宋体" w:hAnsi="宋体"/>
          <w:sz w:val="24"/>
          <w:u w:val="single"/>
        </w:rPr>
        <w:t>（或采购人）</w:t>
      </w:r>
      <w:r>
        <w:rPr>
          <w:rFonts w:hint="eastAsia" w:ascii="宋体" w:hAnsi="宋体"/>
          <w:sz w:val="24"/>
        </w:rPr>
        <w:t>支付本招标文件公布的预算金额或</w:t>
      </w:r>
      <w:r>
        <w:rPr>
          <w:rFonts w:ascii="宋体" w:hAnsi="宋体"/>
          <w:sz w:val="24"/>
        </w:rPr>
        <w:t>最高限价</w:t>
      </w:r>
      <w:r>
        <w:rPr>
          <w:rFonts w:hint="eastAsia" w:ascii="宋体" w:hAnsi="宋体"/>
          <w:sz w:val="24"/>
        </w:rPr>
        <w:t>（如无预算金额或</w:t>
      </w:r>
      <w:r>
        <w:rPr>
          <w:rFonts w:ascii="宋体" w:hAnsi="宋体"/>
          <w:sz w:val="24"/>
        </w:rPr>
        <w:t>最高限价</w:t>
      </w:r>
      <w:r>
        <w:rPr>
          <w:rFonts w:hint="eastAsia" w:ascii="宋体" w:hAnsi="宋体"/>
          <w:sz w:val="24"/>
        </w:rPr>
        <w:t>的话，以我单位的投标报价为基准）的2%作为违约赔偿金。</w:t>
      </w:r>
    </w:p>
    <w:p>
      <w:pPr>
        <w:spacing w:line="360" w:lineRule="auto"/>
        <w:ind w:firstLine="600" w:firstLineChars="250"/>
        <w:jc w:val="left"/>
        <w:rPr>
          <w:rFonts w:ascii="宋体" w:hAnsi="宋体"/>
          <w:sz w:val="24"/>
        </w:rPr>
      </w:pPr>
      <w:r>
        <w:rPr>
          <w:rFonts w:ascii="宋体" w:hAnsi="宋体"/>
          <w:sz w:val="24"/>
        </w:rPr>
        <w:t>承认</w:t>
      </w:r>
      <w:r>
        <w:rPr>
          <w:rFonts w:hint="eastAsia" w:ascii="宋体" w:hAnsi="宋体"/>
          <w:sz w:val="24"/>
        </w:rPr>
        <w:t>本承诺书</w:t>
      </w:r>
      <w:r>
        <w:rPr>
          <w:rFonts w:ascii="宋体" w:hAnsi="宋体"/>
          <w:sz w:val="24"/>
        </w:rPr>
        <w:t>作为</w:t>
      </w:r>
      <w:r>
        <w:rPr>
          <w:rFonts w:hint="eastAsia" w:ascii="宋体" w:hAnsi="宋体"/>
          <w:sz w:val="24"/>
        </w:rPr>
        <w:t>贵方</w:t>
      </w:r>
      <w:r>
        <w:rPr>
          <w:rFonts w:hint="eastAsia" w:ascii="宋体" w:hAnsi="宋体"/>
          <w:sz w:val="24"/>
          <w:u w:val="single"/>
        </w:rPr>
        <w:t>（或采购人）</w:t>
      </w:r>
      <w:r>
        <w:rPr>
          <w:rFonts w:ascii="宋体" w:hAnsi="宋体"/>
          <w:sz w:val="24"/>
        </w:rPr>
        <w:t>要求</w:t>
      </w:r>
      <w:r>
        <w:rPr>
          <w:rFonts w:hint="eastAsia" w:ascii="宋体" w:hAnsi="宋体"/>
          <w:sz w:val="24"/>
        </w:rPr>
        <w:t>我单位</w:t>
      </w:r>
      <w:r>
        <w:rPr>
          <w:rFonts w:ascii="宋体" w:hAnsi="宋体"/>
          <w:sz w:val="24"/>
        </w:rPr>
        <w:t>履行</w:t>
      </w:r>
      <w:r>
        <w:rPr>
          <w:rFonts w:hint="eastAsia" w:ascii="宋体" w:hAnsi="宋体"/>
          <w:sz w:val="24"/>
        </w:rPr>
        <w:t>违约赔偿</w:t>
      </w:r>
      <w:r>
        <w:rPr>
          <w:rFonts w:ascii="宋体" w:hAnsi="宋体"/>
          <w:sz w:val="24"/>
        </w:rPr>
        <w:t>义务的</w:t>
      </w:r>
      <w:r>
        <w:rPr>
          <w:rFonts w:hint="eastAsia" w:ascii="宋体" w:hAnsi="宋体"/>
          <w:sz w:val="24"/>
        </w:rPr>
        <w:t>依据作用</w:t>
      </w:r>
      <w:r>
        <w:rPr>
          <w:rFonts w:ascii="宋体" w:hAnsi="宋体"/>
          <w:sz w:val="24"/>
        </w:rPr>
        <w:t>。</w:t>
      </w:r>
    </w:p>
    <w:p>
      <w:pPr>
        <w:spacing w:line="360" w:lineRule="auto"/>
        <w:jc w:val="left"/>
        <w:rPr>
          <w:rFonts w:ascii="宋体" w:hAnsi="宋体"/>
          <w:sz w:val="24"/>
        </w:rPr>
      </w:pPr>
      <w:r>
        <w:rPr>
          <w:rFonts w:hint="eastAsia" w:ascii="宋体" w:hAnsi="宋体"/>
          <w:sz w:val="24"/>
        </w:rPr>
        <w:t>由此产生的一切法律后果和责任由我公司承担。我公司声明放弃对此提出任何异议和追索的权利。</w:t>
      </w:r>
    </w:p>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rPr>
        <w:t>本公司对上述承诺的内容事项真实性负责。如经查实上述承诺的内容事项存在虚假，我公司愿意接受以提供虚假材料谋取中标追究法律责任。</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rPr>
        <w:t>投标人（企业公章）：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rPr>
      </w:pPr>
      <w:r>
        <w:rPr>
          <w:rFonts w:hint="eastAsia" w:ascii="宋体" w:hAnsi="宋体"/>
          <w:sz w:val="24"/>
        </w:rPr>
        <w:t>法定代表人（签字）：</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360" w:lineRule="auto"/>
        <w:jc w:val="left"/>
        <w:rPr>
          <w:rFonts w:ascii="宋体" w:hAnsi="宋体"/>
          <w:sz w:val="24"/>
        </w:rPr>
      </w:pP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rPr>
      </w:pP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rPr>
      </w:pPr>
      <w:r>
        <w:rPr>
          <w:rFonts w:hint="eastAsia" w:ascii="宋体" w:hAnsi="宋体"/>
          <w:sz w:val="24"/>
        </w:rPr>
        <w:t>电子邮件：</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rPr>
      </w:pPr>
    </w:p>
    <w:p>
      <w:pPr>
        <w:spacing w:line="360" w:lineRule="auto"/>
        <w:jc w:val="left"/>
        <w:rPr>
          <w:rFonts w:ascii="宋体" w:hAnsi="宋体"/>
          <w:sz w:val="24"/>
          <w:u w:val="single"/>
        </w:rPr>
      </w:pPr>
      <w:r>
        <w:rPr>
          <w:rFonts w:hint="eastAsia" w:ascii="宋体" w:hAnsi="宋体"/>
          <w:sz w:val="24"/>
        </w:rPr>
        <w:t>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p>
    <w:p>
      <w:pPr>
        <w:spacing w:line="360" w:lineRule="auto"/>
        <w:jc w:val="left"/>
        <w:rPr>
          <w:rFonts w:ascii="宋体" w:hAnsi="宋体"/>
          <w:sz w:val="24"/>
          <w:u w:val="single"/>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b/>
          <w:bCs/>
          <w:sz w:val="24"/>
        </w:rPr>
        <w:t>7.3招标代理服务费承诺函</w:t>
      </w:r>
    </w:p>
    <w:p>
      <w:pPr>
        <w:spacing w:line="360" w:lineRule="auto"/>
        <w:jc w:val="center"/>
        <w:rPr>
          <w:rFonts w:ascii="宋体" w:hAnsi="宋体"/>
          <w:sz w:val="24"/>
          <w:u w:val="single"/>
        </w:rPr>
      </w:pPr>
    </w:p>
    <w:p>
      <w:pPr>
        <w:spacing w:line="360" w:lineRule="auto"/>
        <w:jc w:val="left"/>
        <w:rPr>
          <w:rFonts w:ascii="宋体" w:hAnsi="宋体"/>
          <w:sz w:val="24"/>
          <w:u w:val="single"/>
        </w:rPr>
      </w:pPr>
      <w:r>
        <w:rPr>
          <w:rFonts w:hint="eastAsia" w:ascii="宋体" w:hAnsi="宋体"/>
          <w:sz w:val="24"/>
          <w:u w:val="single"/>
        </w:rPr>
        <w:t>致（采购人及采购代理机构） ：</w:t>
      </w:r>
    </w:p>
    <w:p>
      <w:pPr>
        <w:spacing w:line="360" w:lineRule="auto"/>
        <w:ind w:firstLine="480" w:firstLineChars="200"/>
        <w:jc w:val="left"/>
        <w:rPr>
          <w:rFonts w:ascii="宋体" w:hAnsi="宋体"/>
          <w:sz w:val="24"/>
        </w:rPr>
      </w:pPr>
      <w:r>
        <w:rPr>
          <w:rFonts w:hint="eastAsia" w:ascii="宋体" w:hAnsi="宋体"/>
          <w:sz w:val="24"/>
        </w:rPr>
        <w:t>我们在贵公司组织的（项目名称：</w:t>
      </w:r>
      <w:r>
        <w:rPr>
          <w:rFonts w:hint="eastAsia" w:ascii="宋体" w:hAnsi="宋体"/>
          <w:sz w:val="24"/>
          <w:u w:val="single"/>
        </w:rPr>
        <w:t xml:space="preserve">     </w:t>
      </w:r>
      <w:r>
        <w:rPr>
          <w:rFonts w:hint="eastAsia" w:ascii="宋体" w:hAnsi="宋体"/>
          <w:sz w:val="24"/>
        </w:rPr>
        <w:t>，采购代理编号：</w:t>
      </w:r>
      <w:r>
        <w:rPr>
          <w:rFonts w:hint="eastAsia" w:ascii="宋体" w:hAnsi="宋体"/>
          <w:sz w:val="24"/>
          <w:u w:val="single"/>
        </w:rPr>
        <w:t xml:space="preserve">    </w:t>
      </w:r>
      <w:r>
        <w:rPr>
          <w:rFonts w:hint="eastAsia" w:ascii="宋体" w:hAnsi="宋体"/>
          <w:sz w:val="24"/>
        </w:rPr>
        <w:t>）招标中若获中标，我们保证在中标公告发布后5个工作日内，按招标文件的规定，以支票、银行转账、汇票或现金，向贵公司一次性支付招标代理服务费用。否则，由此产生的一切法律后果和责任由我公司承担。</w:t>
      </w:r>
    </w:p>
    <w:p>
      <w:pPr>
        <w:spacing w:line="360" w:lineRule="auto"/>
        <w:ind w:firstLine="360" w:firstLineChars="150"/>
        <w:jc w:val="left"/>
        <w:rPr>
          <w:rFonts w:ascii="宋体" w:hAnsi="宋体"/>
          <w:sz w:val="24"/>
        </w:rPr>
      </w:pPr>
      <w:r>
        <w:rPr>
          <w:rFonts w:ascii="宋体" w:hAnsi="宋体"/>
          <w:sz w:val="24"/>
        </w:rPr>
        <w:t>承认</w:t>
      </w:r>
      <w:r>
        <w:rPr>
          <w:rFonts w:hint="eastAsia" w:ascii="宋体" w:hAnsi="宋体"/>
          <w:sz w:val="24"/>
        </w:rPr>
        <w:t>本承诺书</w:t>
      </w:r>
      <w:r>
        <w:rPr>
          <w:rFonts w:ascii="宋体" w:hAnsi="宋体"/>
          <w:sz w:val="24"/>
        </w:rPr>
        <w:t>作为</w:t>
      </w:r>
      <w:r>
        <w:rPr>
          <w:rFonts w:hint="eastAsia" w:ascii="宋体" w:hAnsi="宋体"/>
          <w:sz w:val="24"/>
        </w:rPr>
        <w:t>贵方</w:t>
      </w:r>
      <w:r>
        <w:rPr>
          <w:rFonts w:ascii="宋体" w:hAnsi="宋体"/>
          <w:sz w:val="24"/>
        </w:rPr>
        <w:t>要求</w:t>
      </w:r>
      <w:r>
        <w:rPr>
          <w:rFonts w:hint="eastAsia" w:ascii="宋体" w:hAnsi="宋体"/>
          <w:sz w:val="24"/>
        </w:rPr>
        <w:t>我单位</w:t>
      </w:r>
      <w:r>
        <w:rPr>
          <w:rFonts w:ascii="宋体" w:hAnsi="宋体"/>
          <w:sz w:val="24"/>
        </w:rPr>
        <w:t>履行</w:t>
      </w:r>
      <w:r>
        <w:rPr>
          <w:rFonts w:hint="eastAsia" w:ascii="宋体" w:hAnsi="宋体"/>
          <w:sz w:val="24"/>
        </w:rPr>
        <w:t>违约赔偿</w:t>
      </w:r>
      <w:r>
        <w:rPr>
          <w:rFonts w:ascii="宋体" w:hAnsi="宋体"/>
          <w:sz w:val="24"/>
        </w:rPr>
        <w:t>义务的</w:t>
      </w:r>
      <w:r>
        <w:rPr>
          <w:rFonts w:hint="eastAsia" w:ascii="宋体" w:hAnsi="宋体"/>
          <w:sz w:val="24"/>
        </w:rPr>
        <w:t>依据作用</w:t>
      </w:r>
      <w:r>
        <w:rPr>
          <w:rFonts w:ascii="宋体" w:hAnsi="宋体"/>
          <w:sz w:val="24"/>
        </w:rPr>
        <w:t>。</w:t>
      </w:r>
    </w:p>
    <w:p>
      <w:pPr>
        <w:spacing w:line="360" w:lineRule="auto"/>
        <w:ind w:firstLine="360" w:firstLineChars="150"/>
        <w:jc w:val="left"/>
        <w:rPr>
          <w:rFonts w:ascii="宋体" w:hAnsi="宋体"/>
          <w:sz w:val="24"/>
        </w:rPr>
      </w:pPr>
      <w:r>
        <w:rPr>
          <w:rFonts w:hint="eastAsia" w:ascii="宋体" w:hAnsi="宋体"/>
          <w:sz w:val="24"/>
        </w:rPr>
        <w:t>我公司声明放弃对此提出任何异议和追索的权利。</w:t>
      </w:r>
    </w:p>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rPr>
        <w:t>特此承诺。</w:t>
      </w:r>
    </w:p>
    <w:p>
      <w:pPr>
        <w:spacing w:line="360" w:lineRule="auto"/>
        <w:jc w:val="left"/>
        <w:rPr>
          <w:rFonts w:ascii="宋体" w:hAnsi="宋体"/>
          <w:sz w:val="24"/>
        </w:rPr>
      </w:pPr>
      <w:r>
        <w:rPr>
          <w:rFonts w:hint="eastAsia" w:ascii="宋体" w:hAnsi="宋体"/>
          <w:sz w:val="24"/>
        </w:rPr>
        <w:t> </w:t>
      </w:r>
    </w:p>
    <w:p>
      <w:pPr>
        <w:spacing w:line="360" w:lineRule="auto"/>
        <w:jc w:val="left"/>
        <w:rPr>
          <w:rFonts w:ascii="宋体" w:hAnsi="宋体"/>
          <w:sz w:val="24"/>
          <w:u w:val="single"/>
        </w:rPr>
      </w:pPr>
      <w:r>
        <w:rPr>
          <w:rFonts w:hint="eastAsia" w:ascii="宋体" w:hAnsi="宋体"/>
          <w:sz w:val="24"/>
          <w:u w:val="single"/>
        </w:rPr>
        <w:t>投标人（企业公章）：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u w:val="single"/>
        </w:rPr>
      </w:pPr>
      <w:r>
        <w:rPr>
          <w:rFonts w:hint="eastAsia" w:ascii="宋体" w:hAnsi="宋体"/>
          <w:sz w:val="24"/>
          <w:u w:val="single"/>
        </w:rPr>
        <w:t>法定代表人（签字）：</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u w:val="single"/>
        </w:rPr>
      </w:pPr>
      <w:r>
        <w:rPr>
          <w:rFonts w:hint="eastAsia" w:ascii="宋体" w:hAnsi="宋体"/>
          <w:sz w:val="24"/>
          <w:u w:val="single"/>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u w:val="single"/>
        </w:rPr>
      </w:pPr>
      <w:r>
        <w:rPr>
          <w:rFonts w:hint="eastAsia" w:ascii="宋体" w:hAnsi="宋体"/>
          <w:sz w:val="24"/>
          <w:u w:val="single"/>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u w:val="single"/>
        </w:rPr>
      </w:pPr>
      <w:r>
        <w:rPr>
          <w:rFonts w:hint="eastAsia" w:ascii="宋体" w:hAnsi="宋体"/>
          <w:sz w:val="24"/>
          <w:u w:val="single"/>
        </w:rPr>
        <w:t>电子邮件：</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u w:val="single"/>
        </w:rPr>
      </w:pPr>
    </w:p>
    <w:p>
      <w:pPr>
        <w:spacing w:line="360" w:lineRule="auto"/>
        <w:jc w:val="left"/>
        <w:rPr>
          <w:rFonts w:ascii="宋体" w:hAnsi="宋体"/>
          <w:sz w:val="24"/>
          <w:u w:val="single"/>
        </w:rPr>
      </w:pPr>
      <w:r>
        <w:rPr>
          <w:rFonts w:hint="eastAsia" w:ascii="宋体" w:hAnsi="宋体"/>
          <w:sz w:val="24"/>
          <w:u w:val="single"/>
        </w:rPr>
        <w:t>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p>
    <w:p>
      <w:pPr>
        <w:spacing w:line="360" w:lineRule="auto"/>
        <w:jc w:val="center"/>
        <w:outlineLvl w:val="1"/>
        <w:rPr>
          <w:rFonts w:ascii="宋体" w:hAnsi="宋体"/>
          <w:b/>
          <w:sz w:val="24"/>
        </w:rPr>
      </w:pPr>
      <w:r>
        <w:rPr>
          <w:rFonts w:ascii="宋体" w:hAnsi="宋体"/>
          <w:sz w:val="24"/>
        </w:rPr>
        <w:br w:type="page"/>
      </w:r>
      <w:bookmarkStart w:id="709" w:name="_Toc2219"/>
      <w:bookmarkStart w:id="710" w:name="_Toc15912369"/>
      <w:bookmarkStart w:id="711" w:name="_Toc44924421"/>
      <w:bookmarkStart w:id="712" w:name="_Toc16089988"/>
      <w:bookmarkStart w:id="713" w:name="_Toc30658"/>
      <w:bookmarkStart w:id="714" w:name="_Toc20482"/>
      <w:bookmarkStart w:id="715" w:name="_Toc16089930"/>
      <w:bookmarkStart w:id="716" w:name="_Toc87621078"/>
      <w:bookmarkStart w:id="717" w:name="_Toc90712558"/>
      <w:bookmarkStart w:id="718" w:name="_Toc90713377"/>
      <w:r>
        <w:rPr>
          <w:rFonts w:hint="eastAsia" w:ascii="宋体" w:hAnsi="宋体"/>
          <w:b/>
          <w:sz w:val="24"/>
        </w:rPr>
        <w:t>八、技术规格偏差表</w:t>
      </w:r>
      <w:bookmarkEnd w:id="709"/>
      <w:bookmarkEnd w:id="710"/>
      <w:bookmarkEnd w:id="711"/>
      <w:bookmarkEnd w:id="712"/>
      <w:bookmarkEnd w:id="713"/>
      <w:bookmarkEnd w:id="714"/>
      <w:bookmarkEnd w:id="715"/>
    </w:p>
    <w:p>
      <w:pPr>
        <w:rPr>
          <w:rFonts w:ascii="宋体" w:hAnsi="宋体"/>
          <w:b/>
          <w:bCs/>
          <w:sz w:val="28"/>
          <w:szCs w:val="28"/>
        </w:rPr>
      </w:pPr>
    </w:p>
    <w:tbl>
      <w:tblPr>
        <w:tblStyle w:val="26"/>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826"/>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restart"/>
            <w:vAlign w:val="center"/>
          </w:tcPr>
          <w:p>
            <w:pPr>
              <w:jc w:val="center"/>
              <w:rPr>
                <w:rFonts w:ascii="宋体" w:hAnsi="宋体"/>
                <w:b/>
                <w:bCs/>
                <w:sz w:val="24"/>
              </w:rPr>
            </w:pPr>
            <w:r>
              <w:rPr>
                <w:rFonts w:hint="eastAsia" w:ascii="宋体" w:hAnsi="宋体"/>
                <w:b/>
                <w:bCs/>
                <w:sz w:val="24"/>
              </w:rPr>
              <w:t>序号</w:t>
            </w:r>
          </w:p>
        </w:tc>
        <w:tc>
          <w:tcPr>
            <w:tcW w:w="1826" w:type="dxa"/>
            <w:vMerge w:val="restart"/>
            <w:vAlign w:val="center"/>
          </w:tcPr>
          <w:p>
            <w:pPr>
              <w:jc w:val="center"/>
              <w:rPr>
                <w:rFonts w:ascii="宋体" w:hAnsi="宋体"/>
                <w:b/>
                <w:bCs/>
                <w:sz w:val="24"/>
              </w:rPr>
            </w:pPr>
            <w:r>
              <w:rPr>
                <w:rFonts w:hint="eastAsia" w:ascii="宋体" w:hAnsi="宋体"/>
                <w:b/>
                <w:bCs/>
                <w:sz w:val="24"/>
              </w:rPr>
              <w:t>设备名称或条款号</w:t>
            </w:r>
          </w:p>
        </w:tc>
        <w:tc>
          <w:tcPr>
            <w:tcW w:w="2434" w:type="dxa"/>
            <w:gridSpan w:val="2"/>
            <w:vAlign w:val="center"/>
          </w:tcPr>
          <w:p>
            <w:pPr>
              <w:jc w:val="center"/>
              <w:rPr>
                <w:rFonts w:ascii="宋体" w:hAnsi="宋体"/>
                <w:b/>
                <w:bCs/>
                <w:sz w:val="24"/>
              </w:rPr>
            </w:pPr>
            <w:r>
              <w:rPr>
                <w:rFonts w:hint="eastAsia" w:ascii="宋体" w:hAnsi="宋体"/>
                <w:b/>
                <w:bCs/>
                <w:sz w:val="24"/>
              </w:rPr>
              <w:t>技术参数及要求</w:t>
            </w:r>
          </w:p>
        </w:tc>
        <w:tc>
          <w:tcPr>
            <w:tcW w:w="1218" w:type="dxa"/>
            <w:vMerge w:val="restart"/>
            <w:vAlign w:val="center"/>
          </w:tcPr>
          <w:p>
            <w:pPr>
              <w:jc w:val="center"/>
              <w:rPr>
                <w:rFonts w:ascii="宋体" w:hAnsi="宋体"/>
                <w:b/>
                <w:bCs/>
                <w:sz w:val="24"/>
              </w:rPr>
            </w:pPr>
            <w:r>
              <w:rPr>
                <w:rFonts w:hint="eastAsia" w:ascii="宋体" w:hAnsi="宋体"/>
                <w:b/>
                <w:bCs/>
                <w:sz w:val="24"/>
              </w:rPr>
              <w:t>对招标文件偏差</w:t>
            </w:r>
          </w:p>
        </w:tc>
        <w:tc>
          <w:tcPr>
            <w:tcW w:w="1218" w:type="dxa"/>
            <w:vMerge w:val="restart"/>
            <w:vAlign w:val="center"/>
          </w:tcPr>
          <w:p>
            <w:pPr>
              <w:jc w:val="center"/>
              <w:rPr>
                <w:rFonts w:ascii="宋体" w:hAnsi="宋体"/>
                <w:b/>
                <w:bCs/>
                <w:sz w:val="24"/>
              </w:rPr>
            </w:pPr>
            <w:r>
              <w:rPr>
                <w:rFonts w:hint="eastAsia" w:ascii="宋体" w:hAnsi="宋体"/>
                <w:b/>
                <w:bCs/>
                <w:sz w:val="24"/>
              </w:rPr>
              <w:t>描述</w:t>
            </w:r>
          </w:p>
        </w:tc>
        <w:tc>
          <w:tcPr>
            <w:tcW w:w="1218" w:type="dxa"/>
            <w:vMerge w:val="restart"/>
            <w:vAlign w:val="center"/>
          </w:tcPr>
          <w:p>
            <w:pPr>
              <w:jc w:val="center"/>
              <w:rPr>
                <w:rFonts w:ascii="宋体" w:hAnsi="宋体"/>
                <w:b/>
                <w:bCs/>
                <w:sz w:val="24"/>
              </w:rPr>
            </w:pPr>
            <w:r>
              <w:rPr>
                <w:rFonts w:hint="eastAsia" w:ascii="宋体" w:hAnsi="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continue"/>
          </w:tcPr>
          <w:p>
            <w:pPr>
              <w:rPr>
                <w:rFonts w:ascii="宋体" w:hAnsi="宋体"/>
                <w:sz w:val="24"/>
              </w:rPr>
            </w:pPr>
          </w:p>
        </w:tc>
        <w:tc>
          <w:tcPr>
            <w:tcW w:w="1826" w:type="dxa"/>
            <w:vMerge w:val="continue"/>
          </w:tcPr>
          <w:p>
            <w:pPr>
              <w:rPr>
                <w:rFonts w:ascii="宋体" w:hAnsi="宋体"/>
                <w:sz w:val="24"/>
              </w:rPr>
            </w:pPr>
          </w:p>
        </w:tc>
        <w:tc>
          <w:tcPr>
            <w:tcW w:w="1217" w:type="dxa"/>
            <w:vAlign w:val="center"/>
          </w:tcPr>
          <w:p>
            <w:pPr>
              <w:jc w:val="center"/>
              <w:rPr>
                <w:rFonts w:ascii="宋体" w:hAnsi="宋体"/>
                <w:b/>
                <w:bCs/>
                <w:sz w:val="24"/>
              </w:rPr>
            </w:pPr>
            <w:r>
              <w:rPr>
                <w:rFonts w:hint="eastAsia" w:ascii="宋体" w:hAnsi="宋体"/>
                <w:b/>
                <w:bCs/>
                <w:sz w:val="24"/>
              </w:rPr>
              <w:t>招 标  文 件</w:t>
            </w:r>
          </w:p>
        </w:tc>
        <w:tc>
          <w:tcPr>
            <w:tcW w:w="1217" w:type="dxa"/>
            <w:vAlign w:val="center"/>
          </w:tcPr>
          <w:p>
            <w:pPr>
              <w:jc w:val="center"/>
              <w:rPr>
                <w:rFonts w:ascii="宋体" w:hAnsi="宋体"/>
                <w:b/>
                <w:bCs/>
                <w:sz w:val="24"/>
              </w:rPr>
            </w:pPr>
            <w:r>
              <w:rPr>
                <w:rFonts w:hint="eastAsia" w:ascii="宋体" w:hAnsi="宋体"/>
                <w:b/>
                <w:bCs/>
                <w:sz w:val="24"/>
              </w:rPr>
              <w:t>投 标  文 件</w:t>
            </w:r>
          </w:p>
        </w:tc>
        <w:tc>
          <w:tcPr>
            <w:tcW w:w="1218" w:type="dxa"/>
            <w:vMerge w:val="continue"/>
          </w:tcPr>
          <w:p>
            <w:pPr>
              <w:rPr>
                <w:rFonts w:ascii="宋体" w:hAnsi="宋体"/>
                <w:sz w:val="24"/>
              </w:rPr>
            </w:pPr>
          </w:p>
        </w:tc>
        <w:tc>
          <w:tcPr>
            <w:tcW w:w="1218" w:type="dxa"/>
            <w:vMerge w:val="continue"/>
          </w:tcPr>
          <w:p>
            <w:pPr>
              <w:rPr>
                <w:rFonts w:ascii="宋体" w:hAnsi="宋体"/>
                <w:sz w:val="24"/>
              </w:rPr>
            </w:pPr>
          </w:p>
        </w:tc>
        <w:tc>
          <w:tcPr>
            <w:tcW w:w="1218" w:type="dxa"/>
            <w:vMerge w:val="continue"/>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tcPr>
          <w:p>
            <w:pPr>
              <w:rPr>
                <w:rFonts w:ascii="宋体" w:hAnsi="宋体"/>
                <w:sz w:val="24"/>
              </w:rPr>
            </w:pPr>
            <w:r>
              <w:rPr>
                <w:rFonts w:hint="eastAsia" w:ascii="宋体" w:hAnsi="宋体"/>
                <w:sz w:val="24"/>
              </w:rPr>
              <w:t>1</w:t>
            </w:r>
          </w:p>
        </w:tc>
        <w:tc>
          <w:tcPr>
            <w:tcW w:w="1826" w:type="dxa"/>
          </w:tcPr>
          <w:p>
            <w:pPr>
              <w:rPr>
                <w:rFonts w:ascii="宋体" w:hAnsi="宋体"/>
                <w:sz w:val="24"/>
              </w:rPr>
            </w:pPr>
          </w:p>
        </w:tc>
        <w:tc>
          <w:tcPr>
            <w:tcW w:w="1217" w:type="dxa"/>
          </w:tcPr>
          <w:p>
            <w:pPr>
              <w:rPr>
                <w:rFonts w:ascii="宋体" w:hAnsi="宋体"/>
                <w:sz w:val="24"/>
              </w:rPr>
            </w:pPr>
          </w:p>
        </w:tc>
        <w:tc>
          <w:tcPr>
            <w:tcW w:w="1217"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tcPr>
          <w:p>
            <w:pPr>
              <w:rPr>
                <w:rFonts w:ascii="宋体" w:hAnsi="宋体"/>
                <w:sz w:val="24"/>
              </w:rPr>
            </w:pPr>
            <w:r>
              <w:rPr>
                <w:rFonts w:hint="eastAsia" w:ascii="宋体" w:hAnsi="宋体"/>
                <w:sz w:val="24"/>
              </w:rPr>
              <w:t>2</w:t>
            </w:r>
          </w:p>
        </w:tc>
        <w:tc>
          <w:tcPr>
            <w:tcW w:w="1826" w:type="dxa"/>
          </w:tcPr>
          <w:p>
            <w:pPr>
              <w:rPr>
                <w:rFonts w:ascii="宋体" w:hAnsi="宋体"/>
                <w:sz w:val="24"/>
              </w:rPr>
            </w:pPr>
            <w:r>
              <w:rPr>
                <w:rFonts w:hint="eastAsia" w:ascii="宋体" w:hAnsi="宋体"/>
                <w:sz w:val="24"/>
              </w:rPr>
              <w:t>……</w:t>
            </w:r>
          </w:p>
        </w:tc>
        <w:tc>
          <w:tcPr>
            <w:tcW w:w="1217" w:type="dxa"/>
          </w:tcPr>
          <w:p>
            <w:pPr>
              <w:rPr>
                <w:rFonts w:ascii="宋体" w:hAnsi="宋体"/>
                <w:sz w:val="24"/>
              </w:rPr>
            </w:pPr>
          </w:p>
        </w:tc>
        <w:tc>
          <w:tcPr>
            <w:tcW w:w="1217"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Pr>
          <w:p>
            <w:pPr>
              <w:rPr>
                <w:rFonts w:ascii="宋体" w:hAnsi="宋体"/>
                <w:sz w:val="24"/>
              </w:rPr>
            </w:pPr>
            <w:r>
              <w:rPr>
                <w:rFonts w:hint="eastAsia" w:ascii="宋体" w:hAnsi="宋体"/>
                <w:sz w:val="24"/>
              </w:rPr>
              <w:t>3</w:t>
            </w:r>
          </w:p>
        </w:tc>
        <w:tc>
          <w:tcPr>
            <w:tcW w:w="1826" w:type="dxa"/>
          </w:tcPr>
          <w:p>
            <w:pPr>
              <w:rPr>
                <w:rFonts w:ascii="宋体" w:hAnsi="宋体"/>
                <w:sz w:val="24"/>
              </w:rPr>
            </w:pPr>
          </w:p>
        </w:tc>
        <w:tc>
          <w:tcPr>
            <w:tcW w:w="1217" w:type="dxa"/>
          </w:tcPr>
          <w:p>
            <w:pPr>
              <w:rPr>
                <w:rFonts w:ascii="宋体" w:hAnsi="宋体"/>
                <w:sz w:val="24"/>
              </w:rPr>
            </w:pPr>
          </w:p>
        </w:tc>
        <w:tc>
          <w:tcPr>
            <w:tcW w:w="1217"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Pr>
          <w:p>
            <w:pPr>
              <w:rPr>
                <w:rFonts w:ascii="宋体" w:hAnsi="宋体"/>
                <w:sz w:val="24"/>
              </w:rPr>
            </w:pPr>
            <w:r>
              <w:rPr>
                <w:rFonts w:hint="eastAsia" w:ascii="宋体" w:hAnsi="宋体"/>
                <w:sz w:val="24"/>
              </w:rPr>
              <w:t>4</w:t>
            </w:r>
          </w:p>
        </w:tc>
        <w:tc>
          <w:tcPr>
            <w:tcW w:w="1826" w:type="dxa"/>
          </w:tcPr>
          <w:p>
            <w:pPr>
              <w:rPr>
                <w:rFonts w:ascii="宋体" w:hAnsi="宋体"/>
                <w:sz w:val="24"/>
              </w:rPr>
            </w:pPr>
          </w:p>
        </w:tc>
        <w:tc>
          <w:tcPr>
            <w:tcW w:w="1217" w:type="dxa"/>
          </w:tcPr>
          <w:p>
            <w:pPr>
              <w:rPr>
                <w:rFonts w:ascii="宋体" w:hAnsi="宋体"/>
                <w:sz w:val="24"/>
              </w:rPr>
            </w:pPr>
          </w:p>
        </w:tc>
        <w:tc>
          <w:tcPr>
            <w:tcW w:w="1217"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Pr>
          <w:p>
            <w:pPr>
              <w:rPr>
                <w:rFonts w:ascii="宋体" w:hAnsi="宋体"/>
                <w:sz w:val="24"/>
              </w:rPr>
            </w:pPr>
          </w:p>
        </w:tc>
        <w:tc>
          <w:tcPr>
            <w:tcW w:w="1826" w:type="dxa"/>
          </w:tcPr>
          <w:p>
            <w:pPr>
              <w:rPr>
                <w:rFonts w:ascii="宋体" w:hAnsi="宋体"/>
                <w:sz w:val="24"/>
              </w:rPr>
            </w:pPr>
            <w:r>
              <w:rPr>
                <w:rFonts w:hint="eastAsia" w:ascii="宋体" w:hAnsi="宋体"/>
                <w:sz w:val="24"/>
              </w:rPr>
              <w:t>……</w:t>
            </w:r>
          </w:p>
        </w:tc>
        <w:tc>
          <w:tcPr>
            <w:tcW w:w="1217" w:type="dxa"/>
          </w:tcPr>
          <w:p>
            <w:pPr>
              <w:rPr>
                <w:rFonts w:ascii="宋体" w:hAnsi="宋体"/>
                <w:sz w:val="24"/>
              </w:rPr>
            </w:pPr>
          </w:p>
        </w:tc>
        <w:tc>
          <w:tcPr>
            <w:tcW w:w="1217"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r>
      <w:bookmarkEnd w:id="716"/>
      <w:bookmarkEnd w:id="717"/>
      <w:bookmarkEnd w:id="718"/>
    </w:tbl>
    <w:p>
      <w:pPr>
        <w:tabs>
          <w:tab w:val="left" w:pos="6300"/>
        </w:tabs>
        <w:snapToGrid w:val="0"/>
        <w:spacing w:line="360" w:lineRule="auto"/>
        <w:jc w:val="center"/>
        <w:rPr>
          <w:rFonts w:ascii="宋体" w:hAnsi="宋体"/>
          <w:sz w:val="24"/>
        </w:rPr>
      </w:pPr>
    </w:p>
    <w:p>
      <w:pPr>
        <w:pStyle w:val="9"/>
        <w:kinsoku w:val="0"/>
        <w:overflowPunct w:val="0"/>
        <w:snapToGrid w:val="0"/>
        <w:ind w:right="95" w:firstLine="3360" w:firstLineChars="1400"/>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9"/>
        <w:kinsoku w:val="0"/>
        <w:overflowPunct w:val="0"/>
        <w:snapToGrid w:val="0"/>
        <w:ind w:right="95" w:firstLine="3304" w:firstLineChars="14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9"/>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beforeLines="50" w:line="360" w:lineRule="auto"/>
        <w:rPr>
          <w:rFonts w:ascii="宋体" w:hAnsi="宋体"/>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bookmarkStart w:id="719" w:name="_Toc15043"/>
      <w:r>
        <w:rPr>
          <w:rFonts w:hint="eastAsia" w:ascii="宋体" w:hAnsi="宋体"/>
          <w:b/>
          <w:sz w:val="24"/>
        </w:rPr>
        <w:t>商务条款偏差表</w:t>
      </w:r>
      <w:bookmarkEnd w:id="719"/>
    </w:p>
    <w:tbl>
      <w:tblPr>
        <w:tblStyle w:val="26"/>
        <w:tblW w:w="79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560"/>
        <w:gridCol w:w="1559"/>
        <w:gridCol w:w="2268"/>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Merge w:val="restart"/>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序号</w:t>
            </w:r>
          </w:p>
        </w:tc>
        <w:tc>
          <w:tcPr>
            <w:tcW w:w="3119" w:type="dxa"/>
            <w:gridSpan w:val="2"/>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商务条款及要求</w:t>
            </w:r>
          </w:p>
        </w:tc>
        <w:tc>
          <w:tcPr>
            <w:tcW w:w="2268" w:type="dxa"/>
            <w:vMerge w:val="restart"/>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对招标文件偏差</w:t>
            </w:r>
          </w:p>
        </w:tc>
        <w:tc>
          <w:tcPr>
            <w:tcW w:w="851" w:type="dxa"/>
            <w:vMerge w:val="restart"/>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描述</w:t>
            </w:r>
          </w:p>
        </w:tc>
        <w:tc>
          <w:tcPr>
            <w:tcW w:w="992" w:type="dxa"/>
            <w:vMerge w:val="restart"/>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continue"/>
            <w:vAlign w:val="center"/>
          </w:tcPr>
          <w:p>
            <w:pPr>
              <w:widowControl/>
              <w:adjustRightInd w:val="0"/>
              <w:snapToGrid w:val="0"/>
              <w:spacing w:after="200"/>
              <w:jc w:val="center"/>
              <w:rPr>
                <w:rFonts w:ascii="Tahoma" w:hAnsi="Tahoma"/>
                <w:kern w:val="0"/>
                <w:sz w:val="22"/>
                <w:szCs w:val="22"/>
              </w:rPr>
            </w:pPr>
          </w:p>
        </w:tc>
        <w:tc>
          <w:tcPr>
            <w:tcW w:w="1560" w:type="dxa"/>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招标文件</w:t>
            </w:r>
          </w:p>
        </w:tc>
        <w:tc>
          <w:tcPr>
            <w:tcW w:w="1559" w:type="dxa"/>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投标文件</w:t>
            </w:r>
          </w:p>
        </w:tc>
        <w:tc>
          <w:tcPr>
            <w:tcW w:w="2268" w:type="dxa"/>
            <w:vMerge w:val="continue"/>
            <w:vAlign w:val="center"/>
          </w:tcPr>
          <w:p>
            <w:pPr>
              <w:widowControl/>
              <w:adjustRightInd w:val="0"/>
              <w:snapToGrid w:val="0"/>
              <w:spacing w:after="200"/>
              <w:jc w:val="center"/>
              <w:rPr>
                <w:rFonts w:ascii="Tahoma" w:hAnsi="Tahoma"/>
                <w:kern w:val="0"/>
                <w:sz w:val="22"/>
                <w:szCs w:val="22"/>
              </w:rPr>
            </w:pPr>
          </w:p>
        </w:tc>
        <w:tc>
          <w:tcPr>
            <w:tcW w:w="851" w:type="dxa"/>
            <w:vMerge w:val="continue"/>
            <w:vAlign w:val="center"/>
          </w:tcPr>
          <w:p>
            <w:pPr>
              <w:widowControl/>
              <w:adjustRightInd w:val="0"/>
              <w:snapToGrid w:val="0"/>
              <w:spacing w:after="200"/>
              <w:jc w:val="center"/>
              <w:rPr>
                <w:rFonts w:ascii="Tahoma" w:hAnsi="Tahoma"/>
                <w:kern w:val="0"/>
                <w:sz w:val="22"/>
                <w:szCs w:val="22"/>
              </w:rPr>
            </w:pPr>
          </w:p>
        </w:tc>
        <w:tc>
          <w:tcPr>
            <w:tcW w:w="992" w:type="dxa"/>
            <w:vMerge w:val="continue"/>
            <w:vAlign w:val="center"/>
          </w:tcPr>
          <w:p>
            <w:pPr>
              <w:widowControl/>
              <w:adjustRightInd w:val="0"/>
              <w:snapToGrid w:val="0"/>
              <w:spacing w:after="200"/>
              <w:jc w:val="center"/>
              <w:rPr>
                <w:rFonts w:ascii="Tahoma" w:hAnsi="Tahom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1</w:t>
            </w:r>
          </w:p>
        </w:tc>
        <w:tc>
          <w:tcPr>
            <w:tcW w:w="1560" w:type="dxa"/>
            <w:vAlign w:val="center"/>
          </w:tcPr>
          <w:p>
            <w:pPr>
              <w:widowControl/>
              <w:adjustRightInd w:val="0"/>
              <w:snapToGrid w:val="0"/>
              <w:spacing w:after="200"/>
              <w:jc w:val="left"/>
              <w:rPr>
                <w:rFonts w:ascii="Tahoma" w:hAnsi="Tahoma"/>
                <w:kern w:val="0"/>
                <w:sz w:val="22"/>
                <w:szCs w:val="22"/>
              </w:rPr>
            </w:pPr>
            <w:r>
              <w:rPr>
                <w:rFonts w:hint="eastAsia" w:ascii="Tahoma" w:hAnsi="Tahoma"/>
                <w:kern w:val="0"/>
                <w:sz w:val="22"/>
                <w:szCs w:val="22"/>
              </w:rPr>
              <w:t>商务条款1</w:t>
            </w:r>
          </w:p>
        </w:tc>
        <w:tc>
          <w:tcPr>
            <w:tcW w:w="1559" w:type="dxa"/>
            <w:vAlign w:val="center"/>
          </w:tcPr>
          <w:p>
            <w:pPr>
              <w:widowControl/>
              <w:adjustRightInd w:val="0"/>
              <w:snapToGrid w:val="0"/>
              <w:spacing w:after="200"/>
              <w:jc w:val="center"/>
              <w:rPr>
                <w:rFonts w:ascii="Tahoma" w:hAnsi="Tahoma"/>
                <w:kern w:val="0"/>
                <w:sz w:val="22"/>
                <w:szCs w:val="22"/>
              </w:rPr>
            </w:pPr>
          </w:p>
        </w:tc>
        <w:tc>
          <w:tcPr>
            <w:tcW w:w="2268" w:type="dxa"/>
            <w:vAlign w:val="center"/>
          </w:tcPr>
          <w:p>
            <w:pPr>
              <w:widowControl/>
              <w:adjustRightInd w:val="0"/>
              <w:snapToGrid w:val="0"/>
              <w:spacing w:after="200"/>
              <w:jc w:val="center"/>
              <w:rPr>
                <w:rFonts w:ascii="Tahoma" w:hAnsi="Tahoma"/>
                <w:kern w:val="0"/>
                <w:sz w:val="22"/>
                <w:szCs w:val="22"/>
              </w:rPr>
            </w:pPr>
          </w:p>
        </w:tc>
        <w:tc>
          <w:tcPr>
            <w:tcW w:w="851" w:type="dxa"/>
            <w:vAlign w:val="center"/>
          </w:tcPr>
          <w:p>
            <w:pPr>
              <w:widowControl/>
              <w:adjustRightInd w:val="0"/>
              <w:snapToGrid w:val="0"/>
              <w:spacing w:after="200"/>
              <w:jc w:val="center"/>
              <w:rPr>
                <w:rFonts w:ascii="Tahoma" w:hAnsi="Tahoma"/>
                <w:kern w:val="0"/>
                <w:sz w:val="22"/>
                <w:szCs w:val="22"/>
              </w:rPr>
            </w:pPr>
          </w:p>
        </w:tc>
        <w:tc>
          <w:tcPr>
            <w:tcW w:w="992" w:type="dxa"/>
            <w:vAlign w:val="center"/>
          </w:tcPr>
          <w:p>
            <w:pPr>
              <w:widowControl/>
              <w:adjustRightInd w:val="0"/>
              <w:snapToGrid w:val="0"/>
              <w:spacing w:after="200"/>
              <w:jc w:val="center"/>
              <w:rPr>
                <w:rFonts w:ascii="Tahoma" w:hAnsi="Tahom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2</w:t>
            </w:r>
          </w:p>
        </w:tc>
        <w:tc>
          <w:tcPr>
            <w:tcW w:w="1560" w:type="dxa"/>
          </w:tcPr>
          <w:p>
            <w:pPr>
              <w:widowControl/>
              <w:adjustRightInd w:val="0"/>
              <w:snapToGrid w:val="0"/>
              <w:spacing w:after="200"/>
              <w:jc w:val="left"/>
              <w:rPr>
                <w:rFonts w:ascii="Tahoma" w:hAnsi="Tahoma"/>
                <w:kern w:val="0"/>
                <w:sz w:val="22"/>
                <w:szCs w:val="22"/>
              </w:rPr>
            </w:pPr>
            <w:r>
              <w:rPr>
                <w:rFonts w:hint="eastAsia" w:ascii="Tahoma" w:hAnsi="Tahoma"/>
                <w:kern w:val="0"/>
                <w:sz w:val="22"/>
                <w:szCs w:val="22"/>
              </w:rPr>
              <w:t>商务条款2</w:t>
            </w:r>
          </w:p>
        </w:tc>
        <w:tc>
          <w:tcPr>
            <w:tcW w:w="1559" w:type="dxa"/>
          </w:tcPr>
          <w:p>
            <w:pPr>
              <w:widowControl/>
              <w:adjustRightInd w:val="0"/>
              <w:snapToGrid w:val="0"/>
              <w:spacing w:after="200"/>
              <w:jc w:val="left"/>
              <w:rPr>
                <w:rFonts w:ascii="Tahoma" w:hAnsi="Tahoma"/>
                <w:kern w:val="0"/>
                <w:sz w:val="22"/>
                <w:szCs w:val="22"/>
              </w:rPr>
            </w:pPr>
          </w:p>
        </w:tc>
        <w:tc>
          <w:tcPr>
            <w:tcW w:w="2268" w:type="dxa"/>
          </w:tcPr>
          <w:p>
            <w:pPr>
              <w:widowControl/>
              <w:adjustRightInd w:val="0"/>
              <w:snapToGrid w:val="0"/>
              <w:spacing w:after="200"/>
              <w:jc w:val="left"/>
              <w:rPr>
                <w:rFonts w:ascii="Tahoma" w:hAnsi="Tahoma"/>
                <w:kern w:val="0"/>
                <w:sz w:val="22"/>
                <w:szCs w:val="22"/>
              </w:rPr>
            </w:pPr>
          </w:p>
        </w:tc>
        <w:tc>
          <w:tcPr>
            <w:tcW w:w="851" w:type="dxa"/>
          </w:tcPr>
          <w:p>
            <w:pPr>
              <w:widowControl/>
              <w:adjustRightInd w:val="0"/>
              <w:snapToGrid w:val="0"/>
              <w:spacing w:after="200"/>
              <w:jc w:val="left"/>
              <w:rPr>
                <w:rFonts w:ascii="Tahoma" w:hAnsi="Tahoma"/>
                <w:kern w:val="0"/>
                <w:sz w:val="22"/>
                <w:szCs w:val="22"/>
              </w:rPr>
            </w:pPr>
          </w:p>
        </w:tc>
        <w:tc>
          <w:tcPr>
            <w:tcW w:w="992" w:type="dxa"/>
          </w:tcPr>
          <w:p>
            <w:pPr>
              <w:widowControl/>
              <w:adjustRightInd w:val="0"/>
              <w:snapToGrid w:val="0"/>
              <w:spacing w:after="200"/>
              <w:jc w:val="left"/>
              <w:rPr>
                <w:rFonts w:ascii="Tahoma" w:hAnsi="Tahom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3</w:t>
            </w:r>
          </w:p>
        </w:tc>
        <w:tc>
          <w:tcPr>
            <w:tcW w:w="1560" w:type="dxa"/>
          </w:tcPr>
          <w:p>
            <w:pPr>
              <w:widowControl/>
              <w:adjustRightInd w:val="0"/>
              <w:snapToGrid w:val="0"/>
              <w:spacing w:after="200"/>
              <w:jc w:val="left"/>
              <w:rPr>
                <w:rFonts w:ascii="Tahoma" w:hAnsi="Tahoma"/>
                <w:kern w:val="0"/>
                <w:sz w:val="22"/>
                <w:szCs w:val="22"/>
              </w:rPr>
            </w:pPr>
            <w:r>
              <w:rPr>
                <w:rFonts w:hint="eastAsia" w:ascii="Tahoma" w:hAnsi="Tahoma"/>
                <w:kern w:val="0"/>
                <w:sz w:val="22"/>
                <w:szCs w:val="22"/>
              </w:rPr>
              <w:t>………</w:t>
            </w:r>
          </w:p>
        </w:tc>
        <w:tc>
          <w:tcPr>
            <w:tcW w:w="1559" w:type="dxa"/>
          </w:tcPr>
          <w:p>
            <w:pPr>
              <w:widowControl/>
              <w:adjustRightInd w:val="0"/>
              <w:snapToGrid w:val="0"/>
              <w:spacing w:after="200"/>
              <w:jc w:val="left"/>
              <w:rPr>
                <w:rFonts w:ascii="Tahoma" w:hAnsi="Tahoma"/>
                <w:kern w:val="0"/>
                <w:sz w:val="22"/>
                <w:szCs w:val="22"/>
              </w:rPr>
            </w:pPr>
          </w:p>
        </w:tc>
        <w:tc>
          <w:tcPr>
            <w:tcW w:w="2268" w:type="dxa"/>
          </w:tcPr>
          <w:p>
            <w:pPr>
              <w:widowControl/>
              <w:adjustRightInd w:val="0"/>
              <w:snapToGrid w:val="0"/>
              <w:spacing w:after="200"/>
              <w:jc w:val="left"/>
              <w:rPr>
                <w:rFonts w:ascii="Tahoma" w:hAnsi="Tahoma"/>
                <w:kern w:val="0"/>
                <w:sz w:val="22"/>
                <w:szCs w:val="22"/>
              </w:rPr>
            </w:pPr>
          </w:p>
        </w:tc>
        <w:tc>
          <w:tcPr>
            <w:tcW w:w="851" w:type="dxa"/>
          </w:tcPr>
          <w:p>
            <w:pPr>
              <w:widowControl/>
              <w:adjustRightInd w:val="0"/>
              <w:snapToGrid w:val="0"/>
              <w:spacing w:after="200"/>
              <w:jc w:val="left"/>
              <w:rPr>
                <w:rFonts w:ascii="Tahoma" w:hAnsi="Tahoma"/>
                <w:kern w:val="0"/>
                <w:sz w:val="22"/>
                <w:szCs w:val="22"/>
              </w:rPr>
            </w:pPr>
          </w:p>
        </w:tc>
        <w:tc>
          <w:tcPr>
            <w:tcW w:w="992" w:type="dxa"/>
          </w:tcPr>
          <w:p>
            <w:pPr>
              <w:widowControl/>
              <w:adjustRightInd w:val="0"/>
              <w:snapToGrid w:val="0"/>
              <w:spacing w:after="200"/>
              <w:jc w:val="left"/>
              <w:rPr>
                <w:rFonts w:ascii="Tahoma" w:hAnsi="Tahom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4</w:t>
            </w:r>
          </w:p>
        </w:tc>
        <w:tc>
          <w:tcPr>
            <w:tcW w:w="1560" w:type="dxa"/>
          </w:tcPr>
          <w:p>
            <w:pPr>
              <w:widowControl/>
              <w:adjustRightInd w:val="0"/>
              <w:snapToGrid w:val="0"/>
              <w:spacing w:after="200"/>
              <w:jc w:val="left"/>
              <w:rPr>
                <w:rFonts w:ascii="Tahoma" w:hAnsi="Tahoma"/>
                <w:kern w:val="0"/>
                <w:sz w:val="22"/>
                <w:szCs w:val="22"/>
              </w:rPr>
            </w:pPr>
            <w:r>
              <w:rPr>
                <w:rFonts w:hint="eastAsia" w:ascii="Tahoma" w:hAnsi="Tahoma"/>
                <w:kern w:val="0"/>
                <w:sz w:val="22"/>
                <w:szCs w:val="22"/>
              </w:rPr>
              <w:t>………</w:t>
            </w:r>
          </w:p>
        </w:tc>
        <w:tc>
          <w:tcPr>
            <w:tcW w:w="1559" w:type="dxa"/>
          </w:tcPr>
          <w:p>
            <w:pPr>
              <w:widowControl/>
              <w:adjustRightInd w:val="0"/>
              <w:snapToGrid w:val="0"/>
              <w:spacing w:after="200"/>
              <w:jc w:val="left"/>
              <w:rPr>
                <w:rFonts w:ascii="Tahoma" w:hAnsi="Tahoma"/>
                <w:kern w:val="0"/>
                <w:sz w:val="22"/>
                <w:szCs w:val="22"/>
              </w:rPr>
            </w:pPr>
          </w:p>
        </w:tc>
        <w:tc>
          <w:tcPr>
            <w:tcW w:w="2268" w:type="dxa"/>
          </w:tcPr>
          <w:p>
            <w:pPr>
              <w:widowControl/>
              <w:adjustRightInd w:val="0"/>
              <w:snapToGrid w:val="0"/>
              <w:spacing w:after="200"/>
              <w:jc w:val="left"/>
              <w:rPr>
                <w:rFonts w:ascii="Tahoma" w:hAnsi="Tahoma"/>
                <w:kern w:val="0"/>
                <w:sz w:val="22"/>
                <w:szCs w:val="22"/>
              </w:rPr>
            </w:pPr>
          </w:p>
        </w:tc>
        <w:tc>
          <w:tcPr>
            <w:tcW w:w="851" w:type="dxa"/>
          </w:tcPr>
          <w:p>
            <w:pPr>
              <w:widowControl/>
              <w:adjustRightInd w:val="0"/>
              <w:snapToGrid w:val="0"/>
              <w:spacing w:after="200"/>
              <w:jc w:val="left"/>
              <w:rPr>
                <w:rFonts w:ascii="Tahoma" w:hAnsi="Tahoma"/>
                <w:kern w:val="0"/>
                <w:sz w:val="22"/>
                <w:szCs w:val="22"/>
              </w:rPr>
            </w:pPr>
          </w:p>
        </w:tc>
        <w:tc>
          <w:tcPr>
            <w:tcW w:w="992" w:type="dxa"/>
          </w:tcPr>
          <w:p>
            <w:pPr>
              <w:widowControl/>
              <w:adjustRightInd w:val="0"/>
              <w:snapToGrid w:val="0"/>
              <w:spacing w:after="200"/>
              <w:jc w:val="left"/>
              <w:rPr>
                <w:rFonts w:ascii="Tahoma" w:hAnsi="Tahom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w:t>
            </w:r>
          </w:p>
        </w:tc>
        <w:tc>
          <w:tcPr>
            <w:tcW w:w="1560" w:type="dxa"/>
          </w:tcPr>
          <w:p>
            <w:pPr>
              <w:widowControl/>
              <w:adjustRightInd w:val="0"/>
              <w:snapToGrid w:val="0"/>
              <w:spacing w:after="200"/>
              <w:jc w:val="left"/>
              <w:rPr>
                <w:rFonts w:ascii="Tahoma" w:hAnsi="Tahoma"/>
                <w:kern w:val="0"/>
                <w:sz w:val="22"/>
                <w:szCs w:val="22"/>
              </w:rPr>
            </w:pPr>
            <w:r>
              <w:rPr>
                <w:rFonts w:hint="eastAsia" w:ascii="Tahoma" w:hAnsi="Tahoma"/>
                <w:kern w:val="0"/>
                <w:sz w:val="22"/>
                <w:szCs w:val="22"/>
              </w:rPr>
              <w:t>………</w:t>
            </w:r>
          </w:p>
        </w:tc>
        <w:tc>
          <w:tcPr>
            <w:tcW w:w="1559" w:type="dxa"/>
          </w:tcPr>
          <w:p>
            <w:pPr>
              <w:widowControl/>
              <w:adjustRightInd w:val="0"/>
              <w:snapToGrid w:val="0"/>
              <w:spacing w:after="200"/>
              <w:jc w:val="left"/>
              <w:rPr>
                <w:rFonts w:ascii="Tahoma" w:hAnsi="Tahoma"/>
                <w:kern w:val="0"/>
                <w:sz w:val="22"/>
                <w:szCs w:val="22"/>
              </w:rPr>
            </w:pPr>
          </w:p>
        </w:tc>
        <w:tc>
          <w:tcPr>
            <w:tcW w:w="2268" w:type="dxa"/>
          </w:tcPr>
          <w:p>
            <w:pPr>
              <w:widowControl/>
              <w:adjustRightInd w:val="0"/>
              <w:snapToGrid w:val="0"/>
              <w:spacing w:after="200"/>
              <w:jc w:val="left"/>
              <w:rPr>
                <w:rFonts w:ascii="Tahoma" w:hAnsi="Tahoma"/>
                <w:kern w:val="0"/>
                <w:sz w:val="22"/>
                <w:szCs w:val="22"/>
              </w:rPr>
            </w:pPr>
          </w:p>
        </w:tc>
        <w:tc>
          <w:tcPr>
            <w:tcW w:w="851" w:type="dxa"/>
          </w:tcPr>
          <w:p>
            <w:pPr>
              <w:widowControl/>
              <w:adjustRightInd w:val="0"/>
              <w:snapToGrid w:val="0"/>
              <w:spacing w:after="200"/>
              <w:jc w:val="left"/>
              <w:rPr>
                <w:rFonts w:ascii="Tahoma" w:hAnsi="Tahoma"/>
                <w:kern w:val="0"/>
                <w:sz w:val="22"/>
                <w:szCs w:val="22"/>
              </w:rPr>
            </w:pPr>
          </w:p>
        </w:tc>
        <w:tc>
          <w:tcPr>
            <w:tcW w:w="992" w:type="dxa"/>
          </w:tcPr>
          <w:p>
            <w:pPr>
              <w:widowControl/>
              <w:adjustRightInd w:val="0"/>
              <w:snapToGrid w:val="0"/>
              <w:spacing w:after="200"/>
              <w:jc w:val="left"/>
              <w:rPr>
                <w:rFonts w:ascii="Tahoma" w:hAnsi="Tahoma"/>
                <w:kern w:val="0"/>
                <w:sz w:val="22"/>
                <w:szCs w:val="22"/>
              </w:rPr>
            </w:pPr>
          </w:p>
        </w:tc>
      </w:tr>
    </w:tbl>
    <w:p>
      <w:pPr>
        <w:tabs>
          <w:tab w:val="left" w:pos="6300"/>
        </w:tabs>
        <w:snapToGrid w:val="0"/>
        <w:spacing w:line="360" w:lineRule="auto"/>
        <w:jc w:val="center"/>
        <w:rPr>
          <w:rFonts w:ascii="宋体" w:hAnsi="宋体"/>
          <w:sz w:val="24"/>
        </w:rPr>
      </w:pPr>
    </w:p>
    <w:p>
      <w:pPr>
        <w:pStyle w:val="9"/>
        <w:kinsoku w:val="0"/>
        <w:overflowPunct w:val="0"/>
        <w:snapToGrid w:val="0"/>
        <w:ind w:right="95" w:firstLine="3360" w:firstLineChars="1400"/>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9"/>
        <w:kinsoku w:val="0"/>
        <w:overflowPunct w:val="0"/>
        <w:snapToGrid w:val="0"/>
        <w:ind w:right="95" w:firstLine="3304" w:firstLineChars="14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9"/>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beforeLines="50" w:line="360" w:lineRule="auto"/>
        <w:rPr>
          <w:rFonts w:ascii="宋体" w:hAnsi="宋体"/>
          <w:sz w:val="24"/>
        </w:rPr>
      </w:pPr>
    </w:p>
    <w:p>
      <w:pPr>
        <w:spacing w:line="360" w:lineRule="auto"/>
        <w:jc w:val="center"/>
        <w:outlineLvl w:val="1"/>
        <w:rPr>
          <w:rFonts w:ascii="宋体" w:hAnsi="宋体"/>
          <w:b/>
          <w:sz w:val="24"/>
        </w:rPr>
      </w:pPr>
      <w:r>
        <w:rPr>
          <w:rFonts w:hint="eastAsia" w:ascii="宋体" w:hAnsi="宋体"/>
          <w:sz w:val="24"/>
        </w:rPr>
        <w:br w:type="page"/>
      </w:r>
      <w:bookmarkStart w:id="720" w:name="_Toc16089932"/>
      <w:bookmarkStart w:id="721" w:name="_Toc11379"/>
      <w:bookmarkStart w:id="722" w:name="_Toc482378992"/>
      <w:bookmarkStart w:id="723" w:name="_Toc15912371"/>
      <w:bookmarkStart w:id="724" w:name="_Toc482379085"/>
      <w:bookmarkStart w:id="725" w:name="_Toc18064"/>
      <w:bookmarkStart w:id="726" w:name="_Toc16089990"/>
      <w:bookmarkStart w:id="727" w:name="_Toc704"/>
      <w:bookmarkStart w:id="728" w:name="_Toc44924422"/>
      <w:r>
        <w:rPr>
          <w:rFonts w:hint="eastAsia" w:ascii="宋体" w:hAnsi="宋体"/>
          <w:b/>
          <w:sz w:val="24"/>
        </w:rPr>
        <w:t>九、反商业贿赂承诺书</w:t>
      </w:r>
      <w:bookmarkEnd w:id="720"/>
      <w:bookmarkEnd w:id="721"/>
      <w:bookmarkEnd w:id="722"/>
      <w:bookmarkEnd w:id="723"/>
      <w:bookmarkEnd w:id="724"/>
      <w:bookmarkEnd w:id="725"/>
      <w:bookmarkEnd w:id="726"/>
      <w:bookmarkEnd w:id="727"/>
      <w:bookmarkEnd w:id="728"/>
    </w:p>
    <w:p>
      <w:pPr>
        <w:spacing w:line="360" w:lineRule="auto"/>
        <w:jc w:val="center"/>
        <w:rPr>
          <w:rFonts w:ascii="宋体" w:hAnsi="宋体"/>
          <w:b/>
          <w:sz w:val="24"/>
        </w:rPr>
      </w:pPr>
    </w:p>
    <w:p>
      <w:pPr>
        <w:spacing w:line="360" w:lineRule="auto"/>
        <w:ind w:firstLine="480" w:firstLineChars="200"/>
        <w:rPr>
          <w:rFonts w:ascii="宋体" w:hAnsi="宋体"/>
          <w:sz w:val="24"/>
        </w:rPr>
      </w:pPr>
      <w:bookmarkStart w:id="729" w:name="_Toc240448902"/>
      <w:bookmarkStart w:id="730" w:name="_Toc279504249"/>
      <w:bookmarkStart w:id="731" w:name="_Toc236539290"/>
      <w:bookmarkStart w:id="732" w:name="_Toc272327669"/>
      <w:bookmarkStart w:id="733" w:name="_Toc236539351"/>
      <w:bookmarkStart w:id="734" w:name="_Toc280882171"/>
      <w:bookmarkStart w:id="735" w:name="_Toc269219210"/>
      <w:r>
        <w:rPr>
          <w:rFonts w:hint="eastAsia" w:ascii="宋体" w:hAnsi="宋体"/>
          <w:sz w:val="24"/>
        </w:rPr>
        <w:t>我公司承诺：</w:t>
      </w:r>
      <w:bookmarkEnd w:id="729"/>
      <w:bookmarkEnd w:id="730"/>
      <w:bookmarkEnd w:id="731"/>
      <w:bookmarkEnd w:id="732"/>
      <w:bookmarkEnd w:id="733"/>
      <w:bookmarkEnd w:id="734"/>
      <w:bookmarkEnd w:id="735"/>
    </w:p>
    <w:p>
      <w:pPr>
        <w:spacing w:line="360" w:lineRule="auto"/>
        <w:ind w:firstLine="480" w:firstLineChars="200"/>
        <w:rPr>
          <w:rFonts w:ascii="宋体" w:hAnsi="宋体"/>
          <w:sz w:val="24"/>
        </w:rPr>
      </w:pPr>
      <w:bookmarkStart w:id="736" w:name="_Toc236539352"/>
      <w:bookmarkStart w:id="737" w:name="_Toc280882172"/>
      <w:bookmarkStart w:id="738" w:name="_Toc279504250"/>
      <w:bookmarkStart w:id="739" w:name="_Toc240448903"/>
      <w:bookmarkStart w:id="740" w:name="_Toc236539291"/>
      <w:bookmarkStart w:id="741" w:name="_Toc272327670"/>
      <w:bookmarkStart w:id="742" w:name="_Toc269219211"/>
      <w:r>
        <w:rPr>
          <w:rFonts w:hint="eastAsia" w:ascii="宋体" w:hAnsi="宋体"/>
          <w:sz w:val="24"/>
        </w:rPr>
        <w:t>在</w:t>
      </w:r>
      <w:r>
        <w:rPr>
          <w:rFonts w:hint="eastAsia" w:ascii="宋体" w:hAnsi="宋体"/>
          <w:sz w:val="24"/>
          <w:u w:val="single"/>
        </w:rPr>
        <w:t xml:space="preserve"> （投标项目名称）</w:t>
      </w:r>
      <w:r>
        <w:rPr>
          <w:rFonts w:hint="eastAsia" w:ascii="宋体" w:hAnsi="宋体"/>
          <w:sz w:val="24"/>
        </w:rPr>
        <w:t>招标活动中，我公司保证做到：</w:t>
      </w:r>
      <w:bookmarkEnd w:id="736"/>
      <w:bookmarkEnd w:id="737"/>
      <w:bookmarkEnd w:id="738"/>
      <w:bookmarkEnd w:id="739"/>
      <w:bookmarkEnd w:id="740"/>
      <w:bookmarkEnd w:id="741"/>
      <w:bookmarkEnd w:id="742"/>
    </w:p>
    <w:p>
      <w:pPr>
        <w:spacing w:line="360" w:lineRule="auto"/>
        <w:ind w:firstLine="480" w:firstLineChars="200"/>
        <w:rPr>
          <w:rFonts w:ascii="宋体" w:hAnsi="宋体"/>
          <w:sz w:val="24"/>
        </w:rPr>
      </w:pPr>
      <w:bookmarkStart w:id="743" w:name="_Toc272327671"/>
      <w:bookmarkStart w:id="744" w:name="_Toc269219212"/>
      <w:bookmarkStart w:id="745" w:name="_Toc240448904"/>
      <w:bookmarkStart w:id="746" w:name="_Toc236539353"/>
      <w:bookmarkStart w:id="747" w:name="_Toc236539292"/>
      <w:bookmarkStart w:id="748" w:name="_Toc279504251"/>
      <w:bookmarkStart w:id="749" w:name="_Toc280882173"/>
      <w:r>
        <w:rPr>
          <w:rFonts w:hint="eastAsia" w:ascii="宋体" w:hAnsi="宋体"/>
          <w:sz w:val="24"/>
        </w:rPr>
        <w:t>一、公平竞争参加本次招标活动。</w:t>
      </w:r>
      <w:bookmarkEnd w:id="743"/>
      <w:bookmarkEnd w:id="744"/>
      <w:bookmarkEnd w:id="745"/>
      <w:bookmarkEnd w:id="746"/>
      <w:bookmarkEnd w:id="747"/>
      <w:bookmarkEnd w:id="748"/>
      <w:bookmarkEnd w:id="749"/>
    </w:p>
    <w:p>
      <w:pPr>
        <w:spacing w:line="360" w:lineRule="auto"/>
        <w:ind w:firstLine="480" w:firstLineChars="200"/>
        <w:rPr>
          <w:rFonts w:ascii="宋体" w:hAnsi="宋体"/>
          <w:sz w:val="24"/>
        </w:rPr>
      </w:pPr>
      <w:bookmarkStart w:id="750" w:name="_Toc240448905"/>
      <w:bookmarkStart w:id="751" w:name="_Toc279504252"/>
      <w:bookmarkStart w:id="752" w:name="_Toc269219213"/>
      <w:bookmarkStart w:id="753" w:name="_Toc236539293"/>
      <w:bookmarkStart w:id="754" w:name="_Toc272327672"/>
      <w:bookmarkStart w:id="755" w:name="_Toc236539354"/>
      <w:bookmarkStart w:id="756" w:name="_Toc280882174"/>
      <w:r>
        <w:rPr>
          <w:rFonts w:hint="eastAsia" w:ascii="宋体" w:hAnsi="宋体"/>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750"/>
      <w:bookmarkEnd w:id="751"/>
      <w:bookmarkEnd w:id="752"/>
      <w:bookmarkEnd w:id="753"/>
      <w:bookmarkEnd w:id="754"/>
      <w:bookmarkEnd w:id="755"/>
      <w:bookmarkEnd w:id="756"/>
    </w:p>
    <w:p>
      <w:pPr>
        <w:spacing w:line="360" w:lineRule="auto"/>
        <w:ind w:firstLine="480" w:firstLineChars="200"/>
        <w:rPr>
          <w:rFonts w:ascii="宋体" w:hAnsi="宋体"/>
          <w:sz w:val="24"/>
        </w:rPr>
      </w:pPr>
      <w:bookmarkStart w:id="757" w:name="_Toc272327673"/>
      <w:bookmarkStart w:id="758" w:name="_Toc236539294"/>
      <w:bookmarkStart w:id="759" w:name="_Toc279504253"/>
      <w:bookmarkStart w:id="760" w:name="_Toc240448906"/>
      <w:bookmarkStart w:id="761" w:name="_Toc280882175"/>
      <w:bookmarkStart w:id="762" w:name="_Toc236539355"/>
      <w:bookmarkStart w:id="763" w:name="_Toc269219214"/>
      <w:r>
        <w:rPr>
          <w:rFonts w:hint="eastAsia" w:ascii="宋体" w:hAnsi="宋体"/>
          <w:sz w:val="24"/>
        </w:rPr>
        <w:t>三、若出现上述行为，我公司及参与投标的工作人员愿意接受按照国家法律法规等有关规定给予的处罚。</w:t>
      </w:r>
      <w:bookmarkEnd w:id="757"/>
      <w:bookmarkEnd w:id="758"/>
      <w:bookmarkEnd w:id="759"/>
      <w:bookmarkEnd w:id="760"/>
      <w:bookmarkEnd w:id="761"/>
      <w:bookmarkEnd w:id="762"/>
      <w:bookmarkEnd w:id="763"/>
    </w:p>
    <w:p>
      <w:pPr>
        <w:spacing w:line="360" w:lineRule="auto"/>
        <w:rPr>
          <w:rFonts w:ascii="宋体" w:hAnsi="宋体"/>
          <w:sz w:val="24"/>
        </w:rPr>
      </w:pPr>
      <w:bookmarkStart w:id="764" w:name="_Toc236539356"/>
      <w:bookmarkStart w:id="765" w:name="_Toc272327674"/>
      <w:bookmarkStart w:id="766" w:name="_Toc269219215"/>
      <w:bookmarkStart w:id="767" w:name="_Toc240448907"/>
      <w:bookmarkStart w:id="768" w:name="_Toc236539295"/>
      <w:bookmarkStart w:id="769" w:name="_Toc280882176"/>
      <w:bookmarkStart w:id="770" w:name="_Toc279504254"/>
    </w:p>
    <w:p>
      <w:pPr>
        <w:spacing w:line="360" w:lineRule="auto"/>
        <w:rPr>
          <w:rFonts w:ascii="宋体" w:hAnsi="宋体"/>
          <w:sz w:val="24"/>
        </w:rPr>
      </w:pPr>
    </w:p>
    <w:bookmarkEnd w:id="764"/>
    <w:bookmarkEnd w:id="765"/>
    <w:bookmarkEnd w:id="766"/>
    <w:bookmarkEnd w:id="767"/>
    <w:bookmarkEnd w:id="768"/>
    <w:bookmarkEnd w:id="769"/>
    <w:bookmarkEnd w:id="770"/>
    <w:p>
      <w:pPr>
        <w:pStyle w:val="9"/>
        <w:kinsoku w:val="0"/>
        <w:overflowPunct w:val="0"/>
        <w:snapToGrid w:val="0"/>
        <w:ind w:right="95" w:firstLine="3360" w:firstLineChars="1400"/>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9"/>
        <w:kinsoku w:val="0"/>
        <w:overflowPunct w:val="0"/>
        <w:snapToGrid w:val="0"/>
        <w:ind w:right="95" w:firstLine="3304" w:firstLineChars="14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9"/>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line="360" w:lineRule="auto"/>
        <w:rPr>
          <w:rFonts w:ascii="宋体" w:hAnsi="宋体"/>
          <w:sz w:val="24"/>
        </w:rPr>
      </w:pPr>
    </w:p>
    <w:p>
      <w:pPr>
        <w:autoSpaceDE w:val="0"/>
        <w:autoSpaceDN w:val="0"/>
        <w:adjustRightInd w:val="0"/>
        <w:spacing w:line="360" w:lineRule="auto"/>
        <w:rPr>
          <w:rFonts w:ascii="宋体" w:hAnsi="宋体"/>
          <w:b/>
          <w:kern w:val="0"/>
          <w:sz w:val="24"/>
        </w:rPr>
      </w:pPr>
    </w:p>
    <w:p>
      <w:pPr>
        <w:spacing w:line="360" w:lineRule="auto"/>
        <w:jc w:val="center"/>
        <w:outlineLvl w:val="1"/>
        <w:rPr>
          <w:rFonts w:ascii="宋体" w:hAnsi="宋体"/>
          <w:b/>
          <w:sz w:val="24"/>
        </w:rPr>
      </w:pPr>
      <w:r>
        <w:rPr>
          <w:rFonts w:ascii="宋体" w:hAnsi="宋体"/>
          <w:sz w:val="24"/>
        </w:rPr>
        <w:br w:type="page"/>
      </w:r>
      <w:bookmarkStart w:id="771" w:name="_Toc44924423"/>
      <w:bookmarkStart w:id="772" w:name="_Toc16089991"/>
      <w:bookmarkStart w:id="773" w:name="_Toc482378993"/>
      <w:bookmarkStart w:id="774" w:name="_Toc482379086"/>
      <w:bookmarkStart w:id="775" w:name="_Toc28910"/>
      <w:bookmarkStart w:id="776" w:name="_Toc16089933"/>
      <w:bookmarkStart w:id="777" w:name="_Toc6546"/>
      <w:bookmarkStart w:id="778" w:name="_Toc5833"/>
      <w:bookmarkStart w:id="779" w:name="_Toc15912372"/>
      <w:r>
        <w:rPr>
          <w:rFonts w:hint="eastAsia" w:ascii="宋体" w:hAnsi="宋体"/>
          <w:b/>
          <w:sz w:val="24"/>
        </w:rPr>
        <w:t>十、参加政府采购活动前3年内在经营活动中没有重大违法记录的书面声明</w:t>
      </w:r>
      <w:bookmarkEnd w:id="771"/>
      <w:bookmarkEnd w:id="772"/>
      <w:bookmarkEnd w:id="773"/>
      <w:bookmarkEnd w:id="774"/>
      <w:bookmarkEnd w:id="775"/>
      <w:bookmarkEnd w:id="776"/>
      <w:bookmarkEnd w:id="777"/>
      <w:bookmarkEnd w:id="778"/>
      <w:bookmarkEnd w:id="779"/>
    </w:p>
    <w:p>
      <w:pPr>
        <w:spacing w:line="360" w:lineRule="auto"/>
        <w:rPr>
          <w:rFonts w:ascii="宋体" w:hAnsi="宋体"/>
          <w:sz w:val="24"/>
        </w:rPr>
      </w:pPr>
    </w:p>
    <w:p>
      <w:pPr>
        <w:spacing w:line="500" w:lineRule="exact"/>
        <w:ind w:firstLine="480" w:firstLineChars="200"/>
        <w:rPr>
          <w:rFonts w:ascii="宋体" w:hAnsi="宋体"/>
          <w:sz w:val="24"/>
        </w:rPr>
      </w:pPr>
      <w:r>
        <w:rPr>
          <w:rFonts w:hint="eastAsia" w:ascii="宋体" w:hAnsi="宋体"/>
          <w:sz w:val="24"/>
        </w:rPr>
        <w:t>为进一步规范政府采购行为，提供更加优质的服务，我公司郑重做出如下声明（包括但不仅限于以下）：</w:t>
      </w:r>
    </w:p>
    <w:p>
      <w:pPr>
        <w:autoSpaceDE w:val="0"/>
        <w:autoSpaceDN w:val="0"/>
        <w:adjustRightInd w:val="0"/>
        <w:spacing w:line="360" w:lineRule="auto"/>
        <w:ind w:firstLine="480" w:firstLineChars="200"/>
        <w:rPr>
          <w:rFonts w:ascii="宋体" w:hAnsi="宋体"/>
          <w:sz w:val="24"/>
        </w:rPr>
      </w:pPr>
      <w:r>
        <w:rPr>
          <w:rFonts w:hint="eastAsia" w:ascii="宋体" w:hAnsi="宋体"/>
          <w:sz w:val="24"/>
        </w:rPr>
        <w:t>参加政府采购活动前3年内在经营活动中没有重大违法记录。</w:t>
      </w:r>
    </w:p>
    <w:p>
      <w:pPr>
        <w:autoSpaceDE w:val="0"/>
        <w:autoSpaceDN w:val="0"/>
        <w:adjustRightInd w:val="0"/>
        <w:spacing w:line="360" w:lineRule="auto"/>
        <w:rPr>
          <w:rFonts w:ascii="宋体" w:hAnsi="宋体"/>
          <w:bCs/>
          <w:spacing w:val="10"/>
          <w:kern w:val="0"/>
          <w:sz w:val="24"/>
        </w:rPr>
      </w:pPr>
    </w:p>
    <w:p>
      <w:pPr>
        <w:autoSpaceDE w:val="0"/>
        <w:autoSpaceDN w:val="0"/>
        <w:adjustRightInd w:val="0"/>
        <w:spacing w:line="360" w:lineRule="auto"/>
        <w:rPr>
          <w:rFonts w:ascii="宋体" w:hAnsi="宋体"/>
          <w:bCs/>
          <w:spacing w:val="10"/>
          <w:kern w:val="0"/>
          <w:sz w:val="24"/>
        </w:rPr>
      </w:pPr>
    </w:p>
    <w:p>
      <w:pPr>
        <w:autoSpaceDE w:val="0"/>
        <w:autoSpaceDN w:val="0"/>
        <w:adjustRightInd w:val="0"/>
        <w:spacing w:line="360" w:lineRule="auto"/>
        <w:rPr>
          <w:rFonts w:ascii="宋体" w:hAnsi="宋体"/>
          <w:bCs/>
          <w:spacing w:val="10"/>
          <w:kern w:val="0"/>
          <w:sz w:val="24"/>
        </w:rPr>
      </w:pPr>
    </w:p>
    <w:p>
      <w:pPr>
        <w:spacing w:line="360" w:lineRule="auto"/>
        <w:ind w:firstLine="556"/>
        <w:rPr>
          <w:rFonts w:ascii="宋体" w:hAnsi="宋体"/>
          <w:sz w:val="24"/>
        </w:rPr>
      </w:pPr>
    </w:p>
    <w:p>
      <w:pPr>
        <w:pStyle w:val="9"/>
        <w:kinsoku w:val="0"/>
        <w:overflowPunct w:val="0"/>
        <w:snapToGrid w:val="0"/>
        <w:ind w:right="95" w:firstLine="3360" w:firstLineChars="1400"/>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9"/>
        <w:kinsoku w:val="0"/>
        <w:overflowPunct w:val="0"/>
        <w:snapToGrid w:val="0"/>
        <w:ind w:right="95" w:firstLine="3304" w:firstLineChars="14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9"/>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line="360" w:lineRule="auto"/>
        <w:rPr>
          <w:rFonts w:ascii="宋体" w:hAnsi="宋体"/>
          <w:sz w:val="24"/>
        </w:rPr>
      </w:pPr>
    </w:p>
    <w:p>
      <w:pPr>
        <w:autoSpaceDE w:val="0"/>
        <w:autoSpaceDN w:val="0"/>
        <w:adjustRightInd w:val="0"/>
        <w:spacing w:line="360" w:lineRule="auto"/>
        <w:rPr>
          <w:rFonts w:ascii="宋体" w:hAnsi="宋体"/>
          <w:b/>
          <w:kern w:val="0"/>
          <w:sz w:val="24"/>
        </w:rPr>
      </w:pPr>
    </w:p>
    <w:p>
      <w:pPr>
        <w:autoSpaceDE w:val="0"/>
        <w:autoSpaceDN w:val="0"/>
        <w:adjustRightInd w:val="0"/>
        <w:spacing w:line="360" w:lineRule="auto"/>
        <w:rPr>
          <w:rFonts w:ascii="宋体" w:hAnsi="宋体"/>
          <w:sz w:val="24"/>
        </w:rPr>
      </w:pPr>
      <w:r>
        <w:rPr>
          <w:rFonts w:ascii="宋体" w:hAnsi="宋体"/>
          <w:b/>
          <w:kern w:val="0"/>
          <w:sz w:val="24"/>
        </w:rPr>
        <w:br w:type="page"/>
      </w:r>
    </w:p>
    <w:p>
      <w:pPr>
        <w:spacing w:line="360" w:lineRule="auto"/>
        <w:jc w:val="center"/>
        <w:outlineLvl w:val="1"/>
        <w:rPr>
          <w:rFonts w:ascii="宋体" w:hAnsi="宋体"/>
          <w:b/>
          <w:sz w:val="24"/>
        </w:rPr>
      </w:pPr>
      <w:bookmarkStart w:id="780" w:name="_Toc8148"/>
      <w:bookmarkStart w:id="781" w:name="_Toc18083"/>
      <w:bookmarkStart w:id="782" w:name="_Toc28964"/>
      <w:r>
        <w:rPr>
          <w:rFonts w:hint="eastAsia" w:ascii="宋体" w:hAnsi="宋体"/>
          <w:b/>
          <w:sz w:val="24"/>
        </w:rPr>
        <w:t>十一、资格证明文件</w:t>
      </w:r>
      <w:bookmarkEnd w:id="780"/>
      <w:bookmarkEnd w:id="781"/>
      <w:bookmarkEnd w:id="782"/>
      <w:r>
        <w:rPr>
          <w:rFonts w:hint="eastAsia" w:ascii="宋体" w:hAnsi="宋体"/>
          <w:b/>
          <w:sz w:val="24"/>
        </w:rPr>
        <w:t>及其他需要资料</w:t>
      </w:r>
    </w:p>
    <w:p>
      <w:pPr>
        <w:pStyle w:val="5"/>
        <w:jc w:val="center"/>
        <w:rPr>
          <w:rFonts w:hint="default" w:cs="宋体"/>
          <w:b/>
          <w:bCs/>
          <w:color w:val="000000"/>
          <w:sz w:val="30"/>
        </w:rPr>
      </w:pPr>
      <w:r>
        <w:rPr>
          <w:sz w:val="24"/>
        </w:rPr>
        <w:br w:type="page"/>
      </w:r>
      <w:bookmarkStart w:id="783" w:name="_Toc25954"/>
      <w:bookmarkStart w:id="784" w:name="_Toc4655"/>
      <w:r>
        <w:rPr>
          <w:b/>
          <w:sz w:val="24"/>
        </w:rPr>
        <w:t>十二、</w:t>
      </w:r>
      <w:r>
        <w:rPr>
          <w:rFonts w:cs="宋体"/>
          <w:b/>
          <w:bCs/>
          <w:color w:val="000000"/>
          <w:sz w:val="30"/>
        </w:rPr>
        <w:t>投标人及投标产品适用政府采购政策情况表</w:t>
      </w:r>
    </w:p>
    <w:tbl>
      <w:tblPr>
        <w:tblStyle w:val="2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643"/>
        <w:gridCol w:w="2025"/>
        <w:gridCol w:w="1734"/>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156" w:after="156"/>
              <w:jc w:val="center"/>
              <w:rPr>
                <w:rFonts w:ascii="宋体" w:hAnsi="宋体"/>
                <w:sz w:val="24"/>
              </w:rPr>
            </w:pPr>
            <w:r>
              <w:rPr>
                <w:rFonts w:hint="eastAsia" w:ascii="宋体" w:hAnsi="宋体"/>
                <w:sz w:val="24"/>
              </w:rPr>
              <w:t>监狱企业、残疾人福利性单位、中小企业扶持政策</w:t>
            </w:r>
          </w:p>
        </w:tc>
        <w:tc>
          <w:tcPr>
            <w:tcW w:w="8286"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40" w:after="40" w:line="360" w:lineRule="auto"/>
              <w:rPr>
                <w:rFonts w:ascii="宋体" w:hAnsi="宋体"/>
                <w:sz w:val="24"/>
              </w:rPr>
            </w:pPr>
            <w:r>
              <w:rPr>
                <w:rFonts w:hint="eastAsia" w:ascii="宋体" w:hAnsi="宋体"/>
                <w:sz w:val="24"/>
              </w:rPr>
              <w:t>如属所列情形的，请在括号内打“√”：</w:t>
            </w:r>
          </w:p>
          <w:p>
            <w:pPr>
              <w:pStyle w:val="53"/>
              <w:widowControl/>
              <w:spacing w:line="360" w:lineRule="auto"/>
              <w:rPr>
                <w:rFonts w:ascii="宋体" w:hAnsi="宋体"/>
                <w:sz w:val="24"/>
              </w:rPr>
            </w:pPr>
            <w:r>
              <w:rPr>
                <w:rFonts w:hint="eastAsia" w:ascii="宋体" w:hAnsi="宋体"/>
                <w:sz w:val="24"/>
              </w:rPr>
              <w:t>（  ）投标人为监狱企业。</w:t>
            </w:r>
          </w:p>
          <w:p>
            <w:pPr>
              <w:pStyle w:val="53"/>
              <w:widowControl/>
              <w:spacing w:line="360" w:lineRule="auto"/>
              <w:rPr>
                <w:rFonts w:ascii="宋体" w:hAnsi="宋体"/>
                <w:sz w:val="24"/>
              </w:rPr>
            </w:pPr>
            <w:r>
              <w:rPr>
                <w:rFonts w:hint="eastAsia" w:ascii="宋体" w:hAnsi="宋体"/>
                <w:sz w:val="24"/>
              </w:rPr>
              <w:t>（  ）投标人为残疾人福利性单位。</w:t>
            </w:r>
          </w:p>
          <w:p>
            <w:pPr>
              <w:pStyle w:val="53"/>
              <w:widowControl/>
              <w:spacing w:line="360" w:lineRule="auto"/>
              <w:rPr>
                <w:rFonts w:ascii="宋体" w:hAnsi="宋体"/>
                <w:sz w:val="24"/>
              </w:rPr>
            </w:pPr>
            <w:r>
              <w:rPr>
                <w:rFonts w:hint="eastAsia" w:ascii="宋体" w:hAnsi="宋体"/>
                <w:sz w:val="24"/>
              </w:rPr>
              <w:t>（  ）小型、微型企业投标且提供本企业制造的产品。</w:t>
            </w:r>
          </w:p>
          <w:p>
            <w:pPr>
              <w:pStyle w:val="53"/>
              <w:widowControl/>
              <w:tabs>
                <w:tab w:val="left" w:pos="1260"/>
              </w:tabs>
              <w:spacing w:before="40" w:after="40" w:line="360" w:lineRule="auto"/>
              <w:rPr>
                <w:rFonts w:ascii="宋体" w:hAnsi="宋体"/>
                <w:sz w:val="24"/>
              </w:rPr>
            </w:pPr>
            <w:r>
              <w:rPr>
                <w:rFonts w:hint="eastAsia" w:ascii="宋体" w:hAnsi="宋体"/>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0"/>
              </w:rPr>
            </w:pP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40" w:after="40"/>
              <w:jc w:val="center"/>
              <w:rPr>
                <w:rFonts w:ascii="宋体" w:hAnsi="宋体"/>
                <w:sz w:val="24"/>
              </w:rPr>
            </w:pPr>
            <w:r>
              <w:rPr>
                <w:rFonts w:hint="eastAsia" w:ascii="宋体" w:hAnsi="宋体"/>
                <w:sz w:val="24"/>
              </w:rPr>
              <w:t>产品名称（品牌、型号）</w:t>
            </w: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40" w:after="40"/>
              <w:jc w:val="center"/>
              <w:rPr>
                <w:rFonts w:ascii="宋体" w:hAnsi="宋体"/>
                <w:sz w:val="24"/>
              </w:rPr>
            </w:pPr>
            <w:r>
              <w:rPr>
                <w:rFonts w:hint="eastAsia" w:ascii="宋体" w:hAnsi="宋体"/>
                <w:sz w:val="24"/>
              </w:rPr>
              <w:t>制造商</w:t>
            </w: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40" w:after="40"/>
              <w:jc w:val="center"/>
              <w:rPr>
                <w:rFonts w:ascii="宋体" w:hAnsi="宋体"/>
                <w:sz w:val="24"/>
              </w:rPr>
            </w:pPr>
            <w:r>
              <w:rPr>
                <w:rFonts w:hint="eastAsia" w:ascii="宋体" w:hAnsi="宋体"/>
                <w:sz w:val="24"/>
              </w:rPr>
              <w:t>制造商</w:t>
            </w:r>
          </w:p>
          <w:p>
            <w:pPr>
              <w:pStyle w:val="53"/>
              <w:widowControl/>
              <w:tabs>
                <w:tab w:val="left" w:pos="1260"/>
              </w:tabs>
              <w:spacing w:before="40" w:after="40"/>
              <w:jc w:val="center"/>
              <w:rPr>
                <w:rFonts w:ascii="宋体" w:hAnsi="宋体"/>
                <w:sz w:val="24"/>
              </w:rPr>
            </w:pPr>
            <w:r>
              <w:rPr>
                <w:rFonts w:hint="eastAsia" w:ascii="宋体" w:hAnsi="宋体"/>
                <w:sz w:val="24"/>
              </w:rPr>
              <w:t>企业类型</w:t>
            </w: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40" w:after="40"/>
              <w:jc w:val="center"/>
              <w:rPr>
                <w:rFonts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0"/>
              </w:rPr>
            </w:pP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40" w:after="40"/>
              <w:jc w:val="center"/>
              <w:rPr>
                <w:rFonts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40" w:after="40"/>
              <w:jc w:val="center"/>
              <w:rPr>
                <w:rFonts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40" w:after="40"/>
              <w:jc w:val="center"/>
              <w:rPr>
                <w:rFonts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40" w:after="4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0"/>
              </w:rPr>
            </w:pPr>
          </w:p>
        </w:tc>
        <w:tc>
          <w:tcPr>
            <w:tcW w:w="640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40" w:after="40"/>
              <w:jc w:val="center"/>
              <w:rPr>
                <w:rFonts w:ascii="宋体" w:hAnsi="宋体"/>
                <w:sz w:val="24"/>
              </w:rPr>
            </w:pPr>
            <w:r>
              <w:rPr>
                <w:rFonts w:hint="eastAsia" w:ascii="宋体" w:hAnsi="宋体"/>
                <w:sz w:val="24"/>
              </w:rPr>
              <w:t>小型、微型企业产品金额合计</w:t>
            </w: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40" w:after="4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156" w:after="156"/>
              <w:jc w:val="center"/>
              <w:rPr>
                <w:rFonts w:ascii="宋体" w:hAnsi="宋体"/>
              </w:rPr>
            </w:pPr>
            <w:r>
              <w:rPr>
                <w:rFonts w:hint="eastAsia" w:ascii="宋体" w:hAnsi="宋体"/>
                <w:sz w:val="24"/>
              </w:rPr>
              <w:t>节能产品</w:t>
            </w: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40" w:after="40"/>
              <w:jc w:val="center"/>
              <w:rPr>
                <w:rFonts w:ascii="宋体" w:hAnsi="宋体"/>
                <w:sz w:val="24"/>
              </w:rPr>
            </w:pPr>
            <w:r>
              <w:rPr>
                <w:rFonts w:hint="eastAsia" w:ascii="宋体" w:hAnsi="宋体"/>
                <w:sz w:val="24"/>
              </w:rPr>
              <w:t>产品名称（品牌、型号）</w:t>
            </w: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40" w:after="40"/>
              <w:jc w:val="center"/>
              <w:rPr>
                <w:rFonts w:ascii="宋体" w:hAnsi="宋体"/>
                <w:sz w:val="24"/>
              </w:rPr>
            </w:pPr>
            <w:r>
              <w:rPr>
                <w:rFonts w:hint="eastAsia" w:ascii="宋体" w:hAnsi="宋体"/>
                <w:sz w:val="24"/>
              </w:rPr>
              <w:t>制造商</w:t>
            </w: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40" w:after="40"/>
              <w:jc w:val="center"/>
              <w:rPr>
                <w:rFonts w:ascii="宋体" w:hAnsi="宋体"/>
                <w:sz w:val="24"/>
              </w:rPr>
            </w:pPr>
            <w:r>
              <w:rPr>
                <w:rFonts w:hint="eastAsia" w:ascii="宋体" w:hAnsi="宋体"/>
                <w:sz w:val="24"/>
              </w:rPr>
              <w:t>认证证书编号</w:t>
            </w: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40" w:after="40"/>
              <w:jc w:val="center"/>
              <w:rPr>
                <w:rFonts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0"/>
              </w:rPr>
            </w:pP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156" w:after="156"/>
              <w:jc w:val="center"/>
              <w:rPr>
                <w:rFonts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156" w:after="156"/>
              <w:jc w:val="center"/>
              <w:rPr>
                <w:rFonts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156" w:after="156"/>
              <w:jc w:val="center"/>
              <w:rPr>
                <w:rFonts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156" w:after="156"/>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0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156" w:after="156"/>
              <w:jc w:val="center"/>
              <w:rPr>
                <w:rFonts w:ascii="宋体" w:hAnsi="宋体"/>
                <w:sz w:val="24"/>
              </w:rPr>
            </w:pPr>
            <w:r>
              <w:rPr>
                <w:rFonts w:hint="eastAsia" w:ascii="宋体" w:hAnsi="宋体"/>
                <w:sz w:val="24"/>
              </w:rPr>
              <w:t>环境标志产品</w:t>
            </w: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40" w:after="40"/>
              <w:jc w:val="center"/>
              <w:rPr>
                <w:rFonts w:ascii="宋体" w:hAnsi="宋体"/>
                <w:sz w:val="24"/>
              </w:rPr>
            </w:pPr>
            <w:r>
              <w:rPr>
                <w:rFonts w:hint="eastAsia" w:ascii="宋体" w:hAnsi="宋体"/>
                <w:sz w:val="24"/>
              </w:rPr>
              <w:t>产品名称（品牌、型号）</w:t>
            </w: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40" w:after="40"/>
              <w:jc w:val="center"/>
              <w:rPr>
                <w:rFonts w:ascii="宋体" w:hAnsi="宋体"/>
                <w:sz w:val="24"/>
              </w:rPr>
            </w:pPr>
            <w:r>
              <w:rPr>
                <w:rFonts w:hint="eastAsia" w:ascii="宋体" w:hAnsi="宋体"/>
                <w:sz w:val="24"/>
              </w:rPr>
              <w:t>制造商</w:t>
            </w: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40" w:after="40"/>
              <w:jc w:val="center"/>
              <w:rPr>
                <w:rFonts w:ascii="宋体" w:hAnsi="宋体"/>
                <w:sz w:val="24"/>
              </w:rPr>
            </w:pPr>
            <w:r>
              <w:rPr>
                <w:rFonts w:hint="eastAsia" w:ascii="宋体" w:hAnsi="宋体"/>
                <w:sz w:val="24"/>
              </w:rPr>
              <w:t>认证证书编号</w:t>
            </w: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40" w:after="40"/>
              <w:jc w:val="center"/>
              <w:rPr>
                <w:rFonts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0"/>
              </w:rPr>
            </w:pP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156" w:after="156"/>
              <w:jc w:val="center"/>
              <w:rPr>
                <w:rFonts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156" w:after="156"/>
              <w:jc w:val="center"/>
              <w:rPr>
                <w:rFonts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156" w:after="156"/>
              <w:jc w:val="center"/>
              <w:rPr>
                <w:rFonts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156" w:after="156"/>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0"/>
              </w:rPr>
            </w:pP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156" w:after="156"/>
              <w:jc w:val="center"/>
              <w:rPr>
                <w:rFonts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156" w:after="156"/>
              <w:jc w:val="center"/>
              <w:rPr>
                <w:rFonts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156" w:after="156"/>
              <w:jc w:val="center"/>
              <w:rPr>
                <w:rFonts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53"/>
              <w:widowControl/>
              <w:tabs>
                <w:tab w:val="left" w:pos="1260"/>
              </w:tabs>
              <w:spacing w:before="156" w:after="156"/>
              <w:jc w:val="center"/>
              <w:rPr>
                <w:rFonts w:ascii="宋体" w:hAnsi="宋体"/>
                <w:sz w:val="24"/>
              </w:rPr>
            </w:pPr>
          </w:p>
        </w:tc>
      </w:tr>
    </w:tbl>
    <w:p>
      <w:pPr>
        <w:pStyle w:val="53"/>
        <w:widowControl/>
        <w:spacing w:line="460" w:lineRule="exact"/>
        <w:ind w:left="821" w:hanging="820" w:hangingChars="342"/>
        <w:rPr>
          <w:rFonts w:ascii="宋体" w:hAnsi="宋体"/>
          <w:sz w:val="24"/>
        </w:rPr>
      </w:pPr>
      <w:r>
        <w:rPr>
          <w:rFonts w:hint="eastAsia" w:ascii="宋体" w:hAnsi="宋体"/>
          <w:sz w:val="24"/>
        </w:rPr>
        <w:t>填报要求：</w:t>
      </w:r>
    </w:p>
    <w:p>
      <w:pPr>
        <w:pStyle w:val="53"/>
        <w:widowControl/>
        <w:numPr>
          <w:ilvl w:val="0"/>
          <w:numId w:val="19"/>
        </w:numPr>
        <w:tabs>
          <w:tab w:val="left" w:pos="360"/>
        </w:tabs>
        <w:spacing w:line="360" w:lineRule="auto"/>
        <w:ind w:left="360" w:right="84" w:rightChars="40" w:hanging="360"/>
        <w:jc w:val="left"/>
        <w:rPr>
          <w:rFonts w:ascii="宋体" w:hAnsi="宋体"/>
          <w:sz w:val="24"/>
        </w:rPr>
      </w:pPr>
      <w:r>
        <w:rPr>
          <w:rFonts w:hint="eastAsia" w:ascii="宋体" w:hAnsi="宋体"/>
          <w:sz w:val="24"/>
        </w:rPr>
        <w:t>本表的产品名称、规格型号和注册商标、金额应与《报价明细表》一致。</w:t>
      </w:r>
    </w:p>
    <w:p>
      <w:pPr>
        <w:pStyle w:val="53"/>
        <w:widowControl/>
        <w:numPr>
          <w:ilvl w:val="0"/>
          <w:numId w:val="19"/>
        </w:numPr>
        <w:tabs>
          <w:tab w:val="left" w:pos="360"/>
        </w:tabs>
        <w:spacing w:line="360" w:lineRule="auto"/>
        <w:ind w:left="360" w:right="84" w:rightChars="40" w:hanging="360"/>
        <w:jc w:val="left"/>
        <w:rPr>
          <w:rFonts w:ascii="宋体" w:hAnsi="宋体"/>
          <w:sz w:val="24"/>
        </w:rPr>
      </w:pPr>
      <w:r>
        <w:rPr>
          <w:rFonts w:hint="eastAsia" w:ascii="宋体" w:hAnsi="宋体"/>
          <w:sz w:val="24"/>
        </w:rPr>
        <w:t>制造商为监狱企业、小型或微型企业时才需要填“制造商企业类型”栏，填写内容为“小型”或“微型”。</w:t>
      </w:r>
    </w:p>
    <w:p>
      <w:pPr>
        <w:pStyle w:val="53"/>
        <w:widowControl/>
        <w:numPr>
          <w:ilvl w:val="0"/>
          <w:numId w:val="19"/>
        </w:numPr>
        <w:tabs>
          <w:tab w:val="left" w:pos="360"/>
        </w:tabs>
        <w:spacing w:line="360" w:lineRule="auto"/>
        <w:ind w:left="360" w:right="84" w:rightChars="40" w:hanging="360"/>
        <w:jc w:val="left"/>
        <w:rPr>
          <w:rFonts w:ascii="宋体" w:hAnsi="宋体"/>
          <w:sz w:val="24"/>
        </w:rPr>
      </w:pPr>
      <w:r>
        <w:rPr>
          <w:rFonts w:hint="eastAsia" w:ascii="宋体" w:hAnsi="宋体"/>
          <w:sz w:val="24"/>
        </w:rPr>
        <w:t>节能产品是指财政部和国家发展改革委员会公布的最新《节能产品政府采购清单》中的产品；环境标志产品是指财政部、环境保护部发布的最新《环境标志产品政府采购清单》中的产品。请提供《清单》中相关内容页（并对相关内容作圈记）。</w:t>
      </w:r>
    </w:p>
    <w:p>
      <w:pPr>
        <w:pStyle w:val="53"/>
        <w:widowControl/>
        <w:numPr>
          <w:ilvl w:val="0"/>
          <w:numId w:val="19"/>
        </w:numPr>
        <w:tabs>
          <w:tab w:val="left" w:pos="360"/>
        </w:tabs>
        <w:spacing w:line="360" w:lineRule="auto"/>
        <w:ind w:left="360" w:right="84" w:rightChars="40" w:hanging="360"/>
        <w:jc w:val="left"/>
        <w:rPr>
          <w:rFonts w:ascii="宋体" w:hAnsi="宋体"/>
          <w:sz w:val="24"/>
        </w:rPr>
      </w:pPr>
      <w:r>
        <w:rPr>
          <w:rFonts w:hint="eastAsia" w:ascii="宋体" w:hAnsi="宋体"/>
          <w:sz w:val="24"/>
        </w:rPr>
        <w:t>请投标人正确填写本表，所填内容将作为评审的依据。其内容或数据应与对应的证明资料相符。</w:t>
      </w:r>
    </w:p>
    <w:p>
      <w:pPr>
        <w:pStyle w:val="53"/>
        <w:widowControl/>
        <w:numPr>
          <w:ilvl w:val="0"/>
          <w:numId w:val="19"/>
        </w:numPr>
        <w:tabs>
          <w:tab w:val="left" w:pos="360"/>
        </w:tabs>
        <w:spacing w:line="360" w:lineRule="auto"/>
        <w:ind w:left="360" w:right="84" w:rightChars="40" w:hanging="360"/>
        <w:jc w:val="left"/>
        <w:rPr>
          <w:rFonts w:ascii="宋体" w:hAnsi="宋体"/>
          <w:sz w:val="24"/>
        </w:rPr>
      </w:pPr>
      <w:r>
        <w:rPr>
          <w:rFonts w:hint="eastAsia" w:ascii="宋体" w:hAnsi="宋体"/>
          <w:sz w:val="24"/>
        </w:rPr>
        <w:t>没有相关产品可不填此表。</w:t>
      </w:r>
    </w:p>
    <w:p>
      <w:pPr>
        <w:pStyle w:val="13"/>
        <w:spacing w:line="360" w:lineRule="auto"/>
        <w:jc w:val="center"/>
        <w:outlineLvl w:val="1"/>
        <w:rPr>
          <w:rFonts w:hAnsi="宋体"/>
          <w:b/>
          <w:sz w:val="24"/>
        </w:rPr>
      </w:pPr>
    </w:p>
    <w:bookmarkEnd w:id="783"/>
    <w:bookmarkEnd w:id="784"/>
    <w:p>
      <w:pPr>
        <w:keepNext/>
        <w:keepLines/>
        <w:kinsoku w:val="0"/>
        <w:overflowPunct w:val="0"/>
        <w:spacing w:line="360" w:lineRule="auto"/>
        <w:ind w:left="7" w:hanging="7"/>
        <w:jc w:val="center"/>
        <w:outlineLvl w:val="2"/>
        <w:rPr>
          <w:rFonts w:ascii="宋体" w:hAnsi="宋体" w:cs="宋体"/>
          <w:b/>
          <w:bCs/>
          <w:sz w:val="28"/>
          <w:szCs w:val="30"/>
        </w:rPr>
      </w:pPr>
      <w:bookmarkStart w:id="785" w:name="_Toc8656"/>
      <w:r>
        <w:rPr>
          <w:rFonts w:hint="eastAsia" w:ascii="宋体" w:hAnsi="宋体" w:cs="宋体"/>
          <w:b/>
          <w:bCs/>
          <w:sz w:val="28"/>
          <w:szCs w:val="30"/>
        </w:rPr>
        <w:t>中小企业声明函</w:t>
      </w:r>
      <w:bookmarkEnd w:id="785"/>
    </w:p>
    <w:p>
      <w:pPr>
        <w:spacing w:after="120" w:line="360" w:lineRule="auto"/>
        <w:ind w:firstLine="480" w:firstLineChars="200"/>
        <w:rPr>
          <w:rFonts w:ascii="宋体" w:hAnsi="宋体" w:cs="宋体"/>
          <w:sz w:val="24"/>
        </w:rPr>
      </w:pPr>
      <w:r>
        <w:rPr>
          <w:rFonts w:ascii="宋体" w:hAnsi="宋体" w:cs="宋体"/>
          <w:sz w:val="24"/>
        </w:rPr>
        <w:t>本</w:t>
      </w:r>
      <w:r>
        <w:rPr>
          <w:rFonts w:ascii="宋体" w:hAnsi="宋体" w:cs="宋体"/>
          <w:spacing w:val="2"/>
          <w:sz w:val="24"/>
        </w:rPr>
        <w:t>公</w:t>
      </w:r>
      <w:r>
        <w:rPr>
          <w:rFonts w:ascii="宋体" w:hAnsi="宋体" w:cs="宋体"/>
          <w:spacing w:val="-6"/>
          <w:sz w:val="24"/>
        </w:rPr>
        <w:t>司</w:t>
      </w:r>
      <w:r>
        <w:rPr>
          <w:rFonts w:ascii="宋体" w:hAnsi="宋体" w:cs="宋体"/>
          <w:sz w:val="24"/>
        </w:rPr>
        <w:t>（联</w:t>
      </w:r>
      <w:r>
        <w:rPr>
          <w:rFonts w:ascii="宋体" w:hAnsi="宋体" w:cs="宋体"/>
          <w:spacing w:val="2"/>
          <w:sz w:val="24"/>
        </w:rPr>
        <w:t>合体</w:t>
      </w:r>
      <w:r>
        <w:rPr>
          <w:rFonts w:ascii="宋体" w:hAnsi="宋体" w:cs="宋体"/>
          <w:spacing w:val="-6"/>
          <w:sz w:val="24"/>
        </w:rPr>
        <w:t>）</w:t>
      </w:r>
      <w:r>
        <w:rPr>
          <w:rFonts w:ascii="宋体" w:hAnsi="宋体" w:cs="宋体"/>
          <w:sz w:val="24"/>
        </w:rPr>
        <w:t>郑</w:t>
      </w:r>
      <w:r>
        <w:rPr>
          <w:rFonts w:ascii="宋体" w:hAnsi="宋体" w:cs="宋体"/>
          <w:spacing w:val="2"/>
          <w:sz w:val="24"/>
        </w:rPr>
        <w:t>重</w:t>
      </w:r>
      <w:r>
        <w:rPr>
          <w:rFonts w:ascii="宋体" w:hAnsi="宋体" w:cs="宋体"/>
          <w:sz w:val="24"/>
        </w:rPr>
        <w:t>声</w:t>
      </w:r>
      <w:r>
        <w:rPr>
          <w:rFonts w:ascii="宋体" w:hAnsi="宋体" w:cs="宋体"/>
          <w:spacing w:val="2"/>
          <w:sz w:val="24"/>
        </w:rPr>
        <w:t>明</w:t>
      </w:r>
      <w:r>
        <w:rPr>
          <w:rFonts w:ascii="宋体" w:hAnsi="宋体" w:cs="宋体"/>
          <w:spacing w:val="-3"/>
          <w:sz w:val="24"/>
        </w:rPr>
        <w:t>，</w:t>
      </w:r>
      <w:r>
        <w:rPr>
          <w:rFonts w:ascii="宋体" w:hAnsi="宋体" w:cs="宋体"/>
          <w:sz w:val="24"/>
        </w:rPr>
        <w:t>根</w:t>
      </w:r>
      <w:r>
        <w:rPr>
          <w:rFonts w:ascii="宋体" w:hAnsi="宋体" w:cs="宋体"/>
          <w:spacing w:val="-3"/>
          <w:sz w:val="24"/>
        </w:rPr>
        <w:t>据</w:t>
      </w:r>
      <w:r>
        <w:rPr>
          <w:rFonts w:ascii="宋体" w:hAnsi="宋体" w:cs="宋体"/>
          <w:spacing w:val="2"/>
          <w:sz w:val="24"/>
        </w:rPr>
        <w:t>《</w:t>
      </w:r>
      <w:r>
        <w:rPr>
          <w:rFonts w:ascii="宋体" w:hAnsi="宋体" w:cs="宋体"/>
          <w:sz w:val="24"/>
        </w:rPr>
        <w:t>政</w:t>
      </w:r>
      <w:r>
        <w:rPr>
          <w:rFonts w:ascii="宋体" w:hAnsi="宋体" w:cs="宋体"/>
          <w:spacing w:val="2"/>
          <w:sz w:val="24"/>
        </w:rPr>
        <w:t>府采购促进中小企业发展管理办法》（财库﹝2020﹞46号）的规定，本公司（联</w:t>
      </w:r>
      <w:r>
        <w:rPr>
          <w:rFonts w:ascii="宋体" w:hAnsi="宋体" w:cs="宋体"/>
          <w:sz w:val="24"/>
        </w:rPr>
        <w:t>合体）参加</w:t>
      </w:r>
      <w:r>
        <w:rPr>
          <w:rFonts w:ascii="宋体" w:hAnsi="宋体" w:cs="宋体"/>
          <w:sz w:val="24"/>
          <w:u w:val="single"/>
        </w:rPr>
        <w:t>（单位名称）</w:t>
      </w:r>
      <w:r>
        <w:rPr>
          <w:rFonts w:ascii="宋体" w:hAnsi="宋体" w:cs="宋体"/>
          <w:sz w:val="24"/>
        </w:rPr>
        <w:t>的</w:t>
      </w:r>
      <w:r>
        <w:rPr>
          <w:rFonts w:ascii="宋体" w:hAnsi="宋体" w:cs="宋体"/>
          <w:sz w:val="24"/>
          <w:u w:val="single"/>
        </w:rPr>
        <w:t>（</w:t>
      </w:r>
      <w:r>
        <w:rPr>
          <w:rFonts w:hint="eastAsia" w:ascii="宋体" w:hAnsi="宋体" w:cs="宋体"/>
          <w:sz w:val="24"/>
          <w:u w:val="single"/>
        </w:rPr>
        <w:t>项目名称、标段</w:t>
      </w:r>
      <w:r>
        <w:rPr>
          <w:rFonts w:ascii="宋体" w:hAnsi="宋体" w:cs="宋体"/>
          <w:sz w:val="24"/>
          <w:u w:val="single"/>
        </w:rPr>
        <w:t>）</w:t>
      </w:r>
      <w:r>
        <w:rPr>
          <w:rFonts w:ascii="宋体" w:hAnsi="宋体" w:cs="宋体"/>
          <w:sz w:val="24"/>
        </w:rPr>
        <w:t>采购活动，提供的货物全部由符合政策要求的中小企业制造。相关企业（含联合体中的中小企业、签订分包意向协议的中小企业）的具体情况如下：</w:t>
      </w:r>
    </w:p>
    <w:p>
      <w:pPr>
        <w:spacing w:after="120" w:line="360" w:lineRule="auto"/>
        <w:ind w:firstLine="480" w:firstLineChars="200"/>
        <w:rPr>
          <w:rFonts w:ascii="宋体" w:hAnsi="宋体" w:cs="宋体"/>
          <w:sz w:val="24"/>
        </w:rPr>
      </w:pPr>
      <w:r>
        <w:rPr>
          <w:rFonts w:ascii="宋体" w:hAnsi="宋体" w:cs="宋体"/>
          <w:sz w:val="24"/>
        </w:rPr>
        <w:t>1.</w:t>
      </w:r>
      <w:r>
        <w:rPr>
          <w:rFonts w:ascii="宋体" w:hAnsi="宋体" w:cs="宋体"/>
          <w:sz w:val="24"/>
          <w:u w:val="single"/>
        </w:rPr>
        <w:t>（标的名称）</w:t>
      </w:r>
      <w:r>
        <w:rPr>
          <w:rFonts w:ascii="宋体" w:hAnsi="宋体" w:cs="宋体"/>
          <w:sz w:val="24"/>
        </w:rPr>
        <w:t>，属于</w:t>
      </w:r>
      <w:r>
        <w:rPr>
          <w:rFonts w:ascii="宋体" w:hAnsi="宋体" w:cs="宋体"/>
          <w:sz w:val="24"/>
          <w:u w:val="single"/>
        </w:rPr>
        <w:t>（采购文件中明确的所属行业）行业</w:t>
      </w:r>
      <w:r>
        <w:rPr>
          <w:rFonts w:ascii="宋体" w:hAnsi="宋体" w:cs="宋体"/>
          <w:sz w:val="24"/>
        </w:rPr>
        <w:t>；制造商为</w:t>
      </w:r>
      <w:r>
        <w:rPr>
          <w:rFonts w:ascii="宋体" w:hAnsi="宋体" w:cs="宋体"/>
          <w:sz w:val="24"/>
          <w:u w:val="single"/>
        </w:rPr>
        <w:t>（企业名称）</w:t>
      </w:r>
      <w:r>
        <w:rPr>
          <w:rFonts w:ascii="宋体" w:hAnsi="宋体" w:cs="宋体"/>
          <w:sz w:val="24"/>
        </w:rPr>
        <w:t>，从业人员</w:t>
      </w:r>
      <w:r>
        <w:rPr>
          <w:rFonts w:ascii="宋体" w:hAnsi="宋体" w:cs="宋体"/>
          <w:sz w:val="24"/>
          <w:u w:val="single"/>
        </w:rPr>
        <w:tab/>
      </w:r>
      <w:r>
        <w:rPr>
          <w:rFonts w:ascii="宋体" w:hAnsi="宋体" w:cs="宋体"/>
          <w:sz w:val="24"/>
        </w:rPr>
        <w:t>人，营业收入为</w:t>
      </w:r>
      <w:r>
        <w:rPr>
          <w:rFonts w:hint="eastAsia" w:ascii="宋体" w:hAnsi="宋体" w:cs="宋体"/>
          <w:sz w:val="24"/>
          <w:u w:val="single"/>
        </w:rPr>
        <w:t xml:space="preserve">      </w:t>
      </w:r>
      <w:r>
        <w:rPr>
          <w:rFonts w:ascii="宋体" w:hAnsi="宋体" w:cs="宋体"/>
          <w:sz w:val="24"/>
        </w:rPr>
        <w:t>万元，资产总额为</w:t>
      </w:r>
      <w:r>
        <w:rPr>
          <w:rFonts w:ascii="宋体" w:hAnsi="宋体" w:cs="宋体"/>
          <w:sz w:val="24"/>
          <w:u w:val="single"/>
        </w:rPr>
        <w:tab/>
      </w:r>
      <w:r>
        <w:rPr>
          <w:rFonts w:ascii="宋体" w:hAnsi="宋体" w:cs="宋体"/>
          <w:sz w:val="24"/>
        </w:rPr>
        <w:t>万元</w:t>
      </w:r>
      <w:r>
        <w:fldChar w:fldCharType="begin"/>
      </w:r>
      <w:r>
        <w:instrText xml:space="preserve"> HYPERLINK \l "_bookmark0" </w:instrText>
      </w:r>
      <w:r>
        <w:fldChar w:fldCharType="separate"/>
      </w:r>
      <w:r>
        <w:rPr>
          <w:rFonts w:ascii="宋体" w:hAnsi="宋体" w:cs="宋体"/>
          <w:sz w:val="24"/>
          <w:vertAlign w:val="superscript"/>
        </w:rPr>
        <w:t>1</w:t>
      </w:r>
      <w:r>
        <w:rPr>
          <w:rFonts w:ascii="宋体" w:hAnsi="宋体" w:cs="宋体"/>
          <w:sz w:val="24"/>
          <w:vertAlign w:val="superscript"/>
        </w:rPr>
        <w:fldChar w:fldCharType="end"/>
      </w:r>
      <w:r>
        <w:rPr>
          <w:rFonts w:ascii="宋体" w:hAnsi="宋体" w:cs="宋体"/>
          <w:sz w:val="24"/>
        </w:rPr>
        <w:t>，属于</w:t>
      </w:r>
      <w:r>
        <w:rPr>
          <w:rFonts w:ascii="宋体" w:hAnsi="宋体" w:cs="宋体"/>
          <w:sz w:val="24"/>
          <w:u w:val="single"/>
        </w:rPr>
        <w:t>（中型企业、小型企业、微型企业）</w:t>
      </w:r>
      <w:r>
        <w:rPr>
          <w:rFonts w:ascii="宋体" w:hAnsi="宋体" w:cs="宋体"/>
          <w:sz w:val="24"/>
        </w:rPr>
        <w:t>；</w:t>
      </w:r>
    </w:p>
    <w:p>
      <w:pPr>
        <w:spacing w:after="120" w:line="360" w:lineRule="auto"/>
        <w:ind w:firstLine="480" w:firstLineChars="200"/>
        <w:rPr>
          <w:rFonts w:ascii="宋体" w:hAnsi="宋体" w:cs="宋体"/>
          <w:sz w:val="24"/>
        </w:rPr>
      </w:pPr>
      <w:r>
        <w:rPr>
          <w:rFonts w:ascii="宋体" w:hAnsi="宋体" w:cs="宋体"/>
          <w:sz w:val="24"/>
        </w:rPr>
        <w:t>2.</w:t>
      </w:r>
      <w:r>
        <w:rPr>
          <w:rFonts w:ascii="宋体" w:hAnsi="宋体" w:cs="宋体"/>
          <w:sz w:val="24"/>
          <w:u w:val="single"/>
        </w:rPr>
        <w:t>（标的名称）</w:t>
      </w:r>
      <w:r>
        <w:rPr>
          <w:rFonts w:ascii="宋体" w:hAnsi="宋体" w:cs="宋体"/>
          <w:sz w:val="24"/>
        </w:rPr>
        <w:t>，属于</w:t>
      </w:r>
      <w:r>
        <w:rPr>
          <w:rFonts w:ascii="宋体" w:hAnsi="宋体" w:cs="宋体"/>
          <w:sz w:val="24"/>
          <w:u w:val="single"/>
        </w:rPr>
        <w:t>（采购文件中明确的所属行业）行业</w:t>
      </w:r>
      <w:r>
        <w:rPr>
          <w:rFonts w:ascii="宋体" w:hAnsi="宋体" w:cs="宋体"/>
          <w:sz w:val="24"/>
        </w:rPr>
        <w:t>；制造商为</w:t>
      </w:r>
      <w:r>
        <w:rPr>
          <w:rFonts w:ascii="宋体" w:hAnsi="宋体" w:cs="宋体"/>
          <w:sz w:val="24"/>
          <w:u w:val="single"/>
        </w:rPr>
        <w:t>（企业名称）</w:t>
      </w:r>
      <w:r>
        <w:rPr>
          <w:rFonts w:ascii="宋体" w:hAnsi="宋体" w:cs="宋体"/>
          <w:sz w:val="24"/>
        </w:rPr>
        <w:t>，从业人员</w:t>
      </w:r>
      <w:r>
        <w:rPr>
          <w:rFonts w:ascii="宋体" w:hAnsi="宋体" w:cs="宋体"/>
          <w:sz w:val="24"/>
          <w:u w:val="single"/>
        </w:rPr>
        <w:tab/>
      </w:r>
      <w:r>
        <w:rPr>
          <w:rFonts w:ascii="宋体" w:hAnsi="宋体" w:cs="宋体"/>
          <w:sz w:val="24"/>
        </w:rPr>
        <w:t>人，营业收入为</w:t>
      </w:r>
      <w:r>
        <w:rPr>
          <w:rFonts w:hint="eastAsia" w:ascii="宋体" w:hAnsi="宋体" w:cs="宋体"/>
          <w:sz w:val="24"/>
        </w:rPr>
        <w:t xml:space="preserve"> </w:t>
      </w:r>
      <w:r>
        <w:rPr>
          <w:rFonts w:hint="eastAsia" w:ascii="宋体" w:hAnsi="宋体" w:cs="宋体"/>
          <w:sz w:val="24"/>
          <w:u w:val="single"/>
        </w:rPr>
        <w:t xml:space="preserve">  </w:t>
      </w:r>
      <w:r>
        <w:rPr>
          <w:rFonts w:ascii="宋体" w:hAnsi="宋体" w:cs="宋体"/>
          <w:sz w:val="24"/>
          <w:u w:val="single"/>
        </w:rPr>
        <w:tab/>
      </w:r>
      <w:r>
        <w:rPr>
          <w:rFonts w:ascii="宋体" w:hAnsi="宋体" w:cs="宋体"/>
          <w:sz w:val="24"/>
        </w:rPr>
        <w:t>万元，资产总额为</w:t>
      </w:r>
      <w:r>
        <w:rPr>
          <w:rFonts w:ascii="宋体" w:hAnsi="宋体" w:cs="宋体"/>
          <w:sz w:val="24"/>
          <w:u w:val="single"/>
        </w:rPr>
        <w:tab/>
      </w:r>
      <w:r>
        <w:rPr>
          <w:rFonts w:ascii="宋体" w:hAnsi="宋体" w:cs="宋体"/>
          <w:sz w:val="24"/>
        </w:rPr>
        <w:t>万元，属于</w:t>
      </w:r>
      <w:r>
        <w:rPr>
          <w:rFonts w:ascii="宋体" w:hAnsi="宋体" w:cs="宋体"/>
          <w:sz w:val="24"/>
          <w:u w:val="single"/>
        </w:rPr>
        <w:t>（中型企业、小型企业、微型企业）</w:t>
      </w:r>
      <w:r>
        <w:rPr>
          <w:rFonts w:ascii="宋体" w:hAnsi="宋体" w:cs="宋体"/>
          <w:sz w:val="24"/>
        </w:rPr>
        <w:t>；</w:t>
      </w:r>
    </w:p>
    <w:p>
      <w:pPr>
        <w:spacing w:after="120" w:line="360" w:lineRule="auto"/>
        <w:ind w:firstLine="480" w:firstLineChars="200"/>
        <w:rPr>
          <w:rFonts w:ascii="宋体" w:hAnsi="宋体" w:cs="宋体"/>
          <w:sz w:val="24"/>
        </w:rPr>
      </w:pPr>
      <w:r>
        <w:rPr>
          <w:rFonts w:ascii="宋体" w:hAnsi="宋体" w:cs="宋体"/>
          <w:sz w:val="24"/>
        </w:rPr>
        <w:t>……</w:t>
      </w:r>
    </w:p>
    <w:p>
      <w:pPr>
        <w:spacing w:after="120" w:line="360" w:lineRule="auto"/>
        <w:ind w:firstLine="480" w:firstLineChars="200"/>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pPr>
        <w:spacing w:after="120" w:line="360" w:lineRule="auto"/>
        <w:ind w:firstLine="480" w:firstLineChars="200"/>
        <w:rPr>
          <w:rFonts w:ascii="宋体" w:hAnsi="宋体" w:cs="宋体"/>
          <w:sz w:val="24"/>
        </w:rPr>
      </w:pPr>
      <w:r>
        <w:rPr>
          <w:rFonts w:ascii="宋体" w:hAnsi="宋体" w:cs="宋体"/>
          <w:sz w:val="24"/>
        </w:rPr>
        <w:t>本企业对上述声明内容的真实性负责。如有虚假，将依法承担相应责任。</w:t>
      </w:r>
    </w:p>
    <w:p>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w:t>
      </w:r>
    </w:p>
    <w:p>
      <w:pPr>
        <w:widowControl/>
        <w:spacing w:before="100" w:beforeAutospacing="1" w:after="100" w:afterAutospacing="1" w:line="360" w:lineRule="auto"/>
        <w:jc w:val="left"/>
        <w:rPr>
          <w:rFonts w:ascii="宋体" w:hAnsi="宋体" w:cs="宋体"/>
          <w:kern w:val="0"/>
          <w:sz w:val="24"/>
        </w:rPr>
      </w:pPr>
    </w:p>
    <w:p>
      <w:pPr>
        <w:spacing w:line="360" w:lineRule="auto"/>
        <w:ind w:firstLine="556"/>
        <w:rPr>
          <w:rFonts w:ascii="宋体" w:hAnsi="宋体"/>
          <w:sz w:val="24"/>
        </w:rPr>
      </w:pPr>
    </w:p>
    <w:p>
      <w:pPr>
        <w:pStyle w:val="9"/>
        <w:kinsoku w:val="0"/>
        <w:overflowPunct w:val="0"/>
        <w:snapToGrid w:val="0"/>
        <w:ind w:right="95" w:firstLine="3360" w:firstLineChars="1400"/>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9"/>
        <w:kinsoku w:val="0"/>
        <w:overflowPunct w:val="0"/>
        <w:snapToGrid w:val="0"/>
        <w:ind w:right="95" w:firstLine="3304" w:firstLineChars="14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9"/>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widowControl/>
        <w:spacing w:before="100" w:beforeAutospacing="1" w:after="100" w:afterAutospacing="1" w:line="360" w:lineRule="auto"/>
        <w:ind w:firstLine="3120" w:firstLineChars="1300"/>
        <w:jc w:val="left"/>
        <w:rPr>
          <w:rFonts w:ascii="宋体" w:hAnsi="宋体"/>
          <w:b/>
          <w:kern w:val="0"/>
          <w:sz w:val="24"/>
          <w:szCs w:val="20"/>
        </w:rPr>
      </w:pPr>
      <w:r>
        <w:rPr>
          <w:rFonts w:hint="eastAsia" w:ascii="宋体" w:hAnsi="宋体" w:cs="宋体"/>
          <w:kern w:val="0"/>
          <w:sz w:val="24"/>
        </w:rPr>
        <w:t xml:space="preserve">  </w:t>
      </w:r>
      <w:r>
        <w:rPr>
          <w:rFonts w:ascii="宋体" w:hAnsi="宋体"/>
          <w:b/>
          <w:kern w:val="0"/>
          <w:sz w:val="24"/>
          <w:szCs w:val="20"/>
        </w:rPr>
        <w:t>　</w:t>
      </w:r>
    </w:p>
    <w:p>
      <w:pPr>
        <w:widowControl/>
        <w:spacing w:before="100" w:beforeAutospacing="1" w:after="100" w:afterAutospacing="1" w:line="360" w:lineRule="auto"/>
        <w:ind w:firstLine="3132" w:firstLineChars="1300"/>
        <w:jc w:val="left"/>
        <w:rPr>
          <w:rFonts w:ascii="宋体" w:hAnsi="宋体"/>
          <w:b/>
          <w:kern w:val="0"/>
          <w:sz w:val="24"/>
          <w:szCs w:val="20"/>
        </w:rPr>
      </w:pPr>
    </w:p>
    <w:p>
      <w:pPr>
        <w:pStyle w:val="4"/>
        <w:spacing w:before="0" w:line="360" w:lineRule="auto"/>
        <w:rPr>
          <w:rFonts w:ascii="宋体" w:hAnsi="宋体" w:eastAsia="宋体"/>
          <w:sz w:val="24"/>
        </w:rPr>
      </w:pPr>
      <w:r>
        <w:rPr>
          <w:rFonts w:ascii="宋体" w:hAnsi="宋体" w:eastAsia="宋体"/>
          <w:b w:val="0"/>
          <w:sz w:val="24"/>
        </w:rPr>
        <w:br w:type="page"/>
      </w:r>
      <w:bookmarkStart w:id="786" w:name="_Toc2090"/>
      <w:bookmarkStart w:id="787" w:name="_Toc14934316"/>
      <w:bookmarkStart w:id="788" w:name="_Toc10288"/>
      <w:bookmarkStart w:id="789" w:name="_Toc532473512"/>
      <w:bookmarkStart w:id="790" w:name="_Toc11803"/>
      <w:bookmarkStart w:id="791" w:name="_Toc10977"/>
      <w:bookmarkStart w:id="792" w:name="_Toc515647824"/>
      <w:r>
        <w:rPr>
          <w:rFonts w:ascii="宋体" w:hAnsi="宋体" w:eastAsia="宋体"/>
          <w:sz w:val="24"/>
        </w:rPr>
        <w:t xml:space="preserve">  </w:t>
      </w:r>
      <w:bookmarkStart w:id="793" w:name="_Toc20515"/>
      <w:r>
        <w:rPr>
          <w:rFonts w:ascii="宋体" w:hAnsi="宋体" w:eastAsia="宋体"/>
          <w:sz w:val="24"/>
        </w:rPr>
        <w:t>投标人</w:t>
      </w:r>
      <w:r>
        <w:rPr>
          <w:rFonts w:hint="eastAsia" w:ascii="宋体" w:hAnsi="宋体" w:eastAsia="宋体"/>
          <w:sz w:val="24"/>
        </w:rPr>
        <w:t>监狱企业</w:t>
      </w:r>
      <w:r>
        <w:rPr>
          <w:rFonts w:ascii="宋体" w:hAnsi="宋体" w:eastAsia="宋体"/>
          <w:sz w:val="24"/>
        </w:rPr>
        <w:t>声明函</w:t>
      </w:r>
      <w:bookmarkEnd w:id="786"/>
      <w:bookmarkEnd w:id="787"/>
      <w:bookmarkEnd w:id="788"/>
      <w:bookmarkEnd w:id="793"/>
    </w:p>
    <w:bookmarkEnd w:id="789"/>
    <w:p>
      <w:pPr>
        <w:spacing w:line="360" w:lineRule="auto"/>
        <w:ind w:left="1080" w:leftChars="257" w:hanging="540"/>
        <w:jc w:val="center"/>
        <w:rPr>
          <w:rFonts w:ascii="宋体" w:hAnsi="宋体"/>
          <w:b/>
          <w:kern w:val="0"/>
          <w:sz w:val="24"/>
          <w:szCs w:val="20"/>
        </w:rPr>
      </w:pP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）郑重声明下</w:t>
      </w:r>
      <w:r>
        <w:rPr>
          <w:rFonts w:hint="eastAsia" w:ascii="宋体" w:hAnsi="宋体" w:cs="宋体"/>
          <w:kern w:val="0"/>
          <w:sz w:val="24"/>
        </w:rPr>
        <w:t>列事项（按照</w:t>
      </w:r>
      <w:r>
        <w:rPr>
          <w:rFonts w:ascii="宋体" w:hAnsi="宋体" w:cs="宋体"/>
          <w:kern w:val="0"/>
          <w:sz w:val="24"/>
        </w:rPr>
        <w:t>实际情况勾选或</w:t>
      </w:r>
      <w:r>
        <w:rPr>
          <w:rFonts w:hint="eastAsia" w:ascii="宋体" w:hAnsi="宋体" w:cs="宋体"/>
          <w:kern w:val="0"/>
          <w:sz w:val="24"/>
        </w:rPr>
        <w:t>填空）：</w:t>
      </w: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企业（单位）为直接投标人</w:t>
      </w:r>
      <w:r>
        <w:rPr>
          <w:rFonts w:ascii="宋体" w:hAnsi="宋体" w:cs="宋体"/>
          <w:kern w:val="0"/>
          <w:sz w:val="24"/>
        </w:rPr>
        <w:t>提供本企业</w:t>
      </w:r>
      <w:r>
        <w:rPr>
          <w:rFonts w:hint="eastAsia" w:ascii="宋体" w:hAnsi="宋体" w:cs="宋体"/>
          <w:kern w:val="0"/>
          <w:sz w:val="24"/>
        </w:rPr>
        <w:t>（单位）</w:t>
      </w:r>
      <w:r>
        <w:rPr>
          <w:rFonts w:ascii="宋体" w:hAnsi="宋体" w:cs="宋体"/>
          <w:kern w:val="0"/>
          <w:sz w:val="24"/>
        </w:rPr>
        <w:t>制造的货物</w:t>
      </w:r>
      <w:r>
        <w:rPr>
          <w:rFonts w:hint="eastAsia" w:ascii="宋体" w:hAnsi="宋体" w:cs="宋体"/>
          <w:kern w:val="0"/>
          <w:sz w:val="24"/>
        </w:rPr>
        <w:t>。</w:t>
      </w:r>
    </w:p>
    <w:p>
      <w:pPr>
        <w:widowControl/>
        <w:spacing w:before="100" w:beforeAutospacing="1" w:after="100" w:afterAutospacing="1" w:line="360" w:lineRule="auto"/>
        <w:ind w:firstLine="360" w:firstLineChars="150"/>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本</w:t>
      </w:r>
      <w:r>
        <w:rPr>
          <w:rFonts w:hint="eastAsia" w:ascii="宋体" w:hAnsi="宋体" w:cs="宋体"/>
          <w:kern w:val="0"/>
          <w:sz w:val="24"/>
        </w:rPr>
        <w:t>企业（单位）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ascii="宋体" w:hAnsi="宋体" w:cs="宋体"/>
          <w:kern w:val="0"/>
          <w:sz w:val="24"/>
        </w:rPr>
        <w:t>本</w:t>
      </w:r>
      <w:r>
        <w:rPr>
          <w:rFonts w:hint="eastAsia" w:ascii="宋体" w:hAnsi="宋体" w:cs="宋体"/>
          <w:kern w:val="0"/>
          <w:sz w:val="24"/>
        </w:rPr>
        <w:t>企业（单位）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w:t>
      </w:r>
      <w:r>
        <w:rPr>
          <w:rFonts w:hint="eastAsia" w:ascii="宋体" w:hAnsi="宋体" w:cs="宋体"/>
          <w:kern w:val="0"/>
          <w:sz w:val="24"/>
        </w:rPr>
        <w:t>为联合体一方，</w:t>
      </w:r>
      <w:r>
        <w:rPr>
          <w:rFonts w:ascii="宋体" w:hAnsi="宋体" w:cs="宋体"/>
          <w:kern w:val="0"/>
          <w:sz w:val="24"/>
        </w:rPr>
        <w:t>提供本企业</w:t>
      </w:r>
      <w:r>
        <w:rPr>
          <w:rFonts w:hint="eastAsia" w:ascii="宋体" w:hAnsi="宋体" w:cs="宋体"/>
          <w:kern w:val="0"/>
          <w:sz w:val="24"/>
        </w:rPr>
        <w:t>（单位）</w:t>
      </w:r>
      <w:r>
        <w:rPr>
          <w:rFonts w:ascii="宋体" w:hAnsi="宋体" w:cs="宋体"/>
          <w:kern w:val="0"/>
          <w:sz w:val="24"/>
        </w:rPr>
        <w:t>制造的货物，由本企业</w:t>
      </w:r>
      <w:r>
        <w:rPr>
          <w:rFonts w:hint="eastAsia" w:ascii="宋体" w:hAnsi="宋体" w:cs="宋体"/>
          <w:kern w:val="0"/>
          <w:sz w:val="24"/>
        </w:rPr>
        <w:t>（单位）</w:t>
      </w:r>
      <w:r>
        <w:rPr>
          <w:rFonts w:ascii="宋体" w:hAnsi="宋体" w:cs="宋体"/>
          <w:kern w:val="0"/>
          <w:sz w:val="24"/>
        </w:rPr>
        <w:t>承担工程、提供服务</w:t>
      </w: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r>
        <w:rPr>
          <w:rFonts w:hint="eastAsia" w:ascii="宋体" w:hAnsi="宋体" w:cs="宋体"/>
          <w:kern w:val="0"/>
          <w:sz w:val="24"/>
          <w:u w:val="single"/>
        </w:rPr>
        <w:t xml:space="preserve">       </w:t>
      </w:r>
      <w:r>
        <w:rPr>
          <w:rFonts w:hint="eastAsia" w:ascii="宋体" w:hAnsi="宋体" w:cs="宋体"/>
          <w:kern w:val="0"/>
          <w:sz w:val="24"/>
        </w:rPr>
        <w:t>。</w:t>
      </w:r>
    </w:p>
    <w:p>
      <w:pPr>
        <w:widowControl/>
        <w:spacing w:before="100" w:beforeAutospacing="1" w:after="100" w:afterAutospacing="1" w:line="360" w:lineRule="auto"/>
        <w:ind w:firstLine="475"/>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w:t>
      </w:r>
    </w:p>
    <w:p>
      <w:pPr>
        <w:widowControl/>
        <w:spacing w:before="100" w:beforeAutospacing="1" w:after="100" w:afterAutospacing="1" w:line="360" w:lineRule="auto"/>
        <w:jc w:val="left"/>
        <w:rPr>
          <w:rFonts w:ascii="宋体" w:hAnsi="宋体" w:cs="宋体"/>
          <w:kern w:val="0"/>
          <w:sz w:val="24"/>
        </w:rPr>
      </w:pPr>
    </w:p>
    <w:p>
      <w:pPr>
        <w:widowControl/>
        <w:spacing w:before="100" w:beforeAutospacing="1" w:after="100" w:afterAutospacing="1" w:line="360" w:lineRule="auto"/>
        <w:jc w:val="left"/>
        <w:rPr>
          <w:rFonts w:ascii="宋体" w:hAnsi="宋体" w:cs="宋体"/>
          <w:kern w:val="0"/>
          <w:sz w:val="24"/>
        </w:rPr>
      </w:pPr>
    </w:p>
    <w:p>
      <w:pPr>
        <w:spacing w:line="360" w:lineRule="auto"/>
        <w:ind w:left="1080" w:leftChars="257" w:hanging="540"/>
        <w:jc w:val="center"/>
        <w:rPr>
          <w:rFonts w:ascii="宋体" w:hAnsi="宋体"/>
          <w:b/>
          <w:kern w:val="0"/>
          <w:sz w:val="24"/>
          <w:szCs w:val="20"/>
        </w:rPr>
      </w:pPr>
      <w:r>
        <w:rPr>
          <w:rFonts w:ascii="宋体" w:hAnsi="宋体"/>
          <w:b/>
          <w:kern w:val="0"/>
          <w:sz w:val="24"/>
          <w:szCs w:val="20"/>
        </w:rPr>
        <w:t>　</w:t>
      </w:r>
    </w:p>
    <w:p>
      <w:pPr>
        <w:spacing w:line="360" w:lineRule="auto"/>
        <w:rPr>
          <w:rFonts w:ascii="宋体" w:hAnsi="宋体"/>
          <w:b/>
          <w:sz w:val="24"/>
        </w:rPr>
      </w:pPr>
    </w:p>
    <w:p>
      <w:pPr>
        <w:spacing w:line="360" w:lineRule="auto"/>
        <w:ind w:firstLine="556"/>
        <w:rPr>
          <w:rFonts w:ascii="宋体" w:hAnsi="宋体"/>
          <w:sz w:val="24"/>
        </w:rPr>
      </w:pPr>
    </w:p>
    <w:p>
      <w:pPr>
        <w:pStyle w:val="9"/>
        <w:kinsoku w:val="0"/>
        <w:overflowPunct w:val="0"/>
        <w:snapToGrid w:val="0"/>
        <w:ind w:right="95" w:firstLine="3360" w:firstLineChars="1400"/>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9"/>
        <w:kinsoku w:val="0"/>
        <w:overflowPunct w:val="0"/>
        <w:snapToGrid w:val="0"/>
        <w:ind w:right="95" w:firstLine="3304" w:firstLineChars="14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9"/>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pStyle w:val="4"/>
        <w:spacing w:before="0" w:line="360" w:lineRule="auto"/>
        <w:rPr>
          <w:rFonts w:ascii="宋体" w:hAnsi="宋体" w:eastAsia="宋体"/>
          <w:sz w:val="24"/>
        </w:rPr>
      </w:pPr>
      <w:r>
        <w:rPr>
          <w:rFonts w:ascii="宋体" w:hAnsi="宋体" w:eastAsia="宋体"/>
          <w:sz w:val="24"/>
        </w:rPr>
        <w:br w:type="page"/>
      </w:r>
      <w:bookmarkStart w:id="794" w:name="_Toc4139"/>
      <w:bookmarkStart w:id="795" w:name="_Toc14934317"/>
      <w:bookmarkStart w:id="796" w:name="_Toc7797"/>
      <w:bookmarkStart w:id="797" w:name="_Toc11123"/>
      <w:bookmarkStart w:id="798" w:name="_Toc532473513"/>
      <w:r>
        <w:rPr>
          <w:rFonts w:hint="eastAsia" w:ascii="宋体" w:hAnsi="宋体" w:eastAsia="宋体"/>
          <w:sz w:val="24"/>
        </w:rPr>
        <w:t>残疾人福利性单位声明函</w:t>
      </w:r>
      <w:bookmarkEnd w:id="794"/>
      <w:bookmarkEnd w:id="795"/>
      <w:bookmarkEnd w:id="796"/>
      <w:bookmarkEnd w:id="797"/>
    </w:p>
    <w:bookmarkEnd w:id="798"/>
    <w:p>
      <w:pPr>
        <w:spacing w:line="360" w:lineRule="auto"/>
        <w:ind w:left="1080" w:leftChars="257" w:hanging="540"/>
        <w:jc w:val="center"/>
        <w:rPr>
          <w:rFonts w:ascii="宋体" w:hAnsi="宋体"/>
          <w:kern w:val="0"/>
          <w:sz w:val="24"/>
          <w:szCs w:val="20"/>
        </w:rPr>
      </w:pPr>
    </w:p>
    <w:p>
      <w:pPr>
        <w:spacing w:line="360" w:lineRule="auto"/>
        <w:ind w:firstLine="567"/>
        <w:rPr>
          <w:rFonts w:ascii="宋体" w:hAnsi="宋体"/>
          <w:kern w:val="0"/>
          <w:sz w:val="24"/>
          <w:szCs w:val="20"/>
        </w:rPr>
      </w:pPr>
      <w:r>
        <w:rPr>
          <w:rFonts w:hint="eastAsia" w:ascii="宋体" w:hAns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 w:val="24"/>
        </w:rPr>
        <w:t>（由本单位承担工程/提供服务）</w:t>
      </w:r>
      <w:r>
        <w:rPr>
          <w:rFonts w:hint="eastAsia" w:ascii="宋体" w:hAns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hAnsi="宋体"/>
          <w:kern w:val="0"/>
          <w:sz w:val="24"/>
          <w:szCs w:val="20"/>
        </w:rPr>
      </w:pPr>
      <w:r>
        <w:rPr>
          <w:rFonts w:hint="eastAsia" w:ascii="宋体" w:hAnsi="宋体"/>
          <w:kern w:val="0"/>
          <w:sz w:val="24"/>
          <w:szCs w:val="20"/>
        </w:rPr>
        <w:t>本单位对上述声明的真实性负责。如有虚假，将依法承担相应责任。</w:t>
      </w: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rPr>
      </w:pPr>
    </w:p>
    <w:p>
      <w:pPr>
        <w:spacing w:line="360" w:lineRule="auto"/>
        <w:ind w:firstLine="556"/>
        <w:rPr>
          <w:rFonts w:ascii="宋体" w:hAnsi="宋体"/>
          <w:sz w:val="24"/>
        </w:rPr>
      </w:pPr>
      <w:r>
        <w:rPr>
          <w:rFonts w:hint="eastAsia" w:ascii="宋体" w:hAnsi="宋体"/>
          <w:kern w:val="0"/>
          <w:sz w:val="24"/>
          <w:szCs w:val="20"/>
        </w:rPr>
        <w:t xml:space="preserve">              </w:t>
      </w:r>
    </w:p>
    <w:p>
      <w:pPr>
        <w:pStyle w:val="9"/>
        <w:kinsoku w:val="0"/>
        <w:overflowPunct w:val="0"/>
        <w:snapToGrid w:val="0"/>
        <w:ind w:right="95" w:firstLine="3360" w:firstLineChars="1400"/>
        <w:rPr>
          <w:spacing w:val="-2"/>
          <w:sz w:val="24"/>
        </w:rPr>
      </w:pPr>
      <w:r>
        <w:rPr>
          <w:rFonts w:hint="eastAsia"/>
          <w:sz w:val="24"/>
        </w:rPr>
        <w:t>响 应 人</w:t>
      </w:r>
      <w:r>
        <w:rPr>
          <w:rFonts w:hint="eastAsia"/>
          <w:spacing w:val="-1"/>
          <w:sz w:val="24"/>
        </w:rPr>
        <w:t>：</w:t>
      </w:r>
      <w:r>
        <w:rPr>
          <w:rFonts w:hint="eastAsia"/>
          <w:sz w:val="24"/>
          <w:u w:val="single"/>
        </w:rPr>
        <w:t xml:space="preserve">                 </w:t>
      </w:r>
      <w:r>
        <w:rPr>
          <w:rFonts w:hint="eastAsia"/>
          <w:spacing w:val="89"/>
          <w:sz w:val="24"/>
          <w:u w:val="single"/>
        </w:rPr>
        <w:t xml:space="preserve"> </w:t>
      </w:r>
      <w:r>
        <w:rPr>
          <w:rFonts w:hint="eastAsia"/>
          <w:spacing w:val="-2"/>
          <w:sz w:val="24"/>
        </w:rPr>
        <w:t xml:space="preserve">（企业公章） </w:t>
      </w:r>
    </w:p>
    <w:p>
      <w:pPr>
        <w:pStyle w:val="9"/>
        <w:kinsoku w:val="0"/>
        <w:overflowPunct w:val="0"/>
        <w:snapToGrid w:val="0"/>
        <w:ind w:right="95" w:firstLine="3304" w:firstLineChars="1400"/>
        <w:rPr>
          <w:sz w:val="24"/>
        </w:rPr>
      </w:pPr>
      <w:r>
        <w:rPr>
          <w:rFonts w:hint="eastAsia"/>
          <w:spacing w:val="-2"/>
          <w:sz w:val="24"/>
        </w:rPr>
        <w:t>法定代表人或其委托代理人：</w:t>
      </w:r>
      <w:r>
        <w:rPr>
          <w:rFonts w:hint="eastAsia"/>
          <w:sz w:val="24"/>
          <w:u w:val="single"/>
        </w:rPr>
        <w:t xml:space="preserve">         </w:t>
      </w:r>
      <w:r>
        <w:rPr>
          <w:rFonts w:hint="eastAsia"/>
          <w:spacing w:val="96"/>
          <w:sz w:val="24"/>
          <w:u w:val="single"/>
        </w:rPr>
        <w:t xml:space="preserve"> </w:t>
      </w:r>
      <w:r>
        <w:rPr>
          <w:rFonts w:hint="eastAsia"/>
          <w:spacing w:val="-2"/>
          <w:sz w:val="24"/>
        </w:rPr>
        <w:t>（签字）</w:t>
      </w:r>
      <w:r>
        <w:rPr>
          <w:rFonts w:hint="eastAsia"/>
          <w:sz w:val="24"/>
        </w:rPr>
        <w:t xml:space="preserve"> </w:t>
      </w:r>
    </w:p>
    <w:p>
      <w:pPr>
        <w:pStyle w:val="9"/>
        <w:kinsoku w:val="0"/>
        <w:overflowPunct w:val="0"/>
        <w:snapToGrid w:val="0"/>
        <w:spacing w:before="46"/>
        <w:ind w:right="738"/>
        <w:jc w:val="right"/>
        <w:rPr>
          <w:w w:val="99"/>
          <w:sz w:val="24"/>
        </w:rPr>
      </w:pPr>
      <w:r>
        <w:rPr>
          <w:rFonts w:hint="eastAsia"/>
          <w:sz w:val="24"/>
          <w:u w:val="single"/>
        </w:rPr>
        <w:t xml:space="preserve">    </w:t>
      </w:r>
      <w:r>
        <w:rPr>
          <w:rFonts w:hint="eastAsia"/>
          <w:spacing w:val="-3"/>
          <w:sz w:val="24"/>
          <w:u w:val="single"/>
        </w:rPr>
        <w:t xml:space="preserve"> </w:t>
      </w:r>
      <w:r>
        <w:rPr>
          <w:rFonts w:hint="eastAsia"/>
          <w:sz w:val="24"/>
        </w:rPr>
        <w:t>年</w:t>
      </w:r>
      <w:r>
        <w:rPr>
          <w:rFonts w:hint="eastAsia"/>
          <w:sz w:val="24"/>
          <w:u w:val="single"/>
        </w:rPr>
        <w:t xml:space="preserve">   </w:t>
      </w:r>
      <w:r>
        <w:rPr>
          <w:rFonts w:hint="eastAsia"/>
          <w:spacing w:val="101"/>
          <w:sz w:val="24"/>
          <w:u w:val="single"/>
        </w:rPr>
        <w:t xml:space="preserve"> </w:t>
      </w:r>
      <w:r>
        <w:rPr>
          <w:rFonts w:hint="eastAsia"/>
          <w:spacing w:val="-3"/>
          <w:sz w:val="24"/>
        </w:rPr>
        <w:t>月</w:t>
      </w:r>
      <w:r>
        <w:rPr>
          <w:rFonts w:hint="eastAsia"/>
          <w:sz w:val="24"/>
          <w:u w:val="single"/>
        </w:rPr>
        <w:t xml:space="preserve">  </w:t>
      </w:r>
      <w:r>
        <w:rPr>
          <w:rFonts w:hint="eastAsia"/>
          <w:spacing w:val="102"/>
          <w:sz w:val="24"/>
          <w:u w:val="single"/>
        </w:rPr>
        <w:t xml:space="preserve"> </w:t>
      </w:r>
      <w:r>
        <w:rPr>
          <w:rFonts w:hint="eastAsia"/>
          <w:spacing w:val="-3"/>
          <w:sz w:val="24"/>
        </w:rPr>
        <w:t>日</w:t>
      </w:r>
      <w:r>
        <w:rPr>
          <w:rFonts w:hint="eastAsia"/>
          <w:w w:val="99"/>
          <w:sz w:val="24"/>
        </w:rPr>
        <w:t xml:space="preserve"> </w:t>
      </w:r>
    </w:p>
    <w:p>
      <w:pPr>
        <w:spacing w:line="360" w:lineRule="auto"/>
        <w:jc w:val="center"/>
        <w:rPr>
          <w:rFonts w:ascii="宋体" w:hAnsi="宋体"/>
          <w:kern w:val="0"/>
          <w:sz w:val="24"/>
          <w:szCs w:val="20"/>
          <w:u w:val="single"/>
        </w:rPr>
      </w:pPr>
    </w:p>
    <w:p>
      <w:pPr>
        <w:jc w:val="center"/>
        <w:rPr>
          <w:rFonts w:ascii="宋体" w:hAnsi="宋体"/>
          <w:sz w:val="24"/>
        </w:rPr>
      </w:pPr>
      <w:r>
        <w:rPr>
          <w:rFonts w:ascii="宋体" w:hAnsi="宋体"/>
          <w:sz w:val="24"/>
        </w:rPr>
        <w:br w:type="page"/>
      </w:r>
      <w:bookmarkEnd w:id="790"/>
      <w:bookmarkEnd w:id="791"/>
      <w:bookmarkEnd w:id="792"/>
    </w:p>
    <w:p>
      <w:pPr>
        <w:widowControl/>
        <w:spacing w:before="100" w:beforeAutospacing="1" w:after="100" w:afterAutospacing="1" w:line="360" w:lineRule="auto"/>
        <w:ind w:firstLine="420"/>
        <w:jc w:val="center"/>
        <w:rPr>
          <w:rFonts w:ascii="宋体" w:hAnsi="宋体" w:cs="宋体"/>
          <w:b/>
          <w:bCs/>
          <w:kern w:val="0"/>
          <w:sz w:val="24"/>
        </w:rPr>
      </w:pPr>
      <w:r>
        <w:rPr>
          <w:rFonts w:hint="eastAsia" w:ascii="宋体" w:hAnsi="宋体" w:cs="宋体"/>
          <w:b/>
          <w:bCs/>
          <w:kern w:val="0"/>
          <w:sz w:val="24"/>
        </w:rPr>
        <w:t>河南省政府采购合同融资政策告知函</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各供应商：</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欢迎贵公司参与河南省政府采购活动！</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贷款渠道和提供贷款的金融机构，可在河南省政府采购网“河南省政府采购合同融资平台”查询联系。</w:t>
      </w:r>
    </w:p>
    <w:p>
      <w:pPr>
        <w:widowControl/>
        <w:spacing w:before="100" w:beforeAutospacing="1" w:after="100" w:afterAutospacing="1" w:line="360" w:lineRule="auto"/>
        <w:ind w:firstLine="420"/>
        <w:jc w:val="center"/>
        <w:rPr>
          <w:rFonts w:ascii="宋体" w:hAnsi="宋体" w:cs="宋体"/>
          <w:kern w:val="0"/>
          <w:sz w:val="24"/>
        </w:rPr>
      </w:pPr>
    </w:p>
    <w:p/>
    <w:p>
      <w:pPr>
        <w:spacing w:line="360" w:lineRule="auto"/>
        <w:rPr>
          <w:rFonts w:ascii="宋体" w:hAnsi="宋体"/>
          <w:sz w:val="24"/>
        </w:rPr>
      </w:pPr>
    </w:p>
    <w:p/>
    <w:sectPr>
      <w:footerReference r:id="rId5" w:type="default"/>
      <w:footerReference r:id="rId6" w:type="even"/>
      <w:pgSz w:w="11906" w:h="16838"/>
      <w:pgMar w:top="1418" w:right="1418" w:bottom="1701"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1"/>
      </w:rPr>
    </w:pPr>
    <w:r>
      <w:fldChar w:fldCharType="begin"/>
    </w:r>
    <w:r>
      <w:rPr>
        <w:rStyle w:val="31"/>
      </w:rPr>
      <w:instrText xml:space="preserve">PAGE  </w:instrText>
    </w:r>
    <w:r>
      <w:fldChar w:fldCharType="separate"/>
    </w:r>
    <w:r>
      <w:rPr>
        <w:rStyle w:val="31"/>
      </w:rPr>
      <w:t>1</w:t>
    </w:r>
    <w:r>
      <w:fldChar w:fldCharType="end"/>
    </w:r>
  </w:p>
  <w:p>
    <w:pPr>
      <w:pStyle w:val="1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D1F97"/>
    <w:multiLevelType w:val="singleLevel"/>
    <w:tmpl w:val="928D1F97"/>
    <w:lvl w:ilvl="0" w:tentative="0">
      <w:start w:val="1"/>
      <w:numFmt w:val="decimal"/>
      <w:suff w:val="nothing"/>
      <w:lvlText w:val="%1、"/>
      <w:lvlJc w:val="left"/>
    </w:lvl>
  </w:abstractNum>
  <w:abstractNum w:abstractNumId="1">
    <w:nsid w:val="9A6635D8"/>
    <w:multiLevelType w:val="singleLevel"/>
    <w:tmpl w:val="9A6635D8"/>
    <w:lvl w:ilvl="0" w:tentative="0">
      <w:start w:val="1"/>
      <w:numFmt w:val="decimal"/>
      <w:suff w:val="nothing"/>
      <w:lvlText w:val="%1、"/>
      <w:lvlJc w:val="left"/>
    </w:lvl>
  </w:abstractNum>
  <w:abstractNum w:abstractNumId="2">
    <w:nsid w:val="A6FFDC64"/>
    <w:multiLevelType w:val="singleLevel"/>
    <w:tmpl w:val="A6FFDC64"/>
    <w:lvl w:ilvl="0" w:tentative="0">
      <w:start w:val="1"/>
      <w:numFmt w:val="decimal"/>
      <w:suff w:val="space"/>
      <w:lvlText w:val="%1."/>
      <w:lvlJc w:val="left"/>
    </w:lvl>
  </w:abstractNum>
  <w:abstractNum w:abstractNumId="3">
    <w:nsid w:val="B296F5B1"/>
    <w:multiLevelType w:val="singleLevel"/>
    <w:tmpl w:val="B296F5B1"/>
    <w:lvl w:ilvl="0" w:tentative="0">
      <w:start w:val="5"/>
      <w:numFmt w:val="decimal"/>
      <w:suff w:val="nothing"/>
      <w:lvlText w:val="%1、"/>
      <w:lvlJc w:val="left"/>
    </w:lvl>
  </w:abstractNum>
  <w:abstractNum w:abstractNumId="4">
    <w:nsid w:val="BF5C576C"/>
    <w:multiLevelType w:val="multilevel"/>
    <w:tmpl w:val="BF5C576C"/>
    <w:lvl w:ilvl="0" w:tentative="0">
      <w:start w:val="1"/>
      <w:numFmt w:val="decimal"/>
      <w:lvlText w:val="%1."/>
      <w:lvlJc w:val="left"/>
      <w:pPr>
        <w:tabs>
          <w:tab w:val="left" w:pos="1264"/>
        </w:tabs>
        <w:ind w:left="1264"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5">
    <w:nsid w:val="D1AA1889"/>
    <w:multiLevelType w:val="singleLevel"/>
    <w:tmpl w:val="D1AA1889"/>
    <w:lvl w:ilvl="0" w:tentative="0">
      <w:start w:val="1"/>
      <w:numFmt w:val="decimal"/>
      <w:lvlText w:val="%1."/>
      <w:lvlJc w:val="left"/>
      <w:pPr>
        <w:tabs>
          <w:tab w:val="left" w:pos="312"/>
        </w:tabs>
      </w:pPr>
    </w:lvl>
  </w:abstractNum>
  <w:abstractNum w:abstractNumId="6">
    <w:nsid w:val="F6EAFDE1"/>
    <w:multiLevelType w:val="singleLevel"/>
    <w:tmpl w:val="F6EAFDE1"/>
    <w:lvl w:ilvl="0" w:tentative="0">
      <w:start w:val="1"/>
      <w:numFmt w:val="decimal"/>
      <w:suff w:val="nothing"/>
      <w:lvlText w:val="%1、"/>
      <w:lvlJc w:val="left"/>
    </w:lvl>
  </w:abstractNum>
  <w:abstractNum w:abstractNumId="7">
    <w:nsid w:val="F7BCAE90"/>
    <w:multiLevelType w:val="singleLevel"/>
    <w:tmpl w:val="F7BCAE90"/>
    <w:lvl w:ilvl="0" w:tentative="0">
      <w:start w:val="1"/>
      <w:numFmt w:val="decimal"/>
      <w:suff w:val="space"/>
      <w:lvlText w:val="%1、"/>
      <w:lvlJc w:val="left"/>
    </w:lvl>
  </w:abstractNum>
  <w:abstractNum w:abstractNumId="8">
    <w:nsid w:val="00000012"/>
    <w:multiLevelType w:val="singleLevel"/>
    <w:tmpl w:val="00000012"/>
    <w:lvl w:ilvl="0" w:tentative="0">
      <w:start w:val="1"/>
      <w:numFmt w:val="decimal"/>
      <w:lvlText w:val="%1)"/>
      <w:lvlJc w:val="left"/>
      <w:pPr>
        <w:tabs>
          <w:tab w:val="left" w:pos="425"/>
        </w:tabs>
        <w:ind w:left="425" w:hanging="425"/>
      </w:pPr>
    </w:lvl>
  </w:abstractNum>
  <w:abstractNum w:abstractNumId="9">
    <w:nsid w:val="00000015"/>
    <w:multiLevelType w:val="singleLevel"/>
    <w:tmpl w:val="00000015"/>
    <w:lvl w:ilvl="0" w:tentative="0">
      <w:start w:val="1"/>
      <w:numFmt w:val="decimal"/>
      <w:lvlText w:val="%1)"/>
      <w:lvlJc w:val="left"/>
      <w:pPr>
        <w:tabs>
          <w:tab w:val="left" w:pos="425"/>
        </w:tabs>
        <w:ind w:left="425" w:hanging="425"/>
      </w:pPr>
    </w:lvl>
  </w:abstractNum>
  <w:abstractNum w:abstractNumId="10">
    <w:nsid w:val="0000001D"/>
    <w:multiLevelType w:val="multilevel"/>
    <w:tmpl w:val="0000001D"/>
    <w:lvl w:ilvl="0" w:tentative="0">
      <w:start w:val="1"/>
      <w:numFmt w:val="none"/>
      <w:pStyle w:val="3"/>
      <w:lvlText w:val=""/>
      <w:lvlJc w:val="left"/>
      <w:pPr>
        <w:tabs>
          <w:tab w:val="left" w:pos="432"/>
        </w:tabs>
        <w:ind w:left="432" w:hanging="432"/>
      </w:pPr>
      <w:rPr>
        <w:rFonts w:hint="eastAsia"/>
      </w:rPr>
    </w:lvl>
    <w:lvl w:ilvl="1" w:tentative="0">
      <w:start w:val="1"/>
      <w:numFmt w:val="none"/>
      <w:lvlText w:val=""/>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w:lvlJc w:val="left"/>
      <w:pPr>
        <w:tabs>
          <w:tab w:val="left" w:pos="864"/>
        </w:tabs>
        <w:ind w:left="864" w:hanging="864"/>
      </w:pPr>
      <w:rPr>
        <w:rFonts w:hint="eastAsia"/>
      </w:rPr>
    </w:lvl>
    <w:lvl w:ilvl="4" w:tentative="0">
      <w:start w:val="1"/>
      <w:numFmt w:val="none"/>
      <w:lvlText w:val=""/>
      <w:lvlJc w:val="left"/>
      <w:pPr>
        <w:tabs>
          <w:tab w:val="left" w:pos="1008"/>
        </w:tabs>
        <w:ind w:left="1008" w:hanging="1008"/>
      </w:pPr>
      <w:rPr>
        <w:rFonts w:hint="eastAsia"/>
      </w:rPr>
    </w:lvl>
    <w:lvl w:ilvl="5" w:tentative="0">
      <w:start w:val="1"/>
      <w:numFmt w:val="none"/>
      <w:lvlText w:val=""/>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1">
    <w:nsid w:val="0000001E"/>
    <w:multiLevelType w:val="singleLevel"/>
    <w:tmpl w:val="0000001E"/>
    <w:lvl w:ilvl="0" w:tentative="0">
      <w:start w:val="1"/>
      <w:numFmt w:val="decimal"/>
      <w:lvlText w:val="%1."/>
      <w:lvlJc w:val="left"/>
      <w:pPr>
        <w:tabs>
          <w:tab w:val="left" w:pos="720"/>
        </w:tabs>
        <w:ind w:left="720" w:hanging="240"/>
      </w:pPr>
      <w:rPr>
        <w:rFonts w:hint="eastAsia"/>
      </w:rPr>
    </w:lvl>
  </w:abstractNum>
  <w:abstractNum w:abstractNumId="12">
    <w:nsid w:val="00000020"/>
    <w:multiLevelType w:val="singleLevel"/>
    <w:tmpl w:val="00000020"/>
    <w:lvl w:ilvl="0" w:tentative="0">
      <w:start w:val="1"/>
      <w:numFmt w:val="decimal"/>
      <w:lvlText w:val="%1)"/>
      <w:lvlJc w:val="left"/>
      <w:pPr>
        <w:tabs>
          <w:tab w:val="left" w:pos="960"/>
        </w:tabs>
        <w:ind w:left="960" w:hanging="240"/>
      </w:pPr>
      <w:rPr>
        <w:rFonts w:hint="eastAsia"/>
      </w:rPr>
    </w:lvl>
  </w:abstractNum>
  <w:abstractNum w:abstractNumId="13">
    <w:nsid w:val="05BF457E"/>
    <w:multiLevelType w:val="singleLevel"/>
    <w:tmpl w:val="05BF457E"/>
    <w:lvl w:ilvl="0" w:tentative="0">
      <w:start w:val="1"/>
      <w:numFmt w:val="decimal"/>
      <w:suff w:val="nothing"/>
      <w:lvlText w:val="%1、"/>
      <w:lvlJc w:val="left"/>
    </w:lvl>
  </w:abstractNum>
  <w:abstractNum w:abstractNumId="14">
    <w:nsid w:val="1081DB61"/>
    <w:multiLevelType w:val="singleLevel"/>
    <w:tmpl w:val="1081DB61"/>
    <w:lvl w:ilvl="0" w:tentative="0">
      <w:start w:val="1"/>
      <w:numFmt w:val="decimal"/>
      <w:suff w:val="nothing"/>
      <w:lvlText w:val="%1、"/>
      <w:lvlJc w:val="left"/>
    </w:lvl>
  </w:abstractNum>
  <w:abstractNum w:abstractNumId="15">
    <w:nsid w:val="11F4232B"/>
    <w:multiLevelType w:val="singleLevel"/>
    <w:tmpl w:val="11F4232B"/>
    <w:lvl w:ilvl="0" w:tentative="0">
      <w:start w:val="1"/>
      <w:numFmt w:val="decimal"/>
      <w:suff w:val="nothing"/>
      <w:lvlText w:val="%1、"/>
      <w:lvlJc w:val="left"/>
    </w:lvl>
  </w:abstractNum>
  <w:abstractNum w:abstractNumId="16">
    <w:nsid w:val="177A704F"/>
    <w:multiLevelType w:val="singleLevel"/>
    <w:tmpl w:val="177A704F"/>
    <w:lvl w:ilvl="0" w:tentative="0">
      <w:start w:val="1"/>
      <w:numFmt w:val="decimal"/>
      <w:suff w:val="nothing"/>
      <w:lvlText w:val="%1、"/>
      <w:lvlJc w:val="left"/>
    </w:lvl>
  </w:abstractNum>
  <w:abstractNum w:abstractNumId="17">
    <w:nsid w:val="2AF4F44B"/>
    <w:multiLevelType w:val="singleLevel"/>
    <w:tmpl w:val="2AF4F44B"/>
    <w:lvl w:ilvl="0" w:tentative="0">
      <w:start w:val="1"/>
      <w:numFmt w:val="decimal"/>
      <w:suff w:val="nothing"/>
      <w:lvlText w:val="%1、"/>
      <w:lvlJc w:val="left"/>
    </w:lvl>
  </w:abstractNum>
  <w:abstractNum w:abstractNumId="18">
    <w:nsid w:val="4E067D5B"/>
    <w:multiLevelType w:val="multilevel"/>
    <w:tmpl w:val="4E067D5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3"/>
  </w:num>
  <w:num w:numId="3">
    <w:abstractNumId w:val="11"/>
  </w:num>
  <w:num w:numId="4">
    <w:abstractNumId w:val="12"/>
  </w:num>
  <w:num w:numId="5">
    <w:abstractNumId w:val="0"/>
  </w:num>
  <w:num w:numId="6">
    <w:abstractNumId w:val="13"/>
  </w:num>
  <w:num w:numId="7">
    <w:abstractNumId w:val="18"/>
  </w:num>
  <w:num w:numId="8">
    <w:abstractNumId w:val="2"/>
  </w:num>
  <w:num w:numId="9">
    <w:abstractNumId w:val="17"/>
  </w:num>
  <w:num w:numId="10">
    <w:abstractNumId w:val="15"/>
  </w:num>
  <w:num w:numId="11">
    <w:abstractNumId w:val="14"/>
  </w:num>
  <w:num w:numId="12">
    <w:abstractNumId w:val="7"/>
  </w:num>
  <w:num w:numId="13">
    <w:abstractNumId w:val="16"/>
  </w:num>
  <w:num w:numId="14">
    <w:abstractNumId w:val="5"/>
  </w:num>
  <w:num w:numId="15">
    <w:abstractNumId w:val="6"/>
  </w:num>
  <w:num w:numId="16">
    <w:abstractNumId w:val="1"/>
  </w:num>
  <w:num w:numId="17">
    <w:abstractNumId w:val="9"/>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C6060E"/>
    <w:rsid w:val="0003021F"/>
    <w:rsid w:val="000F016C"/>
    <w:rsid w:val="001816E9"/>
    <w:rsid w:val="002215B2"/>
    <w:rsid w:val="00253172"/>
    <w:rsid w:val="00282A93"/>
    <w:rsid w:val="00442236"/>
    <w:rsid w:val="006843C5"/>
    <w:rsid w:val="006C131A"/>
    <w:rsid w:val="006C19A6"/>
    <w:rsid w:val="006E65CC"/>
    <w:rsid w:val="00872D8D"/>
    <w:rsid w:val="008B21AB"/>
    <w:rsid w:val="008D67E2"/>
    <w:rsid w:val="00D75EAF"/>
    <w:rsid w:val="00DB6AC0"/>
    <w:rsid w:val="00EE7D3A"/>
    <w:rsid w:val="01162896"/>
    <w:rsid w:val="01334974"/>
    <w:rsid w:val="014276C1"/>
    <w:rsid w:val="015F3DE4"/>
    <w:rsid w:val="024F4FE5"/>
    <w:rsid w:val="027B5F7D"/>
    <w:rsid w:val="03CD0DB4"/>
    <w:rsid w:val="04C948BC"/>
    <w:rsid w:val="04F01D3F"/>
    <w:rsid w:val="050A3174"/>
    <w:rsid w:val="056F5FD5"/>
    <w:rsid w:val="05C21C70"/>
    <w:rsid w:val="05D5597B"/>
    <w:rsid w:val="068F250E"/>
    <w:rsid w:val="06A23BD8"/>
    <w:rsid w:val="075603B7"/>
    <w:rsid w:val="083875B4"/>
    <w:rsid w:val="09243B08"/>
    <w:rsid w:val="0A562AEC"/>
    <w:rsid w:val="0B2D0E9A"/>
    <w:rsid w:val="0B3411E4"/>
    <w:rsid w:val="0C76796E"/>
    <w:rsid w:val="0DED4ECF"/>
    <w:rsid w:val="0E7B5BEE"/>
    <w:rsid w:val="0F487CDA"/>
    <w:rsid w:val="0F581646"/>
    <w:rsid w:val="118612CF"/>
    <w:rsid w:val="11D5400D"/>
    <w:rsid w:val="120C756C"/>
    <w:rsid w:val="126B4C9B"/>
    <w:rsid w:val="12A530A2"/>
    <w:rsid w:val="138458B5"/>
    <w:rsid w:val="14FA5F17"/>
    <w:rsid w:val="15856AD9"/>
    <w:rsid w:val="162C4C9C"/>
    <w:rsid w:val="165E219F"/>
    <w:rsid w:val="16963334"/>
    <w:rsid w:val="16B355DD"/>
    <w:rsid w:val="16DD067E"/>
    <w:rsid w:val="184F08BE"/>
    <w:rsid w:val="19244436"/>
    <w:rsid w:val="1AC6725D"/>
    <w:rsid w:val="1BBD06A9"/>
    <w:rsid w:val="1BFF4C6A"/>
    <w:rsid w:val="1C184F7F"/>
    <w:rsid w:val="1C220D81"/>
    <w:rsid w:val="1D275120"/>
    <w:rsid w:val="1D797329"/>
    <w:rsid w:val="1F290711"/>
    <w:rsid w:val="1FA0489B"/>
    <w:rsid w:val="200937CC"/>
    <w:rsid w:val="20192FFC"/>
    <w:rsid w:val="20582DAF"/>
    <w:rsid w:val="206516AC"/>
    <w:rsid w:val="20757410"/>
    <w:rsid w:val="20C0251E"/>
    <w:rsid w:val="210F2B98"/>
    <w:rsid w:val="21990E84"/>
    <w:rsid w:val="21AF3919"/>
    <w:rsid w:val="222C1FA2"/>
    <w:rsid w:val="225300F5"/>
    <w:rsid w:val="2288789A"/>
    <w:rsid w:val="237F55AC"/>
    <w:rsid w:val="238F1004"/>
    <w:rsid w:val="23D30631"/>
    <w:rsid w:val="23F34873"/>
    <w:rsid w:val="24917611"/>
    <w:rsid w:val="25880A01"/>
    <w:rsid w:val="25A57ED7"/>
    <w:rsid w:val="261A49F4"/>
    <w:rsid w:val="267947A2"/>
    <w:rsid w:val="26BE688A"/>
    <w:rsid w:val="27996D1E"/>
    <w:rsid w:val="27C95310"/>
    <w:rsid w:val="27DA51AE"/>
    <w:rsid w:val="282F34B1"/>
    <w:rsid w:val="292B4DDB"/>
    <w:rsid w:val="29C6060E"/>
    <w:rsid w:val="2A9E2657"/>
    <w:rsid w:val="2C37490F"/>
    <w:rsid w:val="2D5E6DB1"/>
    <w:rsid w:val="2E184D9E"/>
    <w:rsid w:val="2E5F4605"/>
    <w:rsid w:val="2E902117"/>
    <w:rsid w:val="2EB476E7"/>
    <w:rsid w:val="2F4E6903"/>
    <w:rsid w:val="30CF2FCF"/>
    <w:rsid w:val="31A9432A"/>
    <w:rsid w:val="326A15E9"/>
    <w:rsid w:val="32F66501"/>
    <w:rsid w:val="336E58FF"/>
    <w:rsid w:val="33A068CC"/>
    <w:rsid w:val="34480BC2"/>
    <w:rsid w:val="34FE31E5"/>
    <w:rsid w:val="35223877"/>
    <w:rsid w:val="3537091B"/>
    <w:rsid w:val="354D51A3"/>
    <w:rsid w:val="35CC1BBE"/>
    <w:rsid w:val="35D0185B"/>
    <w:rsid w:val="35E47B62"/>
    <w:rsid w:val="368551B4"/>
    <w:rsid w:val="36FF7A18"/>
    <w:rsid w:val="38376840"/>
    <w:rsid w:val="390B5386"/>
    <w:rsid w:val="392A119D"/>
    <w:rsid w:val="3A256F15"/>
    <w:rsid w:val="3AB738FA"/>
    <w:rsid w:val="3C842CF9"/>
    <w:rsid w:val="3D332198"/>
    <w:rsid w:val="3D5D7297"/>
    <w:rsid w:val="3DAF6C5D"/>
    <w:rsid w:val="4044458E"/>
    <w:rsid w:val="40827B6B"/>
    <w:rsid w:val="40CC0E7C"/>
    <w:rsid w:val="414502BF"/>
    <w:rsid w:val="418B1539"/>
    <w:rsid w:val="418B1B55"/>
    <w:rsid w:val="41C314CD"/>
    <w:rsid w:val="43463656"/>
    <w:rsid w:val="440029E1"/>
    <w:rsid w:val="44312F8B"/>
    <w:rsid w:val="448D0F75"/>
    <w:rsid w:val="44FC5074"/>
    <w:rsid w:val="44FE3645"/>
    <w:rsid w:val="45F930CC"/>
    <w:rsid w:val="473276C5"/>
    <w:rsid w:val="47435511"/>
    <w:rsid w:val="474E0E96"/>
    <w:rsid w:val="49A92408"/>
    <w:rsid w:val="4A200C3A"/>
    <w:rsid w:val="4A8169B4"/>
    <w:rsid w:val="4A9E28EF"/>
    <w:rsid w:val="4AC12EF0"/>
    <w:rsid w:val="4AD36DCF"/>
    <w:rsid w:val="4B834C3B"/>
    <w:rsid w:val="4B866C39"/>
    <w:rsid w:val="4C3E154D"/>
    <w:rsid w:val="4C7C00F3"/>
    <w:rsid w:val="4CAB0A76"/>
    <w:rsid w:val="4D327A8F"/>
    <w:rsid w:val="4D506572"/>
    <w:rsid w:val="4E7D4FBD"/>
    <w:rsid w:val="5042207F"/>
    <w:rsid w:val="50AB1B03"/>
    <w:rsid w:val="50E353F9"/>
    <w:rsid w:val="516369FD"/>
    <w:rsid w:val="519B03EB"/>
    <w:rsid w:val="51D976AF"/>
    <w:rsid w:val="520B5D1B"/>
    <w:rsid w:val="536265F8"/>
    <w:rsid w:val="53A8071D"/>
    <w:rsid w:val="53AB04B7"/>
    <w:rsid w:val="53F809E5"/>
    <w:rsid w:val="555B2E03"/>
    <w:rsid w:val="556C699C"/>
    <w:rsid w:val="55BA52A2"/>
    <w:rsid w:val="55D17A27"/>
    <w:rsid w:val="560A6B67"/>
    <w:rsid w:val="565A61AE"/>
    <w:rsid w:val="5698459C"/>
    <w:rsid w:val="57B67173"/>
    <w:rsid w:val="58992609"/>
    <w:rsid w:val="5967016C"/>
    <w:rsid w:val="5A3513CE"/>
    <w:rsid w:val="5B0C46F7"/>
    <w:rsid w:val="5B0D1181"/>
    <w:rsid w:val="5B2628D3"/>
    <w:rsid w:val="5BDD2C17"/>
    <w:rsid w:val="5BFB0566"/>
    <w:rsid w:val="5D3336C4"/>
    <w:rsid w:val="5D5954F9"/>
    <w:rsid w:val="5E645FB3"/>
    <w:rsid w:val="5EB470E8"/>
    <w:rsid w:val="5F6A1D01"/>
    <w:rsid w:val="5F91439B"/>
    <w:rsid w:val="5FCF171D"/>
    <w:rsid w:val="5FFB3787"/>
    <w:rsid w:val="609076D1"/>
    <w:rsid w:val="60B11AB9"/>
    <w:rsid w:val="60EF6ED8"/>
    <w:rsid w:val="61220E10"/>
    <w:rsid w:val="616C0B7F"/>
    <w:rsid w:val="617939C0"/>
    <w:rsid w:val="61CA1FED"/>
    <w:rsid w:val="62437007"/>
    <w:rsid w:val="627B32B5"/>
    <w:rsid w:val="62FA0814"/>
    <w:rsid w:val="63242278"/>
    <w:rsid w:val="63376C66"/>
    <w:rsid w:val="648345D2"/>
    <w:rsid w:val="64F67A95"/>
    <w:rsid w:val="664C6E8B"/>
    <w:rsid w:val="66A23470"/>
    <w:rsid w:val="66DE536E"/>
    <w:rsid w:val="67EF0E0B"/>
    <w:rsid w:val="683B1AB1"/>
    <w:rsid w:val="68537746"/>
    <w:rsid w:val="69AD7E4E"/>
    <w:rsid w:val="69F37788"/>
    <w:rsid w:val="69FF72FE"/>
    <w:rsid w:val="6A7C1F84"/>
    <w:rsid w:val="6B240C58"/>
    <w:rsid w:val="6D844FCD"/>
    <w:rsid w:val="6E1C0228"/>
    <w:rsid w:val="70E9108A"/>
    <w:rsid w:val="71BF5D7E"/>
    <w:rsid w:val="71D57DBA"/>
    <w:rsid w:val="71FA1A59"/>
    <w:rsid w:val="72497896"/>
    <w:rsid w:val="72D228B4"/>
    <w:rsid w:val="732B6931"/>
    <w:rsid w:val="73A76291"/>
    <w:rsid w:val="73AE1C22"/>
    <w:rsid w:val="74011A01"/>
    <w:rsid w:val="74046DD8"/>
    <w:rsid w:val="7525614B"/>
    <w:rsid w:val="76125FF5"/>
    <w:rsid w:val="76E6337A"/>
    <w:rsid w:val="770577D1"/>
    <w:rsid w:val="783D6B40"/>
    <w:rsid w:val="784E5B43"/>
    <w:rsid w:val="790215B4"/>
    <w:rsid w:val="7A156F42"/>
    <w:rsid w:val="7A2C24FB"/>
    <w:rsid w:val="7A60588C"/>
    <w:rsid w:val="7AC52CF1"/>
    <w:rsid w:val="7AF91029"/>
    <w:rsid w:val="7C064690"/>
    <w:rsid w:val="7C363AC1"/>
    <w:rsid w:val="7CA455B3"/>
    <w:rsid w:val="7CC47196"/>
    <w:rsid w:val="7D645311"/>
    <w:rsid w:val="7EEB7ADE"/>
    <w:rsid w:val="7F3C40AC"/>
    <w:rsid w:val="7F4419FD"/>
    <w:rsid w:val="7F7A50D1"/>
    <w:rsid w:val="7F826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sz w:val="44"/>
      <w:szCs w:val="20"/>
    </w:rPr>
  </w:style>
  <w:style w:type="paragraph" w:styleId="5">
    <w:name w:val="heading 3"/>
    <w:basedOn w:val="1"/>
    <w:next w:val="1"/>
    <w:unhideWhenUsed/>
    <w:qFormat/>
    <w:uiPriority w:val="1"/>
    <w:pPr>
      <w:ind w:left="119"/>
      <w:outlineLvl w:val="2"/>
    </w:pPr>
    <w:rPr>
      <w:rFonts w:hint="eastAsia" w:ascii="宋体" w:hAnsi="宋体"/>
      <w:sz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1"/>
    <w:pPr>
      <w:spacing w:line="400" w:lineRule="exact"/>
    </w:pPr>
    <w:rPr>
      <w:sz w:val="24"/>
    </w:rPr>
  </w:style>
  <w:style w:type="paragraph" w:styleId="6">
    <w:name w:val="Normal Indent"/>
    <w:basedOn w:val="1"/>
    <w:qFormat/>
    <w:uiPriority w:val="0"/>
    <w:pPr>
      <w:ind w:firstLine="420" w:firstLineChars="200"/>
    </w:pPr>
    <w:rPr>
      <w:szCs w:val="20"/>
    </w:rPr>
  </w:style>
  <w:style w:type="paragraph" w:styleId="7">
    <w:name w:val="annotation text"/>
    <w:basedOn w:val="1"/>
    <w:link w:val="55"/>
    <w:unhideWhenUsed/>
    <w:qFormat/>
    <w:uiPriority w:val="99"/>
    <w:pPr>
      <w:jc w:val="left"/>
    </w:pPr>
  </w:style>
  <w:style w:type="paragraph" w:styleId="8">
    <w:name w:val="Body Text 3"/>
    <w:basedOn w:val="1"/>
    <w:qFormat/>
    <w:uiPriority w:val="0"/>
    <w:pPr>
      <w:spacing w:after="120" w:line="440" w:lineRule="atLeast"/>
      <w:ind w:firstLine="482"/>
    </w:pPr>
    <w:rPr>
      <w:sz w:val="16"/>
      <w:szCs w:val="16"/>
    </w:rPr>
  </w:style>
  <w:style w:type="paragraph" w:styleId="9">
    <w:name w:val="Body Text"/>
    <w:basedOn w:val="1"/>
    <w:next w:val="10"/>
    <w:qFormat/>
    <w:uiPriority w:val="0"/>
    <w:pPr>
      <w:spacing w:after="120"/>
    </w:pPr>
  </w:style>
  <w:style w:type="paragraph" w:customStyle="1" w:styleId="10">
    <w:name w:val="Default"/>
    <w:qFormat/>
    <w:uiPriority w:val="0"/>
    <w:pPr>
      <w:widowControl w:val="0"/>
      <w:autoSpaceDE w:val="0"/>
      <w:autoSpaceDN w:val="0"/>
      <w:adjustRightInd w:val="0"/>
    </w:pPr>
    <w:rPr>
      <w:rFonts w:ascii="宋体" w:hAnsi="等线" w:eastAsia="等线" w:cs="宋体"/>
      <w:color w:val="000000"/>
      <w:sz w:val="24"/>
      <w:szCs w:val="24"/>
      <w:lang w:val="en-US" w:eastAsia="zh-CN" w:bidi="ar-SA"/>
    </w:rPr>
  </w:style>
  <w:style w:type="paragraph" w:styleId="11">
    <w:name w:val="Body Text Indent"/>
    <w:basedOn w:val="1"/>
    <w:next w:val="10"/>
    <w:qFormat/>
    <w:uiPriority w:val="0"/>
    <w:pPr>
      <w:spacing w:line="420" w:lineRule="exact"/>
      <w:ind w:firstLine="732" w:firstLineChars="300"/>
    </w:pPr>
    <w:rPr>
      <w:spacing w:val="2"/>
      <w:sz w:val="24"/>
      <w:szCs w:val="20"/>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0"/>
    </w:rPr>
  </w:style>
  <w:style w:type="paragraph" w:styleId="14">
    <w:name w:val="endnote text"/>
    <w:basedOn w:val="1"/>
    <w:qFormat/>
    <w:uiPriority w:val="0"/>
    <w:pPr>
      <w:snapToGrid w:val="0"/>
      <w:jc w:val="left"/>
    </w:pPr>
  </w:style>
  <w:style w:type="paragraph" w:styleId="15">
    <w:name w:val="Balloon Text"/>
    <w:basedOn w:val="1"/>
    <w:link w:val="54"/>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39"/>
    <w:pPr>
      <w:tabs>
        <w:tab w:val="right" w:leader="dot" w:pos="8777"/>
      </w:tabs>
      <w:jc w:val="center"/>
    </w:pPr>
    <w:rPr>
      <w:rFonts w:ascii="仿宋_GB2312" w:hAnsi="宋体" w:eastAsia="仿宋_GB2312"/>
      <w:b/>
      <w:kern w:val="44"/>
      <w:sz w:val="28"/>
      <w:szCs w:val="28"/>
    </w:rPr>
  </w:style>
  <w:style w:type="paragraph" w:styleId="19">
    <w:name w:val="toc 2"/>
    <w:basedOn w:val="1"/>
    <w:next w:val="1"/>
    <w:qFormat/>
    <w:uiPriority w:val="0"/>
    <w:pPr>
      <w:ind w:left="420" w:leftChars="200"/>
    </w:pPr>
  </w:style>
  <w:style w:type="paragraph" w:styleId="20">
    <w:name w:val="Body Text 2"/>
    <w:basedOn w:val="1"/>
    <w:qFormat/>
    <w:uiPriority w:val="0"/>
    <w:pPr>
      <w:spacing w:after="120" w:line="480" w:lineRule="auto"/>
    </w:pPr>
  </w:style>
  <w:style w:type="paragraph" w:styleId="2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22">
    <w:name w:val="Normal (Web)"/>
    <w:basedOn w:val="1"/>
    <w:qFormat/>
    <w:uiPriority w:val="0"/>
    <w:pPr>
      <w:widowControl/>
      <w:spacing w:before="100" w:beforeAutospacing="1" w:after="100" w:afterAutospacing="1"/>
      <w:jc w:val="left"/>
    </w:pPr>
    <w:rPr>
      <w:rFonts w:ascii="宋体" w:hAnsi="宋体"/>
      <w:kern w:val="0"/>
      <w:sz w:val="24"/>
    </w:rPr>
  </w:style>
  <w:style w:type="paragraph" w:styleId="23">
    <w:name w:val="annotation subject"/>
    <w:basedOn w:val="7"/>
    <w:next w:val="7"/>
    <w:link w:val="56"/>
    <w:qFormat/>
    <w:uiPriority w:val="0"/>
    <w:rPr>
      <w:b/>
      <w:bCs/>
    </w:rPr>
  </w:style>
  <w:style w:type="paragraph" w:styleId="24">
    <w:name w:val="Body Text First Indent"/>
    <w:basedOn w:val="9"/>
    <w:qFormat/>
    <w:uiPriority w:val="0"/>
    <w:pPr>
      <w:ind w:firstLine="420" w:firstLineChars="100"/>
    </w:pPr>
  </w:style>
  <w:style w:type="paragraph" w:styleId="25">
    <w:name w:val="Body Text First Indent 2"/>
    <w:basedOn w:val="11"/>
    <w:next w:val="1"/>
    <w:qFormat/>
    <w:uiPriority w:val="0"/>
    <w:pPr>
      <w:spacing w:after="120" w:line="240" w:lineRule="auto"/>
      <w:ind w:left="420" w:leftChars="200" w:firstLine="420" w:firstLineChars="200"/>
    </w:pPr>
    <w:rPr>
      <w:sz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style>
  <w:style w:type="character" w:styleId="30">
    <w:name w:val="endnote reference"/>
    <w:basedOn w:val="28"/>
    <w:qFormat/>
    <w:uiPriority w:val="0"/>
    <w:rPr>
      <w:vertAlign w:val="superscript"/>
    </w:rPr>
  </w:style>
  <w:style w:type="character" w:styleId="31">
    <w:name w:val="page number"/>
    <w:qFormat/>
    <w:uiPriority w:val="0"/>
    <w:rPr>
      <w:rFonts w:ascii="Times New Roman" w:hAnsi="Times New Roman" w:eastAsia="宋体" w:cs="Times New Roman"/>
    </w:rPr>
  </w:style>
  <w:style w:type="character" w:styleId="32">
    <w:name w:val="FollowedHyperlink"/>
    <w:basedOn w:val="28"/>
    <w:qFormat/>
    <w:uiPriority w:val="0"/>
    <w:rPr>
      <w:color w:val="333333"/>
      <w:u w:val="none"/>
    </w:rPr>
  </w:style>
  <w:style w:type="character" w:styleId="33">
    <w:name w:val="Emphasis"/>
    <w:basedOn w:val="28"/>
    <w:qFormat/>
    <w:uiPriority w:val="0"/>
  </w:style>
  <w:style w:type="character" w:styleId="34">
    <w:name w:val="HTML Definition"/>
    <w:basedOn w:val="28"/>
    <w:qFormat/>
    <w:uiPriority w:val="0"/>
  </w:style>
  <w:style w:type="character" w:styleId="35">
    <w:name w:val="HTML Typewriter"/>
    <w:basedOn w:val="28"/>
    <w:qFormat/>
    <w:uiPriority w:val="0"/>
    <w:rPr>
      <w:rFonts w:hint="default" w:ascii="monospace" w:hAnsi="monospace" w:eastAsia="monospace" w:cs="monospace"/>
      <w:sz w:val="20"/>
    </w:rPr>
  </w:style>
  <w:style w:type="character" w:styleId="36">
    <w:name w:val="HTML Acronym"/>
    <w:basedOn w:val="28"/>
    <w:qFormat/>
    <w:uiPriority w:val="0"/>
  </w:style>
  <w:style w:type="character" w:styleId="37">
    <w:name w:val="HTML Variable"/>
    <w:basedOn w:val="28"/>
    <w:qFormat/>
    <w:uiPriority w:val="0"/>
  </w:style>
  <w:style w:type="character" w:styleId="38">
    <w:name w:val="Hyperlink"/>
    <w:qFormat/>
    <w:uiPriority w:val="99"/>
    <w:rPr>
      <w:rFonts w:ascii="Times New Roman" w:hAnsi="Times New Roman" w:eastAsia="宋体" w:cs="Times New Roman"/>
      <w:color w:val="0000FF"/>
      <w:u w:val="single"/>
    </w:rPr>
  </w:style>
  <w:style w:type="character" w:styleId="39">
    <w:name w:val="HTML Code"/>
    <w:basedOn w:val="28"/>
    <w:qFormat/>
    <w:uiPriority w:val="0"/>
    <w:rPr>
      <w:rFonts w:hint="default" w:ascii="monospace" w:hAnsi="monospace" w:eastAsia="monospace" w:cs="monospace"/>
      <w:sz w:val="20"/>
    </w:rPr>
  </w:style>
  <w:style w:type="character" w:styleId="40">
    <w:name w:val="annotation reference"/>
    <w:unhideWhenUsed/>
    <w:qFormat/>
    <w:uiPriority w:val="0"/>
    <w:rPr>
      <w:sz w:val="21"/>
      <w:szCs w:val="21"/>
    </w:rPr>
  </w:style>
  <w:style w:type="character" w:styleId="41">
    <w:name w:val="HTML Cite"/>
    <w:basedOn w:val="28"/>
    <w:qFormat/>
    <w:uiPriority w:val="0"/>
  </w:style>
  <w:style w:type="character" w:styleId="42">
    <w:name w:val="HTML Keyboard"/>
    <w:basedOn w:val="28"/>
    <w:qFormat/>
    <w:uiPriority w:val="0"/>
    <w:rPr>
      <w:rFonts w:hint="default" w:ascii="monospace" w:hAnsi="monospace" w:eastAsia="monospace" w:cs="monospace"/>
      <w:sz w:val="20"/>
    </w:rPr>
  </w:style>
  <w:style w:type="character" w:styleId="43">
    <w:name w:val="HTML Sample"/>
    <w:basedOn w:val="28"/>
    <w:qFormat/>
    <w:uiPriority w:val="0"/>
    <w:rPr>
      <w:rFonts w:ascii="monospace" w:hAnsi="monospace" w:eastAsia="monospace" w:cs="monospace"/>
    </w:rPr>
  </w:style>
  <w:style w:type="paragraph" w:customStyle="1" w:styleId="44">
    <w:name w:val="Body Text First Indent1"/>
    <w:basedOn w:val="9"/>
    <w:qFormat/>
    <w:uiPriority w:val="99"/>
    <w:pPr>
      <w:ind w:firstLine="420"/>
    </w:pPr>
    <w:rPr>
      <w:rFonts w:ascii="Calibri" w:hAnsi="Calibri"/>
      <w:sz w:val="32"/>
    </w:rPr>
  </w:style>
  <w:style w:type="paragraph" w:customStyle="1" w:styleId="45">
    <w:name w:val="BodyText1I2"/>
    <w:basedOn w:val="46"/>
    <w:qFormat/>
    <w:uiPriority w:val="0"/>
    <w:pPr>
      <w:ind w:firstLine="420" w:firstLineChars="200"/>
    </w:pPr>
  </w:style>
  <w:style w:type="paragraph" w:customStyle="1" w:styleId="46">
    <w:name w:val="BodyTextIndent"/>
    <w:basedOn w:val="1"/>
    <w:qFormat/>
    <w:uiPriority w:val="0"/>
    <w:pPr>
      <w:spacing w:after="120"/>
      <w:ind w:left="420" w:leftChars="200"/>
      <w:textAlignment w:val="baseline"/>
    </w:pPr>
  </w:style>
  <w:style w:type="character" w:customStyle="1" w:styleId="47">
    <w:name w:val="NormalCharacter"/>
    <w:semiHidden/>
    <w:qFormat/>
    <w:uiPriority w:val="0"/>
  </w:style>
  <w:style w:type="paragraph" w:styleId="48">
    <w:name w:val="List Paragraph"/>
    <w:basedOn w:val="1"/>
    <w:qFormat/>
    <w:uiPriority w:val="0"/>
    <w:pPr>
      <w:ind w:firstLine="420" w:firstLineChars="200"/>
    </w:pPr>
    <w:rPr>
      <w:szCs w:val="22"/>
    </w:rPr>
  </w:style>
  <w:style w:type="paragraph" w:customStyle="1" w:styleId="49">
    <w:name w:val="WPSOffice手动目录 1"/>
    <w:qFormat/>
    <w:uiPriority w:val="0"/>
    <w:rPr>
      <w:rFonts w:ascii="Times New Roman" w:hAnsi="Times New Roman" w:eastAsia="宋体" w:cs="Times New Roman"/>
      <w:lang w:val="en-US" w:eastAsia="zh-CN" w:bidi="ar-SA"/>
    </w:rPr>
  </w:style>
  <w:style w:type="paragraph" w:customStyle="1" w:styleId="5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1">
    <w:name w:val="列表段落"/>
    <w:basedOn w:val="1"/>
    <w:qFormat/>
    <w:uiPriority w:val="0"/>
    <w:pPr>
      <w:ind w:firstLine="420" w:firstLineChars="200"/>
    </w:pPr>
    <w:rPr>
      <w:szCs w:val="22"/>
    </w:rPr>
  </w:style>
  <w:style w:type="paragraph" w:customStyle="1" w:styleId="52">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正文_13_0"/>
    <w:basedOn w:val="1"/>
    <w:qFormat/>
    <w:uiPriority w:val="0"/>
  </w:style>
  <w:style w:type="character" w:customStyle="1" w:styleId="54">
    <w:name w:val="批注框文本 Char"/>
    <w:basedOn w:val="28"/>
    <w:link w:val="15"/>
    <w:qFormat/>
    <w:uiPriority w:val="0"/>
    <w:rPr>
      <w:kern w:val="2"/>
      <w:sz w:val="18"/>
      <w:szCs w:val="18"/>
    </w:rPr>
  </w:style>
  <w:style w:type="character" w:customStyle="1" w:styleId="55">
    <w:name w:val="批注文字 Char"/>
    <w:basedOn w:val="28"/>
    <w:link w:val="7"/>
    <w:qFormat/>
    <w:uiPriority w:val="99"/>
    <w:rPr>
      <w:kern w:val="2"/>
      <w:sz w:val="21"/>
      <w:szCs w:val="24"/>
    </w:rPr>
  </w:style>
  <w:style w:type="character" w:customStyle="1" w:styleId="56">
    <w:name w:val="批注主题 Char"/>
    <w:basedOn w:val="55"/>
    <w:link w:val="23"/>
    <w:qFormat/>
    <w:uiPriority w:val="0"/>
    <w:rPr>
      <w:b/>
      <w:bCs/>
      <w:kern w:val="2"/>
      <w:sz w:val="21"/>
      <w:szCs w:val="24"/>
    </w:rPr>
  </w:style>
  <w:style w:type="character" w:customStyle="1" w:styleId="57">
    <w:name w:val="lmtit"/>
    <w:basedOn w:val="28"/>
    <w:qFormat/>
    <w:uiPriority w:val="0"/>
  </w:style>
  <w:style w:type="paragraph" w:customStyle="1" w:styleId="5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5956</Words>
  <Characters>33952</Characters>
  <Lines>282</Lines>
  <Paragraphs>79</Paragraphs>
  <TotalTime>31</TotalTime>
  <ScaleCrop>false</ScaleCrop>
  <LinksUpToDate>false</LinksUpToDate>
  <CharactersWithSpaces>39829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2020-07-16T00:25:00Z</dcterms:created>
  <dc:creator>Administrator</dc:creator>
  <cp:lastModifiedBy>阝东   木  可</cp:lastModifiedBy>
  <cp:lastPrinted>2021-08-24T07:47:16Z</cp:lastPrinted>
  <dcterms:modified xsi:type="dcterms:W3CDTF">2021-08-24T08:15:05Z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758D155E01D3446582EE7F896E38A465</vt:lpwstr>
  </property>
</Properties>
</file>