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482" w:firstLineChars="200"/>
        <w:rPr>
          <w:rFonts w:ascii="宋体" w:hAnsi="宋体"/>
          <w:sz w:val="24"/>
        </w:rPr>
      </w:pPr>
      <w:bookmarkStart w:id="0" w:name="_GoBack"/>
      <w:bookmarkEnd w:id="0"/>
      <w:r>
        <w:rPr>
          <w:rFonts w:hint="eastAsia" w:ascii="宋体" w:hAnsi="宋体"/>
          <w:b/>
          <w:bCs/>
          <w:sz w:val="24"/>
        </w:rPr>
        <w:t>一、技术需求</w:t>
      </w:r>
    </w:p>
    <w:tbl>
      <w:tblPr>
        <w:tblStyle w:val="6"/>
        <w:tblW w:w="86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25"/>
        <w:gridCol w:w="1166"/>
        <w:gridCol w:w="5719"/>
        <w:gridCol w:w="660"/>
        <w:gridCol w:w="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2" w:hRule="atLeast"/>
        </w:trPr>
        <w:tc>
          <w:tcPr>
            <w:tcW w:w="525" w:type="dxa"/>
            <w:tcMar>
              <w:top w:w="15" w:type="dxa"/>
              <w:left w:w="15" w:type="dxa"/>
              <w:right w:w="15" w:type="dxa"/>
            </w:tcMar>
            <w:vAlign w:val="center"/>
          </w:tcPr>
          <w:p>
            <w:pPr>
              <w:widowControl/>
              <w:textAlignment w:val="center"/>
              <w:rPr>
                <w:rFonts w:ascii="宋体" w:hAnsi="宋体" w:cs="宋体"/>
                <w:b/>
                <w:szCs w:val="21"/>
              </w:rPr>
            </w:pPr>
            <w:r>
              <w:rPr>
                <w:rFonts w:hint="eastAsia" w:ascii="宋体" w:hAnsi="宋体" w:cs="宋体"/>
                <w:b/>
                <w:kern w:val="0"/>
                <w:szCs w:val="21"/>
                <w:lang w:bidi="ar"/>
              </w:rPr>
              <w:t>序号</w:t>
            </w:r>
          </w:p>
        </w:tc>
        <w:tc>
          <w:tcPr>
            <w:tcW w:w="1166" w:type="dxa"/>
            <w:tcMar>
              <w:top w:w="15" w:type="dxa"/>
              <w:left w:w="15" w:type="dxa"/>
              <w:right w:w="15" w:type="dxa"/>
            </w:tcMar>
            <w:vAlign w:val="center"/>
          </w:tcPr>
          <w:p>
            <w:pPr>
              <w:widowControl/>
              <w:jc w:val="center"/>
              <w:textAlignment w:val="center"/>
              <w:rPr>
                <w:rFonts w:ascii="宋体" w:hAnsi="宋体" w:cs="宋体"/>
                <w:b/>
                <w:szCs w:val="21"/>
              </w:rPr>
            </w:pPr>
            <w:r>
              <w:rPr>
                <w:rFonts w:hint="eastAsia" w:ascii="宋体" w:hAnsi="宋体" w:cs="宋体"/>
                <w:b/>
                <w:kern w:val="0"/>
                <w:szCs w:val="21"/>
                <w:lang w:bidi="ar"/>
              </w:rPr>
              <w:t>货物名称</w:t>
            </w:r>
          </w:p>
        </w:tc>
        <w:tc>
          <w:tcPr>
            <w:tcW w:w="5719" w:type="dxa"/>
            <w:tcMar>
              <w:top w:w="15" w:type="dxa"/>
              <w:left w:w="15" w:type="dxa"/>
              <w:right w:w="15" w:type="dxa"/>
            </w:tcMar>
            <w:vAlign w:val="center"/>
          </w:tcPr>
          <w:p>
            <w:pPr>
              <w:widowControl/>
              <w:jc w:val="center"/>
              <w:textAlignment w:val="center"/>
              <w:rPr>
                <w:rFonts w:ascii="宋体" w:hAnsi="宋体" w:cs="宋体"/>
                <w:b/>
                <w:szCs w:val="21"/>
              </w:rPr>
            </w:pPr>
            <w:r>
              <w:rPr>
                <w:rFonts w:hint="eastAsia" w:ascii="宋体" w:hAnsi="宋体" w:cs="宋体"/>
                <w:b/>
                <w:kern w:val="0"/>
                <w:szCs w:val="21"/>
                <w:lang w:bidi="ar"/>
              </w:rPr>
              <w:t>质量技术要求</w:t>
            </w:r>
          </w:p>
        </w:tc>
        <w:tc>
          <w:tcPr>
            <w:tcW w:w="660" w:type="dxa"/>
            <w:tcMar>
              <w:top w:w="15" w:type="dxa"/>
              <w:left w:w="15" w:type="dxa"/>
              <w:right w:w="15" w:type="dxa"/>
            </w:tcMar>
            <w:vAlign w:val="center"/>
          </w:tcPr>
          <w:p>
            <w:pPr>
              <w:widowControl/>
              <w:jc w:val="center"/>
              <w:textAlignment w:val="center"/>
              <w:rPr>
                <w:rFonts w:ascii="宋体" w:hAnsi="宋体" w:cs="宋体"/>
                <w:b/>
                <w:szCs w:val="21"/>
              </w:rPr>
            </w:pPr>
            <w:r>
              <w:rPr>
                <w:rFonts w:hint="eastAsia" w:ascii="宋体" w:hAnsi="宋体" w:cs="宋体"/>
                <w:b/>
                <w:kern w:val="0"/>
                <w:szCs w:val="21"/>
                <w:lang w:bidi="ar"/>
              </w:rPr>
              <w:t>数量</w:t>
            </w:r>
          </w:p>
        </w:tc>
        <w:tc>
          <w:tcPr>
            <w:tcW w:w="585" w:type="dxa"/>
            <w:tcMar>
              <w:top w:w="15" w:type="dxa"/>
              <w:left w:w="15" w:type="dxa"/>
              <w:right w:w="15" w:type="dxa"/>
            </w:tcMar>
            <w:vAlign w:val="center"/>
          </w:tcPr>
          <w:p>
            <w:pPr>
              <w:widowControl/>
              <w:jc w:val="center"/>
              <w:textAlignment w:val="center"/>
              <w:rPr>
                <w:rFonts w:ascii="宋体" w:hAnsi="宋体" w:cs="宋体"/>
                <w:b/>
                <w:szCs w:val="21"/>
              </w:rPr>
            </w:pPr>
            <w:r>
              <w:rPr>
                <w:rFonts w:hint="eastAsia" w:ascii="宋体" w:hAnsi="宋体" w:cs="宋体"/>
                <w:b/>
                <w:kern w:val="0"/>
                <w:szCs w:val="21"/>
                <w:lang w:bidi="ar"/>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2" w:hRule="atLeast"/>
        </w:trPr>
        <w:tc>
          <w:tcPr>
            <w:tcW w:w="8655" w:type="dxa"/>
            <w:gridSpan w:val="5"/>
            <w:tcMar>
              <w:top w:w="15" w:type="dxa"/>
              <w:left w:w="15" w:type="dxa"/>
              <w:right w:w="15" w:type="dxa"/>
            </w:tcMar>
            <w:vAlign w:val="center"/>
          </w:tcPr>
          <w:p>
            <w:pPr>
              <w:widowControl/>
              <w:jc w:val="left"/>
              <w:textAlignment w:val="center"/>
              <w:rPr>
                <w:rFonts w:ascii="宋体" w:hAnsi="宋体" w:cs="宋体"/>
                <w:b/>
                <w:szCs w:val="21"/>
              </w:rPr>
            </w:pPr>
            <w:r>
              <w:rPr>
                <w:rFonts w:hint="eastAsia" w:ascii="宋体" w:hAnsi="宋体" w:cs="宋体"/>
                <w:b/>
                <w:kern w:val="0"/>
                <w:szCs w:val="21"/>
                <w:lang w:bidi="ar"/>
              </w:rPr>
              <w:t>一、LED会议屏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525" w:type="dxa"/>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1166" w:type="dxa"/>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LED全彩显示屏</w:t>
            </w:r>
          </w:p>
        </w:tc>
        <w:tc>
          <w:tcPr>
            <w:tcW w:w="5719" w:type="dxa"/>
            <w:tcMar>
              <w:top w:w="15" w:type="dxa"/>
              <w:left w:w="15" w:type="dxa"/>
              <w:right w:w="15" w:type="dxa"/>
            </w:tcMar>
            <w:vAlign w:val="center"/>
          </w:tcPr>
          <w:p>
            <w:pPr>
              <w:widowControl/>
              <w:jc w:val="left"/>
              <w:textAlignment w:val="center"/>
              <w:rPr>
                <w:rFonts w:ascii="宋体" w:hAnsi="宋体" w:cs="宋体"/>
                <w:kern w:val="0"/>
                <w:szCs w:val="21"/>
                <w:lang w:bidi="ar"/>
              </w:rPr>
            </w:pPr>
            <w:r>
              <w:rPr>
                <w:rFonts w:hint="eastAsia" w:ascii="宋体" w:hAnsi="宋体" w:cs="宋体"/>
                <w:kern w:val="0"/>
                <w:szCs w:val="21"/>
                <w:lang w:bidi="ar"/>
              </w:rPr>
              <w:t>1. LED类型采用SMD表贴三合一封装,自发光显示，点间距≤1.84mm。显示屏尺寸为宽≥7.68m，高≥2.88m，显示面积≥22.11㎡，显示屏长宽根据根各生产厂家自行设计，长宽尺寸和面积不小于规定尺寸。</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●2. 本项目要求单元箱体为所投品牌整机出货，不接受市场组装机，所有材料均满足无铅环保制程要求，压铸铝箱体和LED显示灯板均具有所投品牌LOGO, 整机经过各项安全和可靠性测试，提供具有所投品牌LOGO的模组、压铸铝箱体的高清实物图。</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3.最高对比度≥10000:1。</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4.亮度≥800nit，（0-100%无极可调）。</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5.色温：1000-13000K 可调，调节步长100K。</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6.可视角度：水平≥170°，垂直≥170°。</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7.刷新频率≥3840HZ,画面延时≤2ms,亮度均匀性≥99%；色彩偏离度（色准）：ΔE≤0.9；色域：≥120% NTSC。</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 xml:space="preserve">8.峰值功耗：≤480W/㎡，平均功耗：≤160㎡，采用低转折节能技术，4档可调节恒流拐点电压，支持智能(黑屏)节电功能，开启智能节电功能比没有开启节电40%以上； </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 xml:space="preserve">9.模组平整度：≤0.1mm;模组间隙≤0.1mm。支持软硬件调节亮暗线功能，暗线修复、隐亮消除;支持以模组为单位进行三维调节. </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 xml:space="preserve">10.具有模块及亮度、色度校正功能，校正数据可保存及回读。屏体长时间没有使用，屏体自动切入除湿模式； </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 xml:space="preserve">11.表面采用防眩光黑色电喷工艺，表面墨色一致性和散热性好，焊盘采用OSP工艺处理，充分保证单模块安装的稳定性和抗氧化性； </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 xml:space="preserve">12.显示屏具有多点测温系统，均衡散热，防止局部温度过高造成色彩漂移，并提高显示屏寿命； </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●13.具有电源过压、过流、断电保护及温度控制系统，对电源进行实时温度监控，超出设定温度自动报警，防止过温失效。提供</w:t>
            </w:r>
            <w:r>
              <w:rPr>
                <w:rFonts w:hint="eastAsia" w:ascii="宋体" w:hAnsi="宋体" w:cs="宋体"/>
                <w:kern w:val="0"/>
                <w:szCs w:val="21"/>
                <w:lang w:val="en-US" w:eastAsia="zh-CN" w:bidi="ar"/>
              </w:rPr>
              <w:t>具有相应资质单位出具的</w:t>
            </w:r>
            <w:r>
              <w:rPr>
                <w:rFonts w:hint="eastAsia" w:ascii="宋体" w:hAnsi="宋体" w:cs="宋体"/>
                <w:kern w:val="0"/>
                <w:szCs w:val="21"/>
                <w:lang w:bidi="ar"/>
              </w:rPr>
              <w:t>第三方检测报告和LED显示屏电源温度控制系统软件证明材料。</w:t>
            </w:r>
          </w:p>
          <w:p>
            <w:pPr>
              <w:widowControl/>
              <w:jc w:val="left"/>
              <w:textAlignment w:val="center"/>
              <w:rPr>
                <w:rFonts w:ascii="宋体" w:hAnsi="宋体" w:cs="宋体"/>
                <w:szCs w:val="21"/>
              </w:rPr>
            </w:pPr>
            <w:r>
              <w:rPr>
                <w:rFonts w:hint="eastAsia" w:ascii="宋体" w:hAnsi="宋体" w:cs="宋体"/>
                <w:kern w:val="0"/>
                <w:szCs w:val="21"/>
                <w:lang w:bidi="ar"/>
              </w:rPr>
              <w:t>●14.显示屏具有提高显示效果的技术特点，较短距离观看时，可以一定程度上缓解颗粒感问题，以及可以提高整个图像显示的视觉过渡效果；提供符合上述技术要求的权威的第三方网络查询链接和网页截图</w:t>
            </w:r>
          </w:p>
        </w:tc>
        <w:tc>
          <w:tcPr>
            <w:tcW w:w="660" w:type="dxa"/>
            <w:noWrap/>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22.12</w:t>
            </w:r>
          </w:p>
        </w:tc>
        <w:tc>
          <w:tcPr>
            <w:tcW w:w="585" w:type="dxa"/>
            <w:noWrap/>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平方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0" w:hRule="atLeast"/>
        </w:trPr>
        <w:tc>
          <w:tcPr>
            <w:tcW w:w="8655" w:type="dxa"/>
            <w:gridSpan w:val="5"/>
            <w:tcMar>
              <w:top w:w="15" w:type="dxa"/>
              <w:left w:w="15" w:type="dxa"/>
              <w:right w:w="15" w:type="dxa"/>
            </w:tcMar>
            <w:vAlign w:val="center"/>
          </w:tcPr>
          <w:p>
            <w:pPr>
              <w:widowControl/>
              <w:jc w:val="left"/>
              <w:textAlignment w:val="center"/>
              <w:rPr>
                <w:rFonts w:ascii="宋体" w:hAnsi="宋体" w:cs="宋体"/>
                <w:b/>
                <w:szCs w:val="21"/>
              </w:rPr>
            </w:pPr>
            <w:r>
              <w:rPr>
                <w:rFonts w:hint="eastAsia" w:ascii="宋体" w:hAnsi="宋体" w:cs="宋体"/>
                <w:b/>
                <w:kern w:val="0"/>
                <w:szCs w:val="21"/>
                <w:lang w:bidi="ar"/>
              </w:rPr>
              <w:t>二、LED辅助条屏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525" w:type="dxa"/>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1166" w:type="dxa"/>
            <w:tcMar>
              <w:top w:w="15" w:type="dxa"/>
              <w:left w:w="15" w:type="dxa"/>
              <w:right w:w="15" w:type="dxa"/>
            </w:tcMar>
            <w:vAlign w:val="center"/>
          </w:tcPr>
          <w:p>
            <w:pPr>
              <w:jc w:val="center"/>
              <w:rPr>
                <w:rFonts w:ascii="宋体" w:hAnsi="宋体" w:cs="宋体"/>
                <w:szCs w:val="21"/>
              </w:rPr>
            </w:pPr>
            <w:r>
              <w:rPr>
                <w:rFonts w:hint="eastAsia" w:ascii="宋体" w:hAnsi="宋体" w:cs="宋体"/>
                <w:szCs w:val="21"/>
              </w:rPr>
              <w:t>LED彩色显示屏</w:t>
            </w:r>
          </w:p>
        </w:tc>
        <w:tc>
          <w:tcPr>
            <w:tcW w:w="5719" w:type="dxa"/>
            <w:tcMar>
              <w:top w:w="15" w:type="dxa"/>
              <w:left w:w="15" w:type="dxa"/>
              <w:right w:w="15" w:type="dxa"/>
            </w:tcMar>
            <w:vAlign w:val="center"/>
          </w:tcPr>
          <w:p>
            <w:pPr>
              <w:widowControl/>
              <w:jc w:val="left"/>
              <w:textAlignment w:val="center"/>
              <w:rPr>
                <w:rFonts w:ascii="宋体" w:hAnsi="宋体" w:cs="宋体"/>
                <w:kern w:val="0"/>
                <w:szCs w:val="21"/>
                <w:lang w:bidi="ar"/>
              </w:rPr>
            </w:pPr>
            <w:r>
              <w:rPr>
                <w:rFonts w:hint="eastAsia" w:ascii="宋体" w:hAnsi="宋体" w:cs="宋体"/>
                <w:kern w:val="0"/>
                <w:szCs w:val="21"/>
                <w:lang w:bidi="ar"/>
              </w:rPr>
              <w:t>1. LED类型采用SMD表贴三合一封装，点间距≤3.1mm。显示面积≥3.68㎡。</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2. 整机采用压铸铝箱体，保证箱体拼接的平整度和密封防尘性；全金属散热、无风扇，无孔，防尘静音设计；支持模组、电源、接收卡前维护\后维护方式。</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●3. 本项目要求单元箱体为所投品牌整机出货，不接受市场组装机，所有材料均满足无铅环保制程要求，压铸铝箱体和LED显示灯板均具有所投品牌LOGO, 整机经过各项安全和可靠性测试，提供所投型号产品模和压铸铝箱体整机外观实物照片。</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4.最高对比度≥10000:1。</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5.亮度≥700nit，（0-100%无极可调）。</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6.色温：1000-13000K 可调，调节步长100K。</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7.可视角度：水平≥170°，垂直≥170°。</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8.刷新频率≥3840HZ 。</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9.亮度均匀性≥98%；</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 xml:space="preserve">10.峰值功耗：≤480W/㎡，平均功耗：≤180㎡，采用低转折节能技术，4档可调节恒流拐点电压，支持智能(黑屏)节电功能，开启智能节电功能比没有开启节电40%以上； </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11. 模组平整度：≤0.1mm;模组间隙≤0.1mm。支持软硬件调节亮暗线功能，暗线修复、隐亮消除;</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12. 灰度等级：≥16bit。满足低亮高灰要求，100%亮度时，16bit;20%亮度时，14bit。</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13. 控制方式：同步控制，具备USB、TCP/IP、手机三种控制方式。可实现远程联网控制。</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 xml:space="preserve">14. 工作时间满足7×24小时连续工作无故障，平均故障间隔时间（MTBF）≥100,000小时，平均故障恢复时间（MTTR）≤5分钟；画面延时≤2ms. </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 xml:space="preserve">15. 具有模块及亮度、色度校正功能，校正数据可保存及回读。屏体长时间没有使用，屏体自动切入除湿模式； </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 xml:space="preserve">16. 表面采用防眩光黑色电喷工艺，表面墨色一致性和散热性好，焊盘采用OSP工艺处理，充分保证单模块安装的稳定性和抗氧化性； </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 xml:space="preserve">●17. 自动Gamma矫正技术，通过构造非线性校正曲线和色坐标变换系数矩阵实现了显示效果的不断改善，各项重要指标如色彩还原性、色温调节范围、亮度均匀性、刷新率、换帧频率等，均符合广电级标准； </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以上参数4-17项提供</w:t>
            </w:r>
            <w:r>
              <w:rPr>
                <w:rFonts w:hint="eastAsia" w:ascii="宋体" w:hAnsi="宋体" w:cs="宋体"/>
                <w:kern w:val="0"/>
                <w:szCs w:val="21"/>
                <w:lang w:eastAsia="zh-CN" w:bidi="ar"/>
              </w:rPr>
              <w:t>具有相应资质单位</w:t>
            </w:r>
            <w:r>
              <w:rPr>
                <w:rFonts w:hint="eastAsia" w:ascii="宋体" w:hAnsi="宋体" w:cs="宋体"/>
                <w:kern w:val="0"/>
                <w:szCs w:val="21"/>
                <w:lang w:bidi="ar"/>
              </w:rPr>
              <w:t>出具的第三方检测报告。</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●18. 显示屏具有多点测温系统，均衡散热，防止局部温度过高造成色彩漂移，并提高显示屏寿命；提供</w:t>
            </w:r>
            <w:r>
              <w:rPr>
                <w:rFonts w:hint="eastAsia" w:ascii="宋体" w:hAnsi="宋体" w:cs="宋体"/>
                <w:kern w:val="0"/>
                <w:szCs w:val="21"/>
                <w:lang w:eastAsia="zh-CN" w:bidi="ar"/>
              </w:rPr>
              <w:t>具有相应资质单位</w:t>
            </w:r>
            <w:r>
              <w:rPr>
                <w:rFonts w:hint="eastAsia" w:ascii="宋体" w:hAnsi="宋体" w:cs="宋体"/>
                <w:kern w:val="0"/>
                <w:szCs w:val="21"/>
                <w:lang w:bidi="ar"/>
              </w:rPr>
              <w:t>出具的第三方检测报告。</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●19. 具有电源过压、过流、断电保护及温度控制系统，对电源进行实时温度监控，超出设定温度自动报警，防止过温失效。提供</w:t>
            </w:r>
            <w:r>
              <w:rPr>
                <w:rFonts w:hint="eastAsia" w:ascii="宋体" w:hAnsi="宋体" w:cs="宋体"/>
                <w:kern w:val="0"/>
                <w:szCs w:val="21"/>
                <w:lang w:eastAsia="zh-CN" w:bidi="ar"/>
              </w:rPr>
              <w:t>具有相应资质单位</w:t>
            </w:r>
            <w:r>
              <w:rPr>
                <w:rFonts w:hint="eastAsia" w:ascii="宋体" w:hAnsi="宋体" w:cs="宋体"/>
                <w:kern w:val="0"/>
                <w:szCs w:val="21"/>
                <w:lang w:bidi="ar"/>
              </w:rPr>
              <w:t>出具的第三方检测报告和LED显示屏电源温度控制系统软件证明材料。</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●20. 所投LED显示屏符合《电器电子产品有害物质限制使用自愿性认证实施规则》及CQC21-NV330-2019《 电器电子产品有害物质限制使用认证实施细则》的要求，提供第三方RoHS认证证书。</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21. 显示屏具有提高显示效果的技术特点，较短距离观看时，可以一定程度上缓解颗粒感问题，以及可以提高整个图像显示的视觉过渡效果；提供符合上述技术要求的第三方网络查询链接和网页截图。</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★22.为保证操作使用方便，LED辅助条屏和LED会议屏必须为统一品牌。</w:t>
            </w:r>
          </w:p>
        </w:tc>
        <w:tc>
          <w:tcPr>
            <w:tcW w:w="660" w:type="dxa"/>
            <w:noWrap/>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3.68</w:t>
            </w:r>
          </w:p>
        </w:tc>
        <w:tc>
          <w:tcPr>
            <w:tcW w:w="585" w:type="dxa"/>
            <w:noWrap/>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平方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8655" w:type="dxa"/>
            <w:gridSpan w:val="5"/>
            <w:tcMar>
              <w:top w:w="15" w:type="dxa"/>
              <w:left w:w="15" w:type="dxa"/>
              <w:right w:w="15" w:type="dxa"/>
            </w:tcMar>
            <w:vAlign w:val="center"/>
          </w:tcPr>
          <w:p>
            <w:pPr>
              <w:widowControl/>
              <w:numPr>
                <w:ilvl w:val="0"/>
                <w:numId w:val="1"/>
              </w:numPr>
              <w:jc w:val="left"/>
              <w:textAlignment w:val="center"/>
              <w:rPr>
                <w:rFonts w:ascii="宋体" w:hAnsi="宋体" w:cs="宋体"/>
                <w:b/>
                <w:kern w:val="0"/>
                <w:szCs w:val="21"/>
                <w:lang w:bidi="ar"/>
              </w:rPr>
            </w:pPr>
            <w:r>
              <w:rPr>
                <w:rFonts w:hint="eastAsia" w:ascii="宋体" w:hAnsi="宋体" w:cs="宋体"/>
                <w:b/>
                <w:kern w:val="0"/>
                <w:szCs w:val="21"/>
                <w:lang w:bidi="ar"/>
              </w:rPr>
              <w:t>辅助控制设备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525" w:type="dxa"/>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1166" w:type="dxa"/>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LED视频控制器</w:t>
            </w:r>
          </w:p>
        </w:tc>
        <w:tc>
          <w:tcPr>
            <w:tcW w:w="5719" w:type="dxa"/>
            <w:tcMar>
              <w:top w:w="15" w:type="dxa"/>
              <w:left w:w="15" w:type="dxa"/>
              <w:right w:w="15" w:type="dxa"/>
            </w:tcMar>
            <w:vAlign w:val="center"/>
          </w:tcPr>
          <w:p>
            <w:pPr>
              <w:widowControl/>
              <w:jc w:val="left"/>
              <w:textAlignment w:val="center"/>
              <w:rPr>
                <w:rFonts w:ascii="宋体" w:hAnsi="宋体" w:cs="宋体"/>
                <w:kern w:val="0"/>
                <w:szCs w:val="21"/>
                <w:lang w:bidi="ar"/>
              </w:rPr>
            </w:pPr>
            <w:r>
              <w:rPr>
                <w:rFonts w:hint="eastAsia" w:ascii="宋体" w:hAnsi="宋体" w:cs="宋体"/>
                <w:kern w:val="0"/>
                <w:szCs w:val="21"/>
                <w:lang w:bidi="ar"/>
              </w:rPr>
              <w:t>1.DVI视频输入；</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2.支持高位阶视频输入，12bit/10bit/8bit；</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3.普通视频带载能力：1920×1200，2048×1152，2560×960；</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4.支持视频格式：RGB，YCrCb4:2:2，YCrCb4:4:4；</w:t>
            </w:r>
          </w:p>
          <w:p>
            <w:pPr>
              <w:widowControl/>
              <w:jc w:val="left"/>
              <w:textAlignment w:val="center"/>
              <w:rPr>
                <w:rFonts w:ascii="宋体" w:hAnsi="宋体" w:cs="宋体"/>
                <w:szCs w:val="21"/>
              </w:rPr>
            </w:pPr>
            <w:r>
              <w:rPr>
                <w:rFonts w:hint="eastAsia" w:ascii="宋体" w:hAnsi="宋体" w:cs="宋体"/>
                <w:kern w:val="0"/>
                <w:szCs w:val="21"/>
                <w:lang w:bidi="ar"/>
              </w:rPr>
              <w:t>★5.为保证系统兼容性LED显示控制器与全彩LED显示屏为同一品牌产品，提供相关证明材料复印件</w:t>
            </w:r>
          </w:p>
        </w:tc>
        <w:tc>
          <w:tcPr>
            <w:tcW w:w="660" w:type="dxa"/>
            <w:noWrap/>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6</w:t>
            </w:r>
          </w:p>
        </w:tc>
        <w:tc>
          <w:tcPr>
            <w:tcW w:w="585" w:type="dxa"/>
            <w:noWrap/>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525" w:type="dxa"/>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2</w:t>
            </w:r>
          </w:p>
        </w:tc>
        <w:tc>
          <w:tcPr>
            <w:tcW w:w="1166" w:type="dxa"/>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异步控制器</w:t>
            </w:r>
          </w:p>
        </w:tc>
        <w:tc>
          <w:tcPr>
            <w:tcW w:w="5719" w:type="dxa"/>
            <w:tcMar>
              <w:top w:w="15" w:type="dxa"/>
              <w:left w:w="15" w:type="dxa"/>
              <w:right w:w="15" w:type="dxa"/>
            </w:tcMar>
            <w:vAlign w:val="center"/>
          </w:tcPr>
          <w:p>
            <w:pPr>
              <w:widowControl/>
              <w:jc w:val="left"/>
              <w:textAlignment w:val="center"/>
              <w:rPr>
                <w:rFonts w:ascii="宋体" w:hAnsi="宋体" w:cs="宋体"/>
                <w:szCs w:val="21"/>
              </w:rPr>
            </w:pPr>
            <w:r>
              <w:rPr>
                <w:rFonts w:hint="eastAsia" w:ascii="宋体" w:hAnsi="宋体" w:cs="宋体"/>
                <w:kern w:val="0"/>
                <w:szCs w:val="21"/>
                <w:lang w:bidi="ar"/>
              </w:rPr>
              <w:t>异步控制，8G内存；支持异步发布信息；</w:t>
            </w:r>
          </w:p>
        </w:tc>
        <w:tc>
          <w:tcPr>
            <w:tcW w:w="660" w:type="dxa"/>
            <w:noWrap/>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585" w:type="dxa"/>
            <w:noWrap/>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525" w:type="dxa"/>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3</w:t>
            </w:r>
          </w:p>
        </w:tc>
        <w:tc>
          <w:tcPr>
            <w:tcW w:w="1166" w:type="dxa"/>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LED控制软件</w:t>
            </w:r>
          </w:p>
        </w:tc>
        <w:tc>
          <w:tcPr>
            <w:tcW w:w="5719" w:type="dxa"/>
            <w:tcMar>
              <w:top w:w="15" w:type="dxa"/>
              <w:left w:w="15" w:type="dxa"/>
              <w:right w:w="15" w:type="dxa"/>
            </w:tcMar>
            <w:vAlign w:val="center"/>
          </w:tcPr>
          <w:p>
            <w:pPr>
              <w:widowControl/>
              <w:jc w:val="left"/>
              <w:textAlignment w:val="center"/>
              <w:rPr>
                <w:rFonts w:ascii="宋体" w:hAnsi="宋体" w:cs="宋体"/>
                <w:kern w:val="0"/>
                <w:szCs w:val="21"/>
                <w:lang w:bidi="ar"/>
              </w:rPr>
            </w:pPr>
            <w:r>
              <w:rPr>
                <w:rFonts w:hint="eastAsia" w:ascii="宋体" w:hAnsi="宋体" w:cs="宋体"/>
                <w:kern w:val="0"/>
                <w:szCs w:val="21"/>
                <w:lang w:bidi="ar"/>
              </w:rPr>
              <w:t>1.支持多种视频格式、图片、动画、Office文件、文字、时钟、天气、计时、温湿度；</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2.丰富的媒体属性：包括透明、背景颜色、背景图片、透明度、音量、显示比例、出入场特效、特效速度、文字颜色、炫彩效果、字体、风格等；</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3.页面支持一个或多个窗口；</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4.支持多个窗口个数不同的页面按次数或播放时长切换播放，且切换过程平滑无黑帧；</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5.可设置不同的日期和时间播放不同的节目页；</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6.可实现多台异地显示屏同步播放；</w:t>
            </w:r>
          </w:p>
          <w:p>
            <w:pPr>
              <w:widowControl/>
              <w:jc w:val="left"/>
              <w:textAlignment w:val="center"/>
              <w:rPr>
                <w:rFonts w:ascii="宋体" w:hAnsi="宋体" w:cs="宋体"/>
                <w:szCs w:val="21"/>
              </w:rPr>
            </w:pPr>
            <w:r>
              <w:rPr>
                <w:rFonts w:hint="eastAsia" w:ascii="宋体" w:hAnsi="宋体" w:cs="宋体"/>
                <w:kern w:val="0"/>
                <w:szCs w:val="21"/>
                <w:lang w:bidi="ar"/>
              </w:rPr>
              <w:t>●7.为保证后期LED大屏控制软件使用的及后期升级的安全性，以及具备后期对接其他平台进行二次开发的能力，LED显示屏厂家需具备CMMI软件成熟度证书以及软件包加密升级管理软件著作权</w:t>
            </w:r>
          </w:p>
        </w:tc>
        <w:tc>
          <w:tcPr>
            <w:tcW w:w="660" w:type="dxa"/>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585" w:type="dxa"/>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9" w:hRule="atLeast"/>
        </w:trPr>
        <w:tc>
          <w:tcPr>
            <w:tcW w:w="525" w:type="dxa"/>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4</w:t>
            </w:r>
          </w:p>
        </w:tc>
        <w:tc>
          <w:tcPr>
            <w:tcW w:w="1166" w:type="dxa"/>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钢结构支架</w:t>
            </w:r>
          </w:p>
        </w:tc>
        <w:tc>
          <w:tcPr>
            <w:tcW w:w="5719" w:type="dxa"/>
            <w:tcMar>
              <w:top w:w="15" w:type="dxa"/>
              <w:left w:w="15" w:type="dxa"/>
              <w:right w:w="15" w:type="dxa"/>
            </w:tcMar>
            <w:vAlign w:val="center"/>
          </w:tcPr>
          <w:p>
            <w:pPr>
              <w:widowControl/>
              <w:jc w:val="left"/>
              <w:textAlignment w:val="center"/>
              <w:rPr>
                <w:rFonts w:ascii="宋体" w:hAnsi="宋体" w:cs="宋体"/>
                <w:szCs w:val="21"/>
              </w:rPr>
            </w:pPr>
            <w:r>
              <w:rPr>
                <w:rFonts w:hint="eastAsia" w:ascii="宋体" w:hAnsi="宋体" w:cs="宋体"/>
                <w:kern w:val="0"/>
                <w:szCs w:val="21"/>
                <w:lang w:bidi="ar"/>
              </w:rPr>
              <w:t>大屏幕安装配套，要求抗绣，抗腐蚀，稳定牢固，不允许存在安全隐患。</w:t>
            </w:r>
          </w:p>
        </w:tc>
        <w:tc>
          <w:tcPr>
            <w:tcW w:w="660" w:type="dxa"/>
            <w:noWrap/>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25.8</w:t>
            </w:r>
          </w:p>
        </w:tc>
        <w:tc>
          <w:tcPr>
            <w:tcW w:w="585" w:type="dxa"/>
            <w:noWrap/>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平方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25" w:hRule="atLeast"/>
        </w:trPr>
        <w:tc>
          <w:tcPr>
            <w:tcW w:w="525" w:type="dxa"/>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5</w:t>
            </w:r>
          </w:p>
        </w:tc>
        <w:tc>
          <w:tcPr>
            <w:tcW w:w="1166" w:type="dxa"/>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配电柜</w:t>
            </w:r>
          </w:p>
        </w:tc>
        <w:tc>
          <w:tcPr>
            <w:tcW w:w="5719" w:type="dxa"/>
            <w:tcMar>
              <w:top w:w="15" w:type="dxa"/>
              <w:left w:w="15" w:type="dxa"/>
              <w:right w:w="15" w:type="dxa"/>
            </w:tcMar>
            <w:vAlign w:val="center"/>
          </w:tcPr>
          <w:p>
            <w:pPr>
              <w:widowControl/>
              <w:jc w:val="left"/>
              <w:textAlignment w:val="center"/>
              <w:rPr>
                <w:rFonts w:ascii="宋体" w:hAnsi="宋体" w:cs="宋体"/>
                <w:kern w:val="0"/>
                <w:szCs w:val="21"/>
                <w:lang w:bidi="ar"/>
              </w:rPr>
            </w:pPr>
            <w:r>
              <w:rPr>
                <w:rFonts w:hint="eastAsia" w:ascii="宋体" w:hAnsi="宋体" w:cs="宋体"/>
                <w:kern w:val="0"/>
                <w:szCs w:val="21"/>
                <w:lang w:bidi="ar"/>
              </w:rPr>
              <w:t>1.30KW智能配电柜;</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2.满足过流、短路、断路、过压、欠压等保护措施;</w:t>
            </w:r>
          </w:p>
          <w:p>
            <w:pPr>
              <w:widowControl/>
              <w:jc w:val="left"/>
              <w:textAlignment w:val="center"/>
              <w:rPr>
                <w:rFonts w:ascii="宋体" w:hAnsi="宋体" w:cs="宋体"/>
                <w:szCs w:val="21"/>
              </w:rPr>
            </w:pPr>
            <w:r>
              <w:rPr>
                <w:rFonts w:hint="eastAsia" w:ascii="宋体" w:hAnsi="宋体" w:cs="宋体"/>
                <w:kern w:val="0"/>
                <w:szCs w:val="21"/>
                <w:lang w:bidi="ar"/>
              </w:rPr>
              <w:t>3.具有状态自动检测与状态异常报警功能。</w:t>
            </w:r>
          </w:p>
        </w:tc>
        <w:tc>
          <w:tcPr>
            <w:tcW w:w="660" w:type="dxa"/>
            <w:noWrap/>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585" w:type="dxa"/>
            <w:noWrap/>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525" w:type="dxa"/>
            <w:shd w:val="clear" w:color="auto" w:fill="auto"/>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6</w:t>
            </w:r>
          </w:p>
        </w:tc>
        <w:tc>
          <w:tcPr>
            <w:tcW w:w="1166" w:type="dxa"/>
            <w:shd w:val="clear" w:color="auto" w:fill="FFFFFF"/>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分布式拼接节点</w:t>
            </w:r>
          </w:p>
        </w:tc>
        <w:tc>
          <w:tcPr>
            <w:tcW w:w="5719" w:type="dxa"/>
            <w:shd w:val="clear" w:color="auto" w:fill="FFFFFF"/>
            <w:tcMar>
              <w:top w:w="15" w:type="dxa"/>
              <w:left w:w="15" w:type="dxa"/>
              <w:right w:w="15" w:type="dxa"/>
            </w:tcMar>
            <w:vAlign w:val="center"/>
          </w:tcPr>
          <w:p>
            <w:pPr>
              <w:widowControl/>
              <w:jc w:val="left"/>
              <w:textAlignment w:val="center"/>
              <w:rPr>
                <w:rFonts w:ascii="宋体" w:hAnsi="宋体" w:cs="宋体"/>
                <w:kern w:val="0"/>
                <w:szCs w:val="21"/>
                <w:lang w:bidi="ar"/>
              </w:rPr>
            </w:pPr>
            <w:r>
              <w:rPr>
                <w:rFonts w:hint="eastAsia" w:ascii="宋体" w:hAnsi="宋体" w:cs="宋体"/>
                <w:kern w:val="0"/>
                <w:szCs w:val="21"/>
                <w:lang w:bidi="ar"/>
              </w:rPr>
              <w:t>1.支持3840x2160P@30Hz分辨率的解码输出，并且向下兼容常见分辨率。</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2.单个输出节点具有1路视频输出、1路3.5mm模拟音频输出、1路3.5mm反向模拟音频输入。</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3.具备大屏拼接管理功能，可实现大屏视频拼接、叠加，漫游，开窗等功能。单屏可支持不少于16个不同源高清视频同时显示。</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4.支持场景保存与读取功能。场景保存数量不少于1000组。</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5.整屏输出同步功能，支持整屏多行拼接屏的画面同步功能，针对快速变化的画面不会出现撕裂、错位等现象。</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6.支持信号源预览功能，可通过上位机软件对信号源进行实时预览显示。</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7.支持多个大屏屏组管理功能，可以对多个不同分辨率的拼接墙、投影融合、LED大屏等多种显示终端进行管理，并共享输入信号源。</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●8.大屏屏组规模无限制，单个大屏屏组可容纳屏幕数量无限制，提供</w:t>
            </w:r>
            <w:r>
              <w:rPr>
                <w:rFonts w:hint="eastAsia" w:ascii="宋体" w:hAnsi="宋体" w:cs="宋体"/>
                <w:kern w:val="0"/>
                <w:szCs w:val="21"/>
                <w:lang w:eastAsia="zh-CN" w:bidi="ar"/>
              </w:rPr>
              <w:t>具有相应资质单位</w:t>
            </w:r>
            <w:r>
              <w:rPr>
                <w:rFonts w:hint="eastAsia" w:ascii="宋体" w:hAnsi="宋体" w:cs="宋体"/>
                <w:kern w:val="0"/>
                <w:szCs w:val="21"/>
                <w:lang w:bidi="ar"/>
              </w:rPr>
              <w:t>出具的第三方检测报告。</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9.支持高清底图功能，在不使用第三方设备情况下，大屏屏组可显示超大分辨率点对点背景图片。</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10.支持高清滚动字幕，在不使用第三方设备情况下，大屏屏组可配置高清滚动字幕，字幕内容、颜色、字体、运动方向、运动速度可任意调节</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11.支持兼容第三方设备，可接入市面上常见各品牌摄像机视频流信号。</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12.支持前面板IP地址显示，可快速查看设备IP地址信息。</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●13.支持对带有HDCP加密的视频信号进行采集编码，兼容HDCP1.4和HDCP2.2，提供</w:t>
            </w:r>
            <w:r>
              <w:rPr>
                <w:rFonts w:hint="eastAsia" w:ascii="宋体" w:hAnsi="宋体" w:cs="宋体"/>
                <w:kern w:val="0"/>
                <w:szCs w:val="21"/>
                <w:lang w:eastAsia="zh-CN" w:bidi="ar"/>
              </w:rPr>
              <w:t>具有相应资质单位</w:t>
            </w:r>
            <w:r>
              <w:rPr>
                <w:rFonts w:hint="eastAsia" w:ascii="宋体" w:hAnsi="宋体" w:cs="宋体"/>
                <w:kern w:val="0"/>
                <w:szCs w:val="21"/>
                <w:lang w:bidi="ar"/>
              </w:rPr>
              <w:t>出具的第三方检测报告。</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14.支持远程在线对设备进行重启和出厂设置恢复。</w:t>
            </w:r>
          </w:p>
          <w:p>
            <w:pPr>
              <w:widowControl/>
              <w:jc w:val="left"/>
              <w:textAlignment w:val="center"/>
              <w:rPr>
                <w:rFonts w:ascii="宋体" w:hAnsi="宋体" w:cs="宋体"/>
                <w:kern w:val="0"/>
                <w:szCs w:val="21"/>
                <w:lang w:bidi="ar"/>
              </w:rPr>
            </w:pPr>
            <w:r>
              <w:rPr>
                <w:rFonts w:hint="eastAsia" w:ascii="宋体" w:hAnsi="宋体" w:cs="宋体"/>
                <w:kern w:val="0"/>
                <w:szCs w:val="21"/>
                <w:lang w:bidi="ar"/>
              </w:rPr>
              <w:t>15.设备提供电磁兼容检查报告（EMC）；</w:t>
            </w:r>
          </w:p>
          <w:p>
            <w:pPr>
              <w:widowControl/>
              <w:jc w:val="left"/>
              <w:textAlignment w:val="center"/>
              <w:rPr>
                <w:rFonts w:ascii="宋体" w:hAnsi="宋体" w:cs="宋体"/>
                <w:szCs w:val="21"/>
              </w:rPr>
            </w:pPr>
            <w:r>
              <w:rPr>
                <w:rFonts w:hint="eastAsia" w:ascii="宋体" w:hAnsi="宋体" w:cs="宋体"/>
                <w:kern w:val="0"/>
                <w:szCs w:val="21"/>
                <w:lang w:bidi="ar"/>
              </w:rPr>
              <w:t xml:space="preserve">●16.设备提供平均无故障时间不低于120000小时的MTBF检测报告；产品具有IP5X防尘报告及网络分布式系统软件著作权登记证书。                                                                                                                        </w:t>
            </w:r>
          </w:p>
        </w:tc>
        <w:tc>
          <w:tcPr>
            <w:tcW w:w="660" w:type="dxa"/>
            <w:shd w:val="clear" w:color="auto" w:fill="FFFFFF"/>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8</w:t>
            </w:r>
          </w:p>
        </w:tc>
        <w:tc>
          <w:tcPr>
            <w:tcW w:w="585" w:type="dxa"/>
            <w:shd w:val="clear" w:color="auto" w:fill="FFFFFF"/>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44" w:hRule="atLeast"/>
        </w:trPr>
        <w:tc>
          <w:tcPr>
            <w:tcW w:w="525" w:type="dxa"/>
            <w:shd w:val="clear" w:color="auto" w:fill="auto"/>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7</w:t>
            </w:r>
          </w:p>
        </w:tc>
        <w:tc>
          <w:tcPr>
            <w:tcW w:w="1166" w:type="dxa"/>
            <w:shd w:val="clear" w:color="auto" w:fill="FFFFFF"/>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分布式拼接节点授权</w:t>
            </w:r>
          </w:p>
        </w:tc>
        <w:tc>
          <w:tcPr>
            <w:tcW w:w="5719" w:type="dxa"/>
            <w:shd w:val="clear" w:color="auto" w:fill="FFFFFF"/>
            <w:tcMar>
              <w:top w:w="15" w:type="dxa"/>
              <w:left w:w="15" w:type="dxa"/>
              <w:right w:w="15" w:type="dxa"/>
            </w:tcMar>
            <w:vAlign w:val="center"/>
          </w:tcPr>
          <w:p>
            <w:pPr>
              <w:widowControl/>
              <w:jc w:val="left"/>
              <w:textAlignment w:val="center"/>
              <w:rPr>
                <w:rFonts w:ascii="宋体" w:hAnsi="宋体" w:cs="宋体"/>
                <w:szCs w:val="21"/>
              </w:rPr>
            </w:pPr>
            <w:r>
              <w:rPr>
                <w:rFonts w:hint="eastAsia" w:ascii="宋体" w:hAnsi="宋体" w:cs="宋体"/>
                <w:kern w:val="0"/>
                <w:szCs w:val="21"/>
                <w:lang w:bidi="ar"/>
              </w:rPr>
              <w:t>分布式系统大屏拼接功能模块授权，支持对拼接屏系统进行控制管理。</w:t>
            </w:r>
          </w:p>
        </w:tc>
        <w:tc>
          <w:tcPr>
            <w:tcW w:w="660" w:type="dxa"/>
            <w:shd w:val="clear" w:color="auto" w:fill="FFFFFF"/>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1</w:t>
            </w:r>
          </w:p>
        </w:tc>
        <w:tc>
          <w:tcPr>
            <w:tcW w:w="585" w:type="dxa"/>
            <w:shd w:val="clear" w:color="auto" w:fill="FFFFFF"/>
            <w:tcMar>
              <w:top w:w="15" w:type="dxa"/>
              <w:left w:w="15" w:type="dxa"/>
              <w:right w:w="15" w:type="dxa"/>
            </w:tcMar>
            <w:vAlign w:val="center"/>
          </w:tcPr>
          <w:p>
            <w:pPr>
              <w:widowControl/>
              <w:jc w:val="center"/>
              <w:textAlignment w:val="center"/>
              <w:rPr>
                <w:rFonts w:ascii="宋体" w:hAnsi="宋体" w:cs="宋体"/>
                <w:szCs w:val="21"/>
              </w:rPr>
            </w:pPr>
            <w:r>
              <w:rPr>
                <w:rFonts w:hint="eastAsia" w:ascii="宋体" w:hAnsi="宋体" w:cs="宋体"/>
                <w:kern w:val="0"/>
                <w:szCs w:val="21"/>
                <w:lang w:bidi="ar"/>
              </w:rPr>
              <w:t>套</w:t>
            </w:r>
          </w:p>
        </w:tc>
      </w:tr>
    </w:tbl>
    <w:p>
      <w:pPr>
        <w:tabs>
          <w:tab w:val="left" w:pos="1792"/>
        </w:tabs>
        <w:rPr>
          <w:sz w:val="24"/>
        </w:rPr>
      </w:pPr>
    </w:p>
    <w:p>
      <w:pPr>
        <w:spacing w:line="360" w:lineRule="auto"/>
        <w:rPr>
          <w:rFonts w:ascii="宋体" w:hAnsi="宋体"/>
          <w:b/>
          <w:bCs/>
          <w:sz w:val="24"/>
        </w:rPr>
      </w:pPr>
    </w:p>
    <w:p>
      <w:pPr>
        <w:numPr>
          <w:ilvl w:val="0"/>
          <w:numId w:val="2"/>
        </w:numPr>
        <w:spacing w:line="360" w:lineRule="auto"/>
        <w:ind w:firstLine="482" w:firstLineChars="200"/>
        <w:rPr>
          <w:rFonts w:ascii="宋体" w:hAnsi="宋体"/>
          <w:b/>
          <w:bCs/>
          <w:sz w:val="24"/>
        </w:rPr>
      </w:pPr>
      <w:r>
        <w:rPr>
          <w:rFonts w:hint="eastAsia" w:ascii="宋体" w:hAnsi="宋体"/>
          <w:b/>
          <w:bCs/>
          <w:sz w:val="24"/>
        </w:rPr>
        <w:t>服务要求</w:t>
      </w:r>
    </w:p>
    <w:p>
      <w:pPr>
        <w:spacing w:line="360" w:lineRule="auto"/>
        <w:rPr>
          <w:rFonts w:ascii="宋体" w:hAnsi="宋体"/>
          <w:b/>
          <w:bCs/>
          <w:sz w:val="24"/>
        </w:rPr>
      </w:pPr>
      <w:r>
        <w:rPr>
          <w:rFonts w:hint="eastAsia" w:ascii="宋体" w:hAnsi="宋体"/>
          <w:b/>
          <w:bCs/>
          <w:sz w:val="24"/>
        </w:rPr>
        <w:t xml:space="preserve">   </w:t>
      </w:r>
      <w:r>
        <w:rPr>
          <w:rFonts w:hint="eastAsia" w:ascii="宋体" w:hAnsi="宋体"/>
          <w:sz w:val="24"/>
        </w:rPr>
        <w:t xml:space="preserve"> 满足采购人所需设备要求，质量要求符合国家及行业相关要求合格标准，合同签订后30日历天完成所有设备的安装、调试，最终验收达到合格标准。</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EE900F"/>
    <w:multiLevelType w:val="singleLevel"/>
    <w:tmpl w:val="92EE900F"/>
    <w:lvl w:ilvl="0" w:tentative="0">
      <w:start w:val="3"/>
      <w:numFmt w:val="chineseCounting"/>
      <w:suff w:val="nothing"/>
      <w:lvlText w:val="%1、"/>
      <w:lvlJc w:val="left"/>
      <w:rPr>
        <w:rFonts w:hint="eastAsia"/>
      </w:rPr>
    </w:lvl>
  </w:abstractNum>
  <w:abstractNum w:abstractNumId="1">
    <w:nsid w:val="001CF0DB"/>
    <w:multiLevelType w:val="singleLevel"/>
    <w:tmpl w:val="001CF0DB"/>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018"/>
    <w:rsid w:val="000B065A"/>
    <w:rsid w:val="00674018"/>
    <w:rsid w:val="00923182"/>
    <w:rsid w:val="01FC2A07"/>
    <w:rsid w:val="03CD5CDC"/>
    <w:rsid w:val="05930BA7"/>
    <w:rsid w:val="14E300C9"/>
    <w:rsid w:val="159F2067"/>
    <w:rsid w:val="2BB134E9"/>
    <w:rsid w:val="329C2F9D"/>
    <w:rsid w:val="4F090D70"/>
    <w:rsid w:val="506C6D7D"/>
    <w:rsid w:val="50BD2C87"/>
    <w:rsid w:val="53B820D8"/>
    <w:rsid w:val="5CE47333"/>
    <w:rsid w:val="66BF19D8"/>
    <w:rsid w:val="6BBD669B"/>
    <w:rsid w:val="6C6341C7"/>
    <w:rsid w:val="6F4E3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0"/>
    <w:uiPriority w:val="0"/>
    <w:pPr>
      <w:jc w:val="left"/>
    </w:pPr>
  </w:style>
  <w:style w:type="paragraph" w:styleId="4">
    <w:name w:val="Balloon Text"/>
    <w:basedOn w:val="1"/>
    <w:link w:val="12"/>
    <w:uiPriority w:val="0"/>
    <w:rPr>
      <w:sz w:val="18"/>
      <w:szCs w:val="18"/>
    </w:rPr>
  </w:style>
  <w:style w:type="paragraph" w:styleId="5">
    <w:name w:val="annotation subject"/>
    <w:basedOn w:val="3"/>
    <w:next w:val="3"/>
    <w:link w:val="11"/>
    <w:uiPriority w:val="0"/>
    <w:rPr>
      <w:b/>
      <w:bCs/>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uiPriority w:val="0"/>
    <w:rPr>
      <w:sz w:val="21"/>
      <w:szCs w:val="21"/>
    </w:rPr>
  </w:style>
  <w:style w:type="character" w:customStyle="1" w:styleId="10">
    <w:name w:val="批注文字 字符"/>
    <w:basedOn w:val="8"/>
    <w:link w:val="3"/>
    <w:uiPriority w:val="0"/>
    <w:rPr>
      <w:rFonts w:ascii="Times New Roman" w:hAnsi="Times New Roman"/>
      <w:kern w:val="2"/>
      <w:sz w:val="21"/>
      <w:szCs w:val="24"/>
    </w:rPr>
  </w:style>
  <w:style w:type="character" w:customStyle="1" w:styleId="11">
    <w:name w:val="批注主题 字符"/>
    <w:basedOn w:val="10"/>
    <w:link w:val="5"/>
    <w:qFormat/>
    <w:uiPriority w:val="0"/>
    <w:rPr>
      <w:rFonts w:ascii="Times New Roman" w:hAnsi="Times New Roman"/>
      <w:b/>
      <w:bCs/>
      <w:kern w:val="2"/>
      <w:sz w:val="21"/>
      <w:szCs w:val="24"/>
    </w:rPr>
  </w:style>
  <w:style w:type="character" w:customStyle="1" w:styleId="12">
    <w:name w:val="批注框文本 字符"/>
    <w:basedOn w:val="8"/>
    <w:link w:val="4"/>
    <w:qFormat/>
    <w:uiPriority w:val="0"/>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593</Words>
  <Characters>3383</Characters>
  <Lines>28</Lines>
  <Paragraphs>7</Paragraphs>
  <TotalTime>2</TotalTime>
  <ScaleCrop>false</ScaleCrop>
  <LinksUpToDate>false</LinksUpToDate>
  <CharactersWithSpaces>3969</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ZBGS002</dc:creator>
  <cp:lastModifiedBy>NTKO</cp:lastModifiedBy>
  <dcterms:modified xsi:type="dcterms:W3CDTF">2021-08-31T02:59:09Z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285234C41BD0403E9B7249A7A8218B38</vt:lpwstr>
  </property>
</Properties>
</file>