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0"/>
        </w:tabs>
        <w:autoSpaceDE w:val="0"/>
        <w:autoSpaceDN w:val="0"/>
        <w:adjustRightInd w:val="0"/>
        <w:snapToGrid w:val="0"/>
        <w:spacing w:before="0" w:after="0" w:line="360" w:lineRule="auto"/>
        <w:jc w:val="center"/>
        <w:rPr>
          <w:rFonts w:hint="eastAsia" w:ascii="宋体" w:hAnsi="宋体"/>
          <w:sz w:val="28"/>
          <w:szCs w:val="28"/>
        </w:rPr>
      </w:pPr>
      <w:bookmarkStart w:id="0" w:name="_Toc137025162"/>
      <w:bookmarkStart w:id="1" w:name="_Toc15048359"/>
      <w:r>
        <w:rPr>
          <w:rFonts w:hint="eastAsia" w:ascii="宋体" w:hAnsi="宋体"/>
          <w:sz w:val="28"/>
          <w:szCs w:val="28"/>
        </w:rPr>
        <w:t>第三章  采购需求</w:t>
      </w:r>
      <w:bookmarkEnd w:id="0"/>
      <w:bookmarkEnd w:id="1"/>
      <w:bookmarkStart w:id="19" w:name="_GoBack"/>
      <w:bookmarkEnd w:id="19"/>
    </w:p>
    <w:p>
      <w:pPr>
        <w:spacing w:line="360" w:lineRule="auto"/>
        <w:ind w:firstLine="426" w:firstLineChars="177"/>
        <w:rPr>
          <w:rFonts w:hint="eastAsia" w:ascii="宋体" w:hAnsi="宋体"/>
          <w:b/>
          <w:sz w:val="24"/>
        </w:rPr>
      </w:pPr>
      <w:r>
        <w:rPr>
          <w:rFonts w:hint="eastAsia" w:ascii="宋体" w:hAnsi="宋体"/>
          <w:b/>
          <w:sz w:val="24"/>
        </w:rPr>
        <w:t>一、工程量清单</w:t>
      </w:r>
    </w:p>
    <w:p>
      <w:pPr>
        <w:keepNext/>
        <w:keepLines/>
        <w:snapToGrid w:val="0"/>
        <w:spacing w:line="360" w:lineRule="auto"/>
        <w:ind w:firstLine="364" w:firstLineChars="152"/>
        <w:jc w:val="left"/>
        <w:outlineLvl w:val="1"/>
        <w:rPr>
          <w:rFonts w:ascii="宋体" w:hAnsi="宋体"/>
          <w:sz w:val="24"/>
        </w:rPr>
      </w:pPr>
      <w:bookmarkStart w:id="2" w:name="_Toc137025163"/>
      <w:bookmarkStart w:id="3" w:name="_Toc49522848"/>
      <w:bookmarkStart w:id="4" w:name="_Toc502744943"/>
      <w:bookmarkStart w:id="5" w:name="_Toc8741062"/>
      <w:bookmarkStart w:id="6" w:name="_Toc456355611"/>
      <w:r>
        <w:rPr>
          <w:rFonts w:ascii="宋体" w:hAnsi="宋体"/>
          <w:sz w:val="24"/>
        </w:rPr>
        <w:t>1</w:t>
      </w:r>
      <w:r>
        <w:rPr>
          <w:rFonts w:hint="eastAsia" w:ascii="宋体" w:hAnsi="宋体"/>
          <w:sz w:val="24"/>
        </w:rPr>
        <w:t>、工程量清单说明</w:t>
      </w:r>
      <w:bookmarkEnd w:id="2"/>
      <w:bookmarkEnd w:id="3"/>
      <w:bookmarkEnd w:id="4"/>
      <w:bookmarkEnd w:id="5"/>
      <w:bookmarkEnd w:id="6"/>
    </w:p>
    <w:p>
      <w:pPr>
        <w:snapToGrid w:val="0"/>
        <w:spacing w:line="360" w:lineRule="auto"/>
        <w:ind w:firstLine="566" w:firstLineChars="236"/>
        <w:rPr>
          <w:rFonts w:ascii="宋体" w:hAnsi="宋体"/>
          <w:sz w:val="24"/>
        </w:rPr>
      </w:pPr>
      <w:r>
        <w:rPr>
          <w:rFonts w:ascii="宋体" w:hAnsi="宋体"/>
          <w:sz w:val="24"/>
        </w:rPr>
        <w:t>1.1</w:t>
      </w:r>
      <w:r>
        <w:rPr>
          <w:rFonts w:hint="eastAsia" w:ascii="宋体" w:hAnsi="宋体"/>
          <w:sz w:val="24"/>
        </w:rPr>
        <w:t>本工程量清单是依据中华人民共和国国家标准《建设工程工程量清单计价规范》</w:t>
      </w:r>
      <w:r>
        <w:rPr>
          <w:rFonts w:ascii="宋体" w:hAnsi="宋体"/>
          <w:sz w:val="24"/>
        </w:rPr>
        <w:t>(</w:t>
      </w:r>
      <w:r>
        <w:rPr>
          <w:rFonts w:hint="eastAsia" w:ascii="宋体" w:hAnsi="宋体"/>
          <w:sz w:val="24"/>
        </w:rPr>
        <w:t>以下简称“计价规范”</w:t>
      </w:r>
      <w:r>
        <w:rPr>
          <w:rFonts w:ascii="宋体" w:hAnsi="宋体"/>
          <w:sz w:val="24"/>
        </w:rPr>
        <w:t>)</w:t>
      </w:r>
      <w:r>
        <w:rPr>
          <w:rFonts w:hint="eastAsia" w:ascii="宋体" w:hAnsi="宋体"/>
          <w:sz w:val="24"/>
        </w:rPr>
        <w:t>以及采购文件中包括的图纸等编制。计价规范中规定的工程量计算规则中没有的子目，应在本章第</w:t>
      </w:r>
      <w:r>
        <w:rPr>
          <w:rFonts w:ascii="宋体" w:hAnsi="宋体"/>
          <w:sz w:val="24"/>
        </w:rPr>
        <w:t>1.4</w:t>
      </w:r>
      <w:r>
        <w:rPr>
          <w:rFonts w:hint="eastAsia" w:ascii="宋体" w:hAnsi="宋体"/>
          <w:sz w:val="24"/>
        </w:rPr>
        <w:t>款约定；计价规范中规定的工程量计算规则中没有且本章第</w:t>
      </w:r>
      <w:r>
        <w:rPr>
          <w:rFonts w:ascii="宋体" w:hAnsi="宋体"/>
          <w:sz w:val="24"/>
        </w:rPr>
        <w:t>1.4</w:t>
      </w:r>
      <w:r>
        <w:rPr>
          <w:rFonts w:hint="eastAsia" w:ascii="宋体" w:hAnsi="宋体"/>
          <w:sz w:val="24"/>
        </w:rPr>
        <w:t>款也未约定的，双方协商确定；协商不成的，可向省级或行业工程造价管理机构申请裁定或按照有合同约束力的图纸所标示尺寸的理论净量计算。计量采用中华人民共和国法定的基本计量单位。</w:t>
      </w:r>
    </w:p>
    <w:p>
      <w:pPr>
        <w:snapToGrid w:val="0"/>
        <w:spacing w:line="360" w:lineRule="auto"/>
        <w:ind w:firstLine="566" w:firstLineChars="236"/>
        <w:rPr>
          <w:rFonts w:ascii="宋体" w:hAnsi="宋体"/>
          <w:sz w:val="24"/>
        </w:rPr>
      </w:pPr>
      <w:r>
        <w:rPr>
          <w:rFonts w:ascii="宋体" w:hAnsi="宋体"/>
          <w:sz w:val="24"/>
        </w:rPr>
        <w:t>1.2</w:t>
      </w:r>
      <w:r>
        <w:rPr>
          <w:rFonts w:hint="eastAsia" w:ascii="宋体" w:hAnsi="宋体"/>
          <w:sz w:val="24"/>
        </w:rPr>
        <w:t xml:space="preserve"> 本工程量清单应与采购文件中的供应商须知、通用合同条款、专用合同条款、技术标准和要求及图纸等章节内容一起阅读和理解。</w:t>
      </w:r>
    </w:p>
    <w:p>
      <w:pPr>
        <w:snapToGrid w:val="0"/>
        <w:spacing w:line="360" w:lineRule="auto"/>
        <w:ind w:firstLine="566" w:firstLineChars="236"/>
        <w:rPr>
          <w:rFonts w:ascii="宋体" w:hAnsi="宋体"/>
          <w:sz w:val="24"/>
        </w:rPr>
      </w:pPr>
      <w:r>
        <w:rPr>
          <w:rFonts w:ascii="宋体" w:hAnsi="宋体"/>
          <w:sz w:val="24"/>
        </w:rPr>
        <w:t>1.3</w:t>
      </w:r>
      <w:r>
        <w:rPr>
          <w:rFonts w:hint="eastAsia" w:ascii="宋体" w:hAnsi="宋体"/>
          <w:sz w:val="24"/>
        </w:rPr>
        <w:t xml:space="preserve"> 本工程量清单仅是投标报价的共同基础，竣工结算的工程量按合同约定确定。合同价格的确定以及价款支付应遵循合同条款</w:t>
      </w:r>
      <w:r>
        <w:rPr>
          <w:rFonts w:ascii="宋体" w:hAnsi="宋体"/>
          <w:sz w:val="24"/>
        </w:rPr>
        <w:t>(</w:t>
      </w:r>
      <w:r>
        <w:rPr>
          <w:rFonts w:hint="eastAsia" w:ascii="宋体" w:hAnsi="宋体"/>
          <w:sz w:val="24"/>
        </w:rPr>
        <w:t>包括通用合同条款和专用合同条款</w:t>
      </w:r>
      <w:r>
        <w:rPr>
          <w:rFonts w:ascii="宋体" w:hAnsi="宋体"/>
          <w:sz w:val="24"/>
        </w:rPr>
        <w:t>)</w:t>
      </w:r>
      <w:r>
        <w:rPr>
          <w:rFonts w:hint="eastAsia" w:ascii="宋体" w:hAnsi="宋体"/>
          <w:sz w:val="24"/>
        </w:rPr>
        <w:t>、技术标准和要求以及本章的有关约定。</w:t>
      </w:r>
    </w:p>
    <w:p>
      <w:pPr>
        <w:snapToGrid w:val="0"/>
        <w:spacing w:line="360" w:lineRule="auto"/>
        <w:ind w:firstLine="566" w:firstLineChars="236"/>
        <w:rPr>
          <w:rFonts w:ascii="宋体" w:hAnsi="宋体"/>
          <w:sz w:val="24"/>
          <w:u w:val="single"/>
        </w:rPr>
      </w:pPr>
      <w:r>
        <w:rPr>
          <w:rFonts w:ascii="宋体" w:hAnsi="宋体"/>
          <w:sz w:val="24"/>
        </w:rPr>
        <w:t>1.4</w:t>
      </w:r>
      <w:r>
        <w:rPr>
          <w:rFonts w:hint="eastAsia" w:ascii="宋体" w:hAnsi="宋体"/>
          <w:sz w:val="24"/>
        </w:rPr>
        <w:t xml:space="preserve"> 补充子目的子目特征、计量单位、工程量计算规则及工作内容说明如下：</w:t>
      </w:r>
      <w:r>
        <w:rPr>
          <w:rFonts w:ascii="宋体" w:hAnsi="宋体"/>
          <w:sz w:val="24"/>
          <w:u w:val="single"/>
        </w:rPr>
        <w:t xml:space="preserve"> </w:t>
      </w:r>
      <w:r>
        <w:rPr>
          <w:rFonts w:hint="eastAsia" w:ascii="宋体" w:hAnsi="宋体"/>
          <w:sz w:val="24"/>
          <w:u w:val="single"/>
        </w:rPr>
        <w:t>无</w:t>
      </w:r>
      <w:r>
        <w:rPr>
          <w:rFonts w:hint="eastAsia" w:ascii="宋体" w:hAnsi="宋体"/>
          <w:sz w:val="24"/>
        </w:rPr>
        <w:t>。</w:t>
      </w:r>
      <w:r>
        <w:rPr>
          <w:rFonts w:ascii="宋体" w:hAnsi="宋体"/>
          <w:sz w:val="24"/>
        </w:rPr>
        <w:t xml:space="preserve"> </w:t>
      </w:r>
    </w:p>
    <w:p>
      <w:pPr>
        <w:snapToGrid w:val="0"/>
        <w:spacing w:line="360" w:lineRule="auto"/>
        <w:ind w:firstLine="566" w:firstLineChars="236"/>
        <w:rPr>
          <w:rFonts w:ascii="宋体" w:hAnsi="宋体"/>
          <w:sz w:val="24"/>
        </w:rPr>
      </w:pPr>
      <w:r>
        <w:rPr>
          <w:rFonts w:ascii="宋体" w:hAnsi="宋体"/>
          <w:sz w:val="24"/>
        </w:rPr>
        <w:t>1.5</w:t>
      </w:r>
      <w:r>
        <w:rPr>
          <w:rFonts w:hint="eastAsia" w:ascii="宋体" w:hAnsi="宋体"/>
          <w:sz w:val="24"/>
        </w:rPr>
        <w:t xml:space="preserve"> 本条第</w:t>
      </w:r>
      <w:r>
        <w:rPr>
          <w:rFonts w:ascii="宋体" w:hAnsi="宋体"/>
          <w:sz w:val="24"/>
        </w:rPr>
        <w:t>1.1</w:t>
      </w:r>
      <w:r>
        <w:rPr>
          <w:rFonts w:hint="eastAsia" w:ascii="宋体" w:hAnsi="宋体"/>
          <w:sz w:val="24"/>
        </w:rPr>
        <w:t>款中约定的计量和计价规则适用于合同履约过程中工程量计量与价款支付、工程变更、索赔和工程结算。</w:t>
      </w:r>
    </w:p>
    <w:p>
      <w:pPr>
        <w:snapToGrid w:val="0"/>
        <w:spacing w:line="360" w:lineRule="auto"/>
        <w:ind w:firstLine="566" w:firstLineChars="236"/>
        <w:rPr>
          <w:rFonts w:ascii="宋体" w:hAnsi="宋体"/>
          <w:sz w:val="24"/>
        </w:rPr>
      </w:pPr>
      <w:r>
        <w:rPr>
          <w:rFonts w:ascii="宋体" w:hAnsi="宋体"/>
          <w:sz w:val="24"/>
        </w:rPr>
        <w:t>1.6</w:t>
      </w:r>
      <w:r>
        <w:rPr>
          <w:rFonts w:hint="eastAsia" w:ascii="宋体" w:hAnsi="宋体"/>
          <w:sz w:val="24"/>
        </w:rPr>
        <w:t xml:space="preserve"> 本条与下述第</w:t>
      </w:r>
      <w:r>
        <w:rPr>
          <w:rFonts w:ascii="宋体" w:hAnsi="宋体"/>
          <w:sz w:val="24"/>
        </w:rPr>
        <w:t>2</w:t>
      </w:r>
      <w:r>
        <w:rPr>
          <w:rFonts w:hint="eastAsia" w:ascii="宋体" w:hAnsi="宋体"/>
          <w:sz w:val="24"/>
        </w:rPr>
        <w:t>条和第</w:t>
      </w:r>
      <w:r>
        <w:rPr>
          <w:rFonts w:ascii="宋体" w:hAnsi="宋体"/>
          <w:sz w:val="24"/>
        </w:rPr>
        <w:t>3</w:t>
      </w:r>
      <w:r>
        <w:rPr>
          <w:rFonts w:hint="eastAsia" w:ascii="宋体" w:hAnsi="宋体"/>
          <w:sz w:val="24"/>
        </w:rPr>
        <w:t>条的说明内容是构成合同文件的已标价工程量清单的组成部分。</w:t>
      </w:r>
    </w:p>
    <w:p>
      <w:pPr>
        <w:snapToGrid w:val="0"/>
        <w:spacing w:line="360" w:lineRule="auto"/>
        <w:ind w:firstLine="566" w:firstLineChars="236"/>
        <w:rPr>
          <w:rFonts w:ascii="宋体" w:hAnsi="宋体"/>
          <w:sz w:val="24"/>
        </w:rPr>
      </w:pPr>
      <w:r>
        <w:rPr>
          <w:rFonts w:ascii="宋体" w:hAnsi="宋体"/>
          <w:sz w:val="24"/>
        </w:rPr>
        <w:t>1.7</w:t>
      </w:r>
      <w:r>
        <w:rPr>
          <w:rFonts w:hint="eastAsia" w:ascii="宋体" w:hAnsi="宋体"/>
          <w:sz w:val="24"/>
        </w:rPr>
        <w:t xml:space="preserve"> </w:t>
      </w:r>
      <w:r>
        <w:rPr>
          <w:rFonts w:hint="eastAsia" w:ascii="宋体" w:hAnsi="宋体"/>
          <w:b/>
          <w:sz w:val="24"/>
        </w:rPr>
        <w:t>工程量清单已包括本次招标范围内施工图纸的全部内容，请供应商认真复核，如有异议，请于投标截止时间5天前以书面形式报招标代理公司以便核准。如无异议，图纸无变更时，投标价为固定价，不再变化。</w:t>
      </w:r>
    </w:p>
    <w:p>
      <w:pPr>
        <w:keepNext/>
        <w:keepLines/>
        <w:snapToGrid w:val="0"/>
        <w:spacing w:line="360" w:lineRule="auto"/>
        <w:ind w:firstLine="364" w:firstLineChars="152"/>
        <w:jc w:val="left"/>
        <w:outlineLvl w:val="1"/>
        <w:rPr>
          <w:rFonts w:ascii="宋体" w:hAnsi="宋体"/>
          <w:sz w:val="24"/>
        </w:rPr>
      </w:pPr>
      <w:bookmarkStart w:id="7" w:name="_Toc49522849"/>
      <w:bookmarkStart w:id="8" w:name="_Toc456355612"/>
      <w:bookmarkStart w:id="9" w:name="_Toc137025164"/>
      <w:bookmarkStart w:id="10" w:name="_Toc502744944"/>
      <w:bookmarkStart w:id="11" w:name="_Toc8741063"/>
      <w:r>
        <w:rPr>
          <w:rFonts w:ascii="宋体" w:hAnsi="宋体"/>
          <w:sz w:val="24"/>
        </w:rPr>
        <w:t>2</w:t>
      </w:r>
      <w:r>
        <w:rPr>
          <w:rFonts w:hint="eastAsia" w:ascii="宋体" w:hAnsi="宋体"/>
          <w:sz w:val="24"/>
        </w:rPr>
        <w:t>、投标报价说明</w:t>
      </w:r>
      <w:bookmarkEnd w:id="7"/>
      <w:bookmarkEnd w:id="8"/>
      <w:bookmarkEnd w:id="9"/>
      <w:bookmarkEnd w:id="10"/>
      <w:bookmarkEnd w:id="11"/>
    </w:p>
    <w:p>
      <w:pPr>
        <w:snapToGrid w:val="0"/>
        <w:spacing w:line="360" w:lineRule="auto"/>
        <w:ind w:firstLine="424" w:firstLineChars="177"/>
        <w:rPr>
          <w:rFonts w:ascii="宋体" w:hAnsi="宋体"/>
          <w:sz w:val="24"/>
        </w:rPr>
      </w:pPr>
      <w:r>
        <w:rPr>
          <w:rFonts w:ascii="宋体" w:hAnsi="宋体"/>
          <w:sz w:val="24"/>
        </w:rPr>
        <w:t xml:space="preserve">2.1  </w:t>
      </w:r>
      <w:r>
        <w:rPr>
          <w:rFonts w:hint="eastAsia" w:ascii="宋体" w:hAnsi="宋体"/>
          <w:sz w:val="24"/>
        </w:rPr>
        <w:t>响应报价应根据采购文件中的有关计价要求，并按照下列依据自主报价。</w:t>
      </w:r>
    </w:p>
    <w:p>
      <w:pPr>
        <w:widowControl/>
        <w:snapToGrid w:val="0"/>
        <w:spacing w:line="360" w:lineRule="auto"/>
        <w:ind w:firstLine="424" w:firstLineChars="177"/>
        <w:jc w:val="left"/>
        <w:rPr>
          <w:rFonts w:ascii="宋体" w:hAnsi="宋体"/>
          <w:kern w:val="0"/>
          <w:sz w:val="24"/>
        </w:rPr>
      </w:pPr>
      <w:r>
        <w:rPr>
          <w:rFonts w:hint="eastAsia" w:ascii="宋体" w:hAnsi="宋体" w:cs="宋体"/>
          <w:kern w:val="0"/>
          <w:sz w:val="24"/>
        </w:rPr>
        <w:t>1）《建设工程招标控制价编审规程》CECA/GC 6-2011；</w:t>
      </w:r>
    </w:p>
    <w:p>
      <w:pPr>
        <w:widowControl/>
        <w:snapToGrid w:val="0"/>
        <w:spacing w:line="360" w:lineRule="auto"/>
        <w:ind w:firstLine="424" w:firstLineChars="177"/>
        <w:jc w:val="left"/>
        <w:rPr>
          <w:rFonts w:ascii="宋体" w:hAnsi="宋体"/>
          <w:kern w:val="0"/>
          <w:sz w:val="24"/>
        </w:rPr>
      </w:pPr>
      <w:r>
        <w:rPr>
          <w:rFonts w:hint="eastAsia" w:ascii="宋体" w:hAnsi="宋体" w:cs="宋体"/>
          <w:kern w:val="0"/>
          <w:sz w:val="24"/>
        </w:rPr>
        <w:t>2）《建设工程工程量清单计价规范》GB50500-2013、《房屋建筑与装饰工程工程量计算规范》GB50854-2013；</w:t>
      </w:r>
    </w:p>
    <w:p>
      <w:pPr>
        <w:widowControl/>
        <w:snapToGrid w:val="0"/>
        <w:spacing w:line="360" w:lineRule="auto"/>
        <w:ind w:firstLine="424" w:firstLineChars="177"/>
        <w:jc w:val="left"/>
        <w:rPr>
          <w:rFonts w:ascii="宋体" w:hAnsi="宋体"/>
          <w:kern w:val="0"/>
          <w:sz w:val="24"/>
        </w:rPr>
      </w:pPr>
      <w:r>
        <w:rPr>
          <w:rFonts w:hint="eastAsia" w:ascii="宋体" w:hAnsi="宋体" w:cs="宋体"/>
          <w:kern w:val="0"/>
          <w:sz w:val="24"/>
        </w:rPr>
        <w:t>3）《河南省房屋建筑与装饰工程预算定额》（HA 01-31-2016）及相关综合解释等文件；    </w:t>
      </w:r>
    </w:p>
    <w:p>
      <w:pPr>
        <w:widowControl/>
        <w:snapToGrid w:val="0"/>
        <w:spacing w:line="360" w:lineRule="auto"/>
        <w:ind w:firstLine="424" w:firstLineChars="177"/>
        <w:jc w:val="left"/>
        <w:rPr>
          <w:rFonts w:ascii="宋体" w:hAnsi="宋体"/>
          <w:kern w:val="0"/>
          <w:sz w:val="24"/>
        </w:rPr>
      </w:pPr>
      <w:r>
        <w:rPr>
          <w:rFonts w:hint="eastAsia" w:ascii="宋体" w:hAnsi="宋体" w:cs="宋体"/>
          <w:kern w:val="0"/>
          <w:sz w:val="24"/>
        </w:rPr>
        <w:t>4）提供的工程量清单及图纸；</w:t>
      </w:r>
    </w:p>
    <w:p>
      <w:pPr>
        <w:widowControl/>
        <w:snapToGrid w:val="0"/>
        <w:spacing w:line="360" w:lineRule="auto"/>
        <w:ind w:firstLine="424" w:firstLineChars="177"/>
        <w:jc w:val="left"/>
        <w:rPr>
          <w:rFonts w:ascii="宋体" w:hAnsi="宋体" w:cs="宋体"/>
          <w:kern w:val="0"/>
          <w:sz w:val="24"/>
        </w:rPr>
      </w:pPr>
      <w:r>
        <w:rPr>
          <w:rFonts w:hint="eastAsia" w:ascii="宋体" w:hAnsi="宋体" w:cs="宋体"/>
          <w:kern w:val="0"/>
          <w:sz w:val="24"/>
        </w:rPr>
        <w:t xml:space="preserve">5）与建设项目有关的文件、规范、技术资料； </w:t>
      </w:r>
    </w:p>
    <w:p>
      <w:pPr>
        <w:widowControl/>
        <w:snapToGrid w:val="0"/>
        <w:spacing w:line="360" w:lineRule="auto"/>
        <w:ind w:firstLine="424" w:firstLineChars="177"/>
        <w:jc w:val="left"/>
        <w:rPr>
          <w:rFonts w:ascii="宋体" w:hAnsi="宋体"/>
          <w:sz w:val="24"/>
        </w:rPr>
      </w:pPr>
      <w:r>
        <w:rPr>
          <w:rFonts w:hint="eastAsia" w:ascii="宋体" w:hAnsi="宋体" w:cs="宋体"/>
          <w:sz w:val="24"/>
        </w:rPr>
        <w:t>6）其他相关资料。</w:t>
      </w:r>
    </w:p>
    <w:p>
      <w:pPr>
        <w:snapToGrid w:val="0"/>
        <w:spacing w:line="360" w:lineRule="auto"/>
        <w:ind w:firstLine="424" w:firstLineChars="177"/>
        <w:rPr>
          <w:rFonts w:ascii="宋体" w:hAnsi="宋体"/>
          <w:sz w:val="24"/>
        </w:rPr>
      </w:pPr>
      <w:r>
        <w:rPr>
          <w:rFonts w:ascii="宋体" w:hAnsi="宋体"/>
          <w:sz w:val="24"/>
        </w:rPr>
        <w:t xml:space="preserve">2.2   </w:t>
      </w:r>
      <w:r>
        <w:rPr>
          <w:rFonts w:hint="eastAsia" w:ascii="宋体" w:hAnsi="宋体"/>
          <w:sz w:val="24"/>
        </w:rPr>
        <w:t>取费说明</w:t>
      </w:r>
    </w:p>
    <w:p>
      <w:pPr>
        <w:widowControl/>
        <w:snapToGrid w:val="0"/>
        <w:spacing w:line="360" w:lineRule="auto"/>
        <w:ind w:firstLine="424" w:firstLineChars="177"/>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kern w:val="0"/>
          <w:sz w:val="24"/>
        </w:rPr>
        <w:t>工程材料价格依据《郑州市建设工程主要材料价格信息》按照郑州市最新信息价，信息价没有的按市场询价计入；</w:t>
      </w:r>
    </w:p>
    <w:p>
      <w:pPr>
        <w:widowControl/>
        <w:snapToGrid w:val="0"/>
        <w:spacing w:line="360" w:lineRule="auto"/>
        <w:ind w:firstLine="424" w:firstLineChars="177"/>
        <w:rPr>
          <w:kern w:val="0"/>
          <w:sz w:val="24"/>
        </w:rPr>
      </w:pPr>
      <w:r>
        <w:rPr>
          <w:rFonts w:hint="eastAsia" w:ascii="宋体" w:hAnsi="宋体" w:cs="宋体"/>
          <w:color w:val="000000"/>
          <w:kern w:val="0"/>
          <w:sz w:val="24"/>
        </w:rPr>
        <w:t>2）人工、机械、管理费按豫建消技[2022]2号文调整；</w:t>
      </w:r>
    </w:p>
    <w:p>
      <w:pPr>
        <w:widowControl/>
        <w:snapToGrid w:val="0"/>
        <w:spacing w:line="360" w:lineRule="auto"/>
        <w:ind w:firstLine="424" w:firstLineChars="177"/>
        <w:jc w:val="left"/>
        <w:rPr>
          <w:rFonts w:hint="eastAsia" w:ascii="宋体" w:hAnsi="宋体" w:cs="宋体"/>
          <w:color w:val="000000"/>
          <w:kern w:val="0"/>
          <w:sz w:val="24"/>
        </w:rPr>
      </w:pPr>
      <w:r>
        <w:rPr>
          <w:rFonts w:hint="eastAsia" w:ascii="宋体" w:hAnsi="宋体" w:cs="宋体"/>
          <w:color w:val="000000"/>
          <w:kern w:val="0"/>
          <w:sz w:val="24"/>
        </w:rPr>
        <w:t>3）增值税税率按建办标函[2019]193号以9%计取；</w:t>
      </w:r>
    </w:p>
    <w:p>
      <w:pPr>
        <w:widowControl/>
        <w:snapToGrid w:val="0"/>
        <w:spacing w:line="360" w:lineRule="auto"/>
        <w:ind w:firstLine="424" w:firstLineChars="177"/>
        <w:jc w:val="left"/>
        <w:rPr>
          <w:rFonts w:ascii="宋体" w:hAnsi="宋体" w:cs="宋体"/>
          <w:b/>
          <w:bCs/>
          <w:sz w:val="24"/>
        </w:rPr>
      </w:pPr>
      <w:r>
        <w:rPr>
          <w:rFonts w:hint="eastAsia" w:ascii="宋体" w:hAnsi="宋体" w:cs="宋体"/>
          <w:color w:val="000000"/>
          <w:sz w:val="24"/>
        </w:rPr>
        <w:t>4）</w:t>
      </w:r>
      <w:r>
        <w:rPr>
          <w:rFonts w:hint="eastAsia" w:ascii="宋体" w:hAnsi="宋体" w:cs="宋体"/>
          <w:sz w:val="24"/>
        </w:rPr>
        <w:t>夜间施工增加费、二次搬运费、冬雨季施工增加费按规定计取。</w:t>
      </w:r>
    </w:p>
    <w:p>
      <w:pPr>
        <w:keepNext/>
        <w:keepLines/>
        <w:snapToGrid w:val="0"/>
        <w:spacing w:line="360" w:lineRule="auto"/>
        <w:ind w:firstLine="364" w:firstLineChars="152"/>
        <w:jc w:val="left"/>
        <w:outlineLvl w:val="1"/>
        <w:rPr>
          <w:rFonts w:ascii="宋体" w:hAnsi="宋体"/>
          <w:sz w:val="24"/>
        </w:rPr>
      </w:pPr>
      <w:bookmarkStart w:id="12" w:name="_Toc137025165"/>
      <w:bookmarkStart w:id="13" w:name="_Toc502744946"/>
      <w:bookmarkStart w:id="14" w:name="_Toc8741065"/>
      <w:bookmarkStart w:id="15" w:name="_Toc49522851"/>
      <w:bookmarkStart w:id="16" w:name="_Toc456355614"/>
      <w:r>
        <w:rPr>
          <w:rFonts w:hint="eastAsia" w:ascii="宋体" w:hAnsi="宋体"/>
          <w:sz w:val="24"/>
        </w:rPr>
        <w:t>3、</w:t>
      </w:r>
      <w:r>
        <w:rPr>
          <w:rFonts w:hint="eastAsia" w:ascii="宋体" w:hAnsi="宋体"/>
          <w:color w:val="000000"/>
          <w:sz w:val="24"/>
        </w:rPr>
        <w:t>未尽事宜执行当地现行相关清单及控制价编制相关文件。</w:t>
      </w:r>
      <w:bookmarkEnd w:id="12"/>
    </w:p>
    <w:p>
      <w:pPr>
        <w:keepNext/>
        <w:keepLines/>
        <w:snapToGrid w:val="0"/>
        <w:spacing w:line="360" w:lineRule="auto"/>
        <w:ind w:firstLine="364" w:firstLineChars="152"/>
        <w:jc w:val="left"/>
        <w:outlineLvl w:val="1"/>
        <w:rPr>
          <w:rFonts w:ascii="宋体" w:hAnsi="宋体"/>
          <w:sz w:val="24"/>
        </w:rPr>
      </w:pPr>
      <w:bookmarkStart w:id="17" w:name="_Toc137025166"/>
      <w:r>
        <w:rPr>
          <w:rFonts w:ascii="宋体" w:hAnsi="宋体"/>
          <w:sz w:val="24"/>
        </w:rPr>
        <w:t>4</w:t>
      </w:r>
      <w:r>
        <w:rPr>
          <w:rFonts w:hint="eastAsia" w:ascii="宋体" w:hAnsi="宋体"/>
          <w:sz w:val="24"/>
        </w:rPr>
        <w:t>、招标人提供的工程量清单另附</w:t>
      </w:r>
      <w:bookmarkEnd w:id="13"/>
      <w:r>
        <w:rPr>
          <w:rFonts w:hint="eastAsia" w:ascii="宋体" w:hAnsi="宋体"/>
          <w:sz w:val="24"/>
        </w:rPr>
        <w:t>（自行下载）</w:t>
      </w:r>
      <w:bookmarkEnd w:id="14"/>
      <w:bookmarkEnd w:id="15"/>
      <w:bookmarkEnd w:id="17"/>
    </w:p>
    <w:bookmarkEnd w:id="16"/>
    <w:p>
      <w:pPr>
        <w:snapToGrid w:val="0"/>
        <w:spacing w:line="360" w:lineRule="auto"/>
        <w:ind w:firstLine="366" w:firstLineChars="152"/>
        <w:rPr>
          <w:rFonts w:ascii="宋体" w:hAnsi="宋体"/>
          <w:sz w:val="24"/>
        </w:rPr>
      </w:pPr>
      <w:r>
        <w:rPr>
          <w:rFonts w:hint="eastAsia" w:ascii="宋体" w:hAnsi="宋体"/>
          <w:b/>
          <w:sz w:val="24"/>
        </w:rPr>
        <w:t>注：供应商可使用新点投标清单制作工具制作清单或使用新点投标清单转换工具进行转换。</w:t>
      </w:r>
    </w:p>
    <w:p>
      <w:pPr>
        <w:spacing w:line="360" w:lineRule="auto"/>
        <w:ind w:left="645" w:leftChars="307" w:firstLine="240" w:firstLineChars="100"/>
        <w:rPr>
          <w:rFonts w:ascii="宋体" w:hAnsi="宋体"/>
          <w:sz w:val="24"/>
        </w:rPr>
      </w:pPr>
    </w:p>
    <w:p>
      <w:pPr>
        <w:spacing w:line="360" w:lineRule="auto"/>
        <w:ind w:firstLine="426" w:firstLineChars="177"/>
        <w:rPr>
          <w:rFonts w:hint="eastAsia" w:ascii="宋体" w:hAnsi="宋体"/>
          <w:b/>
          <w:sz w:val="24"/>
        </w:rPr>
      </w:pPr>
      <w:r>
        <w:rPr>
          <w:rFonts w:hint="eastAsia" w:ascii="宋体" w:hAnsi="宋体"/>
          <w:b/>
          <w:sz w:val="24"/>
        </w:rPr>
        <w:t>二、图纸</w:t>
      </w:r>
    </w:p>
    <w:p>
      <w:pPr>
        <w:keepNext/>
        <w:keepLines/>
        <w:snapToGrid w:val="0"/>
        <w:spacing w:line="360" w:lineRule="auto"/>
        <w:ind w:firstLine="364" w:firstLineChars="152"/>
        <w:jc w:val="left"/>
        <w:outlineLvl w:val="1"/>
        <w:rPr>
          <w:rFonts w:hint="eastAsia" w:ascii="宋体" w:hAnsi="宋体"/>
          <w:sz w:val="24"/>
        </w:rPr>
      </w:pPr>
      <w:bookmarkStart w:id="18" w:name="_Toc137025167"/>
      <w:r>
        <w:rPr>
          <w:rFonts w:hint="eastAsia" w:ascii="宋体" w:hAnsi="宋体"/>
          <w:sz w:val="24"/>
        </w:rPr>
        <w:t>图纸</w:t>
      </w:r>
      <w:r>
        <w:rPr>
          <w:rFonts w:ascii="宋体" w:hAnsi="宋体"/>
          <w:sz w:val="24"/>
        </w:rPr>
        <w:t>(</w:t>
      </w:r>
      <w:r>
        <w:rPr>
          <w:rFonts w:hint="eastAsia" w:ascii="宋体" w:hAnsi="宋体"/>
          <w:sz w:val="24"/>
        </w:rPr>
        <w:t>另见电子版附件，从河南省公共资源交易平台下载，采购人不提供纸质版</w:t>
      </w:r>
      <w:r>
        <w:rPr>
          <w:rFonts w:ascii="宋体" w:hAnsi="宋体"/>
          <w:sz w:val="24"/>
        </w:rPr>
        <w:t>)</w:t>
      </w:r>
      <w:bookmarkEnd w:id="18"/>
    </w:p>
    <w:p>
      <w:pPr>
        <w:spacing w:line="360" w:lineRule="auto"/>
        <w:ind w:firstLine="426" w:firstLineChars="177"/>
        <w:rPr>
          <w:rFonts w:hint="eastAsia" w:ascii="宋体" w:hAnsi="宋体"/>
          <w:b/>
          <w:sz w:val="24"/>
        </w:rPr>
      </w:pPr>
    </w:p>
    <w:p>
      <w:pPr>
        <w:spacing w:line="360" w:lineRule="auto"/>
        <w:ind w:firstLine="426" w:firstLineChars="177"/>
        <w:rPr>
          <w:rFonts w:hint="eastAsia" w:ascii="宋体" w:hAnsi="宋体"/>
          <w:b/>
          <w:sz w:val="24"/>
        </w:rPr>
      </w:pPr>
      <w:r>
        <w:rPr>
          <w:rFonts w:hint="eastAsia" w:ascii="宋体" w:hAnsi="宋体"/>
          <w:b/>
          <w:sz w:val="24"/>
        </w:rPr>
        <w:t>三、技术标准和要求</w:t>
      </w:r>
    </w:p>
    <w:p>
      <w:pPr>
        <w:spacing w:line="360" w:lineRule="auto"/>
        <w:ind w:firstLine="480" w:firstLineChars="200"/>
        <w:rPr>
          <w:rFonts w:ascii="宋体" w:hAnsi="宋体" w:cs="仿宋"/>
          <w:bCs/>
          <w:sz w:val="24"/>
          <w:szCs w:val="21"/>
        </w:rPr>
      </w:pPr>
      <w:r>
        <w:rPr>
          <w:rFonts w:hint="eastAsia" w:ascii="宋体" w:hAnsi="宋体" w:cs="仿宋"/>
          <w:bCs/>
          <w:sz w:val="24"/>
          <w:szCs w:val="21"/>
        </w:rPr>
        <w:t>依据施工图设计文件和现行的中华人民共和国、河南省、郑州市、相关行业的法律、法规、规范、技术标准和要求执行。</w:t>
      </w:r>
    </w:p>
    <w:p>
      <w:pPr>
        <w:spacing w:line="360" w:lineRule="auto"/>
        <w:ind w:firstLine="480" w:firstLineChars="200"/>
        <w:rPr>
          <w:rFonts w:hint="eastAsia" w:ascii="宋体" w:hAnsi="宋体" w:cs="仿宋"/>
          <w:bCs/>
          <w:sz w:val="24"/>
          <w:szCs w:val="21"/>
        </w:rPr>
      </w:pPr>
      <w:r>
        <w:rPr>
          <w:rFonts w:hint="eastAsia" w:ascii="宋体" w:hAnsi="宋体" w:cs="仿宋"/>
          <w:bCs/>
          <w:sz w:val="24"/>
          <w:szCs w:val="21"/>
        </w:rPr>
        <w:t>本工程所采用的喷涂聚脲防水材料应符合GB/T 23446-2009《喷涂聚脲防水涂料》国标2型标准。</w:t>
      </w:r>
    </w:p>
    <w:p>
      <w:pPr>
        <w:spacing w:line="360" w:lineRule="auto"/>
        <w:ind w:firstLine="480" w:firstLineChars="200"/>
        <w:rPr>
          <w:rFonts w:hint="eastAsia" w:ascii="宋体" w:hAnsi="宋体" w:cs="仿宋"/>
          <w:bCs/>
          <w:sz w:val="24"/>
          <w:szCs w:val="21"/>
        </w:rPr>
      </w:pPr>
      <w:r>
        <w:rPr>
          <w:rFonts w:hint="eastAsia" w:ascii="宋体" w:hAnsi="宋体" w:cs="仿宋"/>
          <w:bCs/>
          <w:sz w:val="24"/>
          <w:szCs w:val="21"/>
        </w:rPr>
        <w:t>1、固体含量</w:t>
      </w:r>
      <w:r>
        <w:rPr>
          <w:rFonts w:hint="eastAsia" w:ascii="宋体" w:hAnsi="宋体" w:cs="仿宋"/>
          <w:bCs/>
          <w:sz w:val="24"/>
          <w:szCs w:val="21"/>
        </w:rPr>
        <w:tab/>
      </w:r>
      <w:r>
        <w:rPr>
          <w:rFonts w:hint="eastAsia" w:ascii="宋体" w:hAnsi="宋体" w:cs="仿宋"/>
          <w:bCs/>
          <w:sz w:val="24"/>
          <w:szCs w:val="21"/>
        </w:rPr>
        <w:t>≥98%</w:t>
      </w:r>
    </w:p>
    <w:p>
      <w:pPr>
        <w:spacing w:line="360" w:lineRule="auto"/>
        <w:ind w:firstLine="480" w:firstLineChars="200"/>
        <w:rPr>
          <w:rFonts w:hint="eastAsia" w:ascii="宋体" w:hAnsi="宋体" w:cs="仿宋"/>
          <w:bCs/>
          <w:sz w:val="24"/>
          <w:szCs w:val="21"/>
        </w:rPr>
      </w:pPr>
      <w:r>
        <w:rPr>
          <w:rFonts w:hint="eastAsia" w:ascii="宋体" w:hAnsi="宋体" w:cs="仿宋"/>
          <w:bCs/>
          <w:sz w:val="24"/>
          <w:szCs w:val="21"/>
        </w:rPr>
        <w:t>2、凝胶时间</w:t>
      </w:r>
      <w:r>
        <w:rPr>
          <w:rFonts w:hint="eastAsia" w:ascii="宋体" w:hAnsi="宋体" w:cs="仿宋"/>
          <w:bCs/>
          <w:sz w:val="24"/>
          <w:szCs w:val="21"/>
        </w:rPr>
        <w:tab/>
      </w:r>
      <w:r>
        <w:rPr>
          <w:rFonts w:hint="eastAsia" w:ascii="宋体" w:hAnsi="宋体" w:cs="仿宋"/>
          <w:bCs/>
          <w:sz w:val="24"/>
          <w:szCs w:val="21"/>
        </w:rPr>
        <w:t>≤45s</w:t>
      </w:r>
    </w:p>
    <w:p>
      <w:pPr>
        <w:spacing w:line="360" w:lineRule="auto"/>
        <w:ind w:firstLine="480" w:firstLineChars="200"/>
        <w:rPr>
          <w:rFonts w:ascii="宋体" w:hAnsi="宋体" w:cs="仿宋"/>
          <w:bCs/>
          <w:sz w:val="24"/>
          <w:szCs w:val="21"/>
        </w:rPr>
      </w:pPr>
      <w:r>
        <w:rPr>
          <w:rFonts w:hint="eastAsia" w:ascii="宋体" w:hAnsi="宋体" w:cs="仿宋"/>
          <w:bCs/>
          <w:sz w:val="24"/>
          <w:szCs w:val="21"/>
        </w:rPr>
        <w:t>3、表干时间</w:t>
      </w:r>
      <w:r>
        <w:rPr>
          <w:rFonts w:hint="eastAsia" w:ascii="宋体" w:hAnsi="宋体" w:cs="仿宋"/>
          <w:bCs/>
          <w:sz w:val="24"/>
          <w:szCs w:val="21"/>
        </w:rPr>
        <w:tab/>
      </w:r>
      <w:r>
        <w:rPr>
          <w:rFonts w:hint="eastAsia" w:ascii="宋体" w:hAnsi="宋体" w:cs="仿宋"/>
          <w:bCs/>
          <w:sz w:val="24"/>
          <w:szCs w:val="21"/>
        </w:rPr>
        <w:t>≤120s</w:t>
      </w:r>
    </w:p>
    <w:p>
      <w:pPr>
        <w:spacing w:line="360" w:lineRule="auto"/>
        <w:ind w:firstLine="480" w:firstLineChars="200"/>
        <w:rPr>
          <w:rFonts w:ascii="宋体" w:hAnsi="宋体" w:cs="仿宋"/>
          <w:bCs/>
          <w:sz w:val="24"/>
          <w:szCs w:val="21"/>
        </w:rPr>
      </w:pPr>
      <w:r>
        <w:rPr>
          <w:rFonts w:hint="eastAsia" w:ascii="宋体" w:hAnsi="宋体" w:cs="仿宋"/>
          <w:bCs/>
          <w:sz w:val="24"/>
          <w:szCs w:val="21"/>
        </w:rPr>
        <w:t>4、拉伸强度</w:t>
      </w:r>
      <w:r>
        <w:rPr>
          <w:rFonts w:hint="eastAsia" w:ascii="宋体" w:hAnsi="宋体" w:cs="仿宋"/>
          <w:bCs/>
          <w:sz w:val="24"/>
          <w:szCs w:val="21"/>
        </w:rPr>
        <w:tab/>
      </w:r>
      <w:r>
        <w:rPr>
          <w:rFonts w:hint="eastAsia" w:ascii="宋体" w:hAnsi="宋体" w:cs="仿宋"/>
          <w:bCs/>
          <w:sz w:val="24"/>
          <w:szCs w:val="21"/>
        </w:rPr>
        <w:t>≥16.0MPa</w:t>
      </w:r>
    </w:p>
    <w:p>
      <w:pPr>
        <w:spacing w:line="360" w:lineRule="auto"/>
        <w:ind w:firstLine="480" w:firstLineChars="200"/>
        <w:rPr>
          <w:rFonts w:ascii="宋体" w:hAnsi="宋体" w:cs="仿宋"/>
          <w:bCs/>
          <w:sz w:val="24"/>
          <w:szCs w:val="21"/>
        </w:rPr>
      </w:pPr>
      <w:r>
        <w:rPr>
          <w:rFonts w:hint="eastAsia" w:ascii="宋体" w:hAnsi="宋体" w:cs="仿宋"/>
          <w:bCs/>
          <w:sz w:val="24"/>
          <w:szCs w:val="21"/>
        </w:rPr>
        <w:t>5、断裂伸长率≥450%</w:t>
      </w:r>
    </w:p>
    <w:p>
      <w:pPr>
        <w:spacing w:line="360" w:lineRule="auto"/>
        <w:ind w:firstLine="480" w:firstLineChars="200"/>
        <w:rPr>
          <w:rFonts w:ascii="宋体" w:hAnsi="宋体" w:cs="仿宋"/>
          <w:bCs/>
          <w:sz w:val="24"/>
          <w:szCs w:val="21"/>
        </w:rPr>
      </w:pPr>
      <w:r>
        <w:rPr>
          <w:rFonts w:hint="eastAsia" w:ascii="宋体" w:hAnsi="宋体" w:cs="仿宋"/>
          <w:bCs/>
          <w:sz w:val="24"/>
          <w:szCs w:val="21"/>
        </w:rPr>
        <w:t>6、撕裂强度</w:t>
      </w:r>
      <w:r>
        <w:rPr>
          <w:rFonts w:hint="eastAsia" w:ascii="宋体" w:hAnsi="宋体" w:cs="仿宋"/>
          <w:bCs/>
          <w:sz w:val="24"/>
          <w:szCs w:val="21"/>
        </w:rPr>
        <w:tab/>
      </w:r>
      <w:r>
        <w:rPr>
          <w:rFonts w:hint="eastAsia" w:ascii="宋体" w:hAnsi="宋体" w:cs="仿宋"/>
          <w:bCs/>
          <w:sz w:val="24"/>
          <w:szCs w:val="21"/>
        </w:rPr>
        <w:t>≥50N/mm</w:t>
      </w:r>
    </w:p>
    <w:p>
      <w:pPr>
        <w:spacing w:line="360" w:lineRule="auto"/>
        <w:ind w:firstLine="480" w:firstLineChars="200"/>
        <w:rPr>
          <w:rFonts w:ascii="宋体" w:hAnsi="宋体" w:cs="仿宋"/>
          <w:bCs/>
          <w:sz w:val="24"/>
          <w:szCs w:val="21"/>
        </w:rPr>
      </w:pPr>
      <w:r>
        <w:rPr>
          <w:rFonts w:hint="eastAsia" w:ascii="宋体" w:hAnsi="宋体" w:cs="仿宋"/>
          <w:bCs/>
          <w:sz w:val="24"/>
          <w:szCs w:val="21"/>
        </w:rPr>
        <w:t>7、低温弯折性≤-40°C</w:t>
      </w:r>
    </w:p>
    <w:p>
      <w:pPr>
        <w:spacing w:line="360" w:lineRule="auto"/>
        <w:ind w:firstLine="480" w:firstLineChars="200"/>
        <w:rPr>
          <w:rFonts w:ascii="宋体" w:hAnsi="宋体" w:cs="仿宋"/>
          <w:bCs/>
          <w:sz w:val="24"/>
          <w:szCs w:val="21"/>
        </w:rPr>
      </w:pPr>
      <w:r>
        <w:rPr>
          <w:rFonts w:hint="eastAsia" w:ascii="宋体" w:hAnsi="宋体" w:cs="仿宋"/>
          <w:bCs/>
          <w:sz w:val="24"/>
          <w:szCs w:val="21"/>
        </w:rPr>
        <w:t>8、不透水性：0.4MPa，2h不透水</w:t>
      </w:r>
    </w:p>
    <w:p>
      <w:pPr>
        <w:spacing w:line="360" w:lineRule="auto"/>
        <w:ind w:firstLine="480" w:firstLineChars="200"/>
        <w:rPr>
          <w:rFonts w:hint="eastAsia" w:ascii="宋体" w:hAnsi="宋体" w:cs="仿宋"/>
          <w:bCs/>
          <w:sz w:val="24"/>
          <w:szCs w:val="21"/>
        </w:rPr>
      </w:pPr>
      <w:r>
        <w:rPr>
          <w:rFonts w:hint="eastAsia" w:ascii="宋体" w:hAnsi="宋体" w:cs="仿宋"/>
          <w:bCs/>
          <w:sz w:val="24"/>
          <w:szCs w:val="21"/>
        </w:rPr>
        <w:t>9、加热伸缩率≤1.0%（伸长）</w:t>
      </w:r>
    </w:p>
    <w:p>
      <w:pPr>
        <w:spacing w:line="360" w:lineRule="auto"/>
        <w:ind w:firstLine="960" w:firstLineChars="400"/>
        <w:rPr>
          <w:rFonts w:hint="eastAsia" w:ascii="宋体" w:hAnsi="宋体" w:cs="仿宋"/>
          <w:bCs/>
          <w:sz w:val="24"/>
          <w:szCs w:val="21"/>
        </w:rPr>
      </w:pPr>
      <w:r>
        <w:rPr>
          <w:rFonts w:hint="eastAsia" w:ascii="宋体" w:hAnsi="宋体" w:cs="仿宋"/>
          <w:bCs/>
          <w:sz w:val="24"/>
          <w:szCs w:val="21"/>
        </w:rPr>
        <w:t>加热伸缩率≤1.0%（收缩）</w:t>
      </w:r>
    </w:p>
    <w:p>
      <w:pPr>
        <w:spacing w:line="360" w:lineRule="auto"/>
        <w:ind w:firstLine="480" w:firstLineChars="200"/>
        <w:rPr>
          <w:rFonts w:ascii="宋体" w:hAnsi="宋体" w:cs="仿宋"/>
          <w:bCs/>
          <w:sz w:val="24"/>
          <w:szCs w:val="21"/>
        </w:rPr>
      </w:pPr>
      <w:r>
        <w:rPr>
          <w:rFonts w:hint="eastAsia" w:ascii="宋体" w:hAnsi="宋体" w:cs="仿宋"/>
          <w:bCs/>
          <w:sz w:val="24"/>
          <w:szCs w:val="21"/>
        </w:rPr>
        <w:t>10、吸水率≤5.0%</w:t>
      </w:r>
    </w:p>
    <w:p>
      <w:pPr>
        <w:spacing w:line="360" w:lineRule="auto"/>
        <w:ind w:firstLine="480" w:firstLineChars="200"/>
        <w:rPr>
          <w:rFonts w:ascii="宋体" w:hAnsi="宋体" w:cs="仿宋"/>
          <w:bCs/>
          <w:sz w:val="24"/>
          <w:szCs w:val="21"/>
        </w:rPr>
      </w:pPr>
      <w:r>
        <w:rPr>
          <w:rFonts w:hint="eastAsia" w:ascii="宋体" w:hAnsi="宋体" w:cs="仿宋"/>
          <w:bCs/>
          <w:sz w:val="24"/>
          <w:szCs w:val="21"/>
        </w:rPr>
        <w:t>11、定伸时老化：加热老化无裂纹及变形，人工气候老化无裂纹及变形</w:t>
      </w:r>
    </w:p>
    <w:p>
      <w:pPr>
        <w:spacing w:line="360" w:lineRule="auto"/>
        <w:ind w:firstLine="480" w:firstLineChars="200"/>
        <w:rPr>
          <w:rFonts w:ascii="宋体" w:hAnsi="宋体" w:cs="仿宋"/>
          <w:bCs/>
          <w:sz w:val="24"/>
          <w:szCs w:val="21"/>
        </w:rPr>
      </w:pPr>
      <w:r>
        <w:rPr>
          <w:rFonts w:hint="eastAsia" w:ascii="宋体" w:hAnsi="宋体" w:cs="仿宋"/>
          <w:bCs/>
          <w:sz w:val="24"/>
          <w:szCs w:val="21"/>
        </w:rPr>
        <w:t>12、粘接强度≥2.5MPa</w:t>
      </w:r>
    </w:p>
    <w:p>
      <w:pPr>
        <w:spacing w:line="360" w:lineRule="auto"/>
        <w:ind w:firstLine="480" w:firstLineChars="200"/>
        <w:rPr>
          <w:rFonts w:ascii="宋体" w:hAnsi="宋体" w:cs="仿宋"/>
          <w:bCs/>
          <w:sz w:val="24"/>
          <w:szCs w:val="21"/>
        </w:rPr>
      </w:pPr>
      <w:r>
        <w:rPr>
          <w:rFonts w:hint="eastAsia" w:ascii="宋体" w:hAnsi="宋体" w:cs="仿宋"/>
          <w:bCs/>
          <w:sz w:val="24"/>
          <w:szCs w:val="21"/>
        </w:rPr>
        <w:t>13、热处理：拉伸强度保持率=80~150%</w:t>
      </w:r>
    </w:p>
    <w:p>
      <w:pPr>
        <w:spacing w:line="360" w:lineRule="auto"/>
        <w:ind w:firstLine="480" w:firstLineChars="200"/>
        <w:rPr>
          <w:rFonts w:ascii="宋体" w:hAnsi="宋体" w:cs="仿宋"/>
          <w:bCs/>
          <w:sz w:val="24"/>
          <w:szCs w:val="21"/>
        </w:rPr>
      </w:pPr>
      <w:r>
        <w:rPr>
          <w:rFonts w:hint="eastAsia" w:ascii="宋体" w:hAnsi="宋体" w:cs="仿宋"/>
          <w:bCs/>
          <w:sz w:val="24"/>
          <w:szCs w:val="21"/>
        </w:rPr>
        <w:t xml:space="preserve">             断裂伸长率≥400%</w:t>
      </w:r>
    </w:p>
    <w:p>
      <w:pPr>
        <w:spacing w:line="360" w:lineRule="auto"/>
        <w:ind w:firstLine="480" w:firstLineChars="200"/>
        <w:rPr>
          <w:rFonts w:ascii="宋体" w:hAnsi="宋体" w:cs="仿宋"/>
          <w:bCs/>
          <w:sz w:val="24"/>
          <w:szCs w:val="21"/>
        </w:rPr>
      </w:pPr>
      <w:r>
        <w:rPr>
          <w:rFonts w:hint="eastAsia" w:ascii="宋体" w:hAnsi="宋体" w:cs="仿宋"/>
          <w:bCs/>
          <w:sz w:val="24"/>
          <w:szCs w:val="21"/>
        </w:rPr>
        <w:t xml:space="preserve">             低温弯折率≤-35°C</w:t>
      </w:r>
    </w:p>
    <w:p>
      <w:pPr>
        <w:spacing w:line="360" w:lineRule="auto"/>
        <w:ind w:firstLine="480" w:firstLineChars="200"/>
        <w:rPr>
          <w:rFonts w:ascii="宋体" w:hAnsi="宋体" w:cs="仿宋"/>
          <w:bCs/>
          <w:sz w:val="24"/>
          <w:szCs w:val="21"/>
        </w:rPr>
      </w:pPr>
      <w:r>
        <w:rPr>
          <w:rFonts w:hint="eastAsia" w:ascii="宋体" w:hAnsi="宋体" w:cs="仿宋"/>
          <w:bCs/>
          <w:sz w:val="24"/>
          <w:szCs w:val="21"/>
        </w:rPr>
        <w:t>14、碱处理：拉伸强度保持率=80~150%</w:t>
      </w:r>
    </w:p>
    <w:p>
      <w:pPr>
        <w:spacing w:line="360" w:lineRule="auto"/>
        <w:ind w:firstLine="480" w:firstLineChars="200"/>
        <w:rPr>
          <w:rFonts w:ascii="宋体" w:hAnsi="宋体" w:cs="仿宋"/>
          <w:bCs/>
          <w:sz w:val="24"/>
          <w:szCs w:val="21"/>
        </w:rPr>
      </w:pPr>
      <w:r>
        <w:rPr>
          <w:rFonts w:hint="eastAsia" w:ascii="宋体" w:hAnsi="宋体" w:cs="仿宋"/>
          <w:bCs/>
          <w:sz w:val="24"/>
          <w:szCs w:val="21"/>
        </w:rPr>
        <w:t xml:space="preserve">             断裂伸长率≥400%</w:t>
      </w:r>
    </w:p>
    <w:p>
      <w:pPr>
        <w:spacing w:line="360" w:lineRule="auto"/>
        <w:ind w:firstLine="480" w:firstLineChars="200"/>
        <w:rPr>
          <w:rFonts w:ascii="宋体" w:hAnsi="宋体" w:cs="仿宋"/>
          <w:bCs/>
          <w:sz w:val="24"/>
          <w:szCs w:val="21"/>
        </w:rPr>
      </w:pPr>
      <w:r>
        <w:rPr>
          <w:rFonts w:hint="eastAsia" w:ascii="宋体" w:hAnsi="宋体" w:cs="仿宋"/>
          <w:bCs/>
          <w:sz w:val="24"/>
          <w:szCs w:val="21"/>
        </w:rPr>
        <w:t xml:space="preserve">             低温弯折率≤-35°C</w:t>
      </w:r>
    </w:p>
    <w:p>
      <w:pPr>
        <w:spacing w:line="360" w:lineRule="auto"/>
        <w:ind w:firstLine="480" w:firstLineChars="200"/>
        <w:rPr>
          <w:rFonts w:ascii="宋体" w:hAnsi="宋体" w:cs="仿宋"/>
          <w:bCs/>
          <w:sz w:val="24"/>
          <w:szCs w:val="21"/>
        </w:rPr>
      </w:pPr>
      <w:r>
        <w:rPr>
          <w:rFonts w:hint="eastAsia" w:ascii="宋体" w:hAnsi="宋体" w:cs="仿宋"/>
          <w:bCs/>
          <w:sz w:val="24"/>
          <w:szCs w:val="21"/>
        </w:rPr>
        <w:t>15、酸处理：拉伸强度保持率=80~150%</w:t>
      </w:r>
    </w:p>
    <w:p>
      <w:pPr>
        <w:spacing w:line="360" w:lineRule="auto"/>
        <w:ind w:firstLine="480" w:firstLineChars="200"/>
        <w:rPr>
          <w:rFonts w:ascii="宋体" w:hAnsi="宋体" w:cs="仿宋"/>
          <w:bCs/>
          <w:sz w:val="24"/>
          <w:szCs w:val="21"/>
        </w:rPr>
      </w:pPr>
      <w:r>
        <w:rPr>
          <w:rFonts w:hint="eastAsia" w:ascii="宋体" w:hAnsi="宋体" w:cs="仿宋"/>
          <w:bCs/>
          <w:sz w:val="24"/>
          <w:szCs w:val="21"/>
        </w:rPr>
        <w:t xml:space="preserve">             断裂伸长率≥400%</w:t>
      </w:r>
    </w:p>
    <w:p>
      <w:pPr>
        <w:spacing w:line="360" w:lineRule="auto"/>
        <w:ind w:firstLine="480" w:firstLineChars="200"/>
        <w:rPr>
          <w:rFonts w:ascii="宋体" w:hAnsi="宋体" w:cs="仿宋"/>
          <w:bCs/>
          <w:sz w:val="24"/>
          <w:szCs w:val="21"/>
        </w:rPr>
      </w:pPr>
      <w:r>
        <w:rPr>
          <w:rFonts w:hint="eastAsia" w:ascii="宋体" w:hAnsi="宋体" w:cs="仿宋"/>
          <w:bCs/>
          <w:sz w:val="24"/>
          <w:szCs w:val="21"/>
        </w:rPr>
        <w:t xml:space="preserve">             低温弯折率≤-35°C</w:t>
      </w:r>
    </w:p>
    <w:p>
      <w:pPr>
        <w:spacing w:line="360" w:lineRule="auto"/>
        <w:ind w:firstLine="480" w:firstLineChars="200"/>
        <w:rPr>
          <w:rFonts w:ascii="宋体" w:hAnsi="宋体" w:cs="仿宋"/>
          <w:bCs/>
          <w:sz w:val="24"/>
          <w:szCs w:val="21"/>
        </w:rPr>
      </w:pPr>
      <w:r>
        <w:rPr>
          <w:rFonts w:hint="eastAsia" w:ascii="宋体" w:hAnsi="宋体" w:cs="仿宋"/>
          <w:bCs/>
          <w:sz w:val="24"/>
          <w:szCs w:val="21"/>
        </w:rPr>
        <w:t>16、盐处理：拉伸强度保持率=80~150%</w:t>
      </w:r>
    </w:p>
    <w:p>
      <w:pPr>
        <w:spacing w:line="360" w:lineRule="auto"/>
        <w:ind w:firstLine="480" w:firstLineChars="200"/>
        <w:rPr>
          <w:rFonts w:ascii="宋体" w:hAnsi="宋体" w:cs="仿宋"/>
          <w:bCs/>
          <w:sz w:val="24"/>
          <w:szCs w:val="21"/>
        </w:rPr>
      </w:pPr>
      <w:r>
        <w:rPr>
          <w:rFonts w:hint="eastAsia" w:ascii="宋体" w:hAnsi="宋体" w:cs="仿宋"/>
          <w:bCs/>
          <w:sz w:val="24"/>
          <w:szCs w:val="21"/>
        </w:rPr>
        <w:t xml:space="preserve">             断裂伸长率≥400%</w:t>
      </w:r>
    </w:p>
    <w:p>
      <w:pPr>
        <w:spacing w:line="360" w:lineRule="auto"/>
        <w:ind w:firstLine="480" w:firstLineChars="200"/>
        <w:rPr>
          <w:rFonts w:hint="eastAsia" w:ascii="宋体" w:hAnsi="宋体" w:cs="仿宋"/>
          <w:bCs/>
          <w:sz w:val="24"/>
          <w:szCs w:val="21"/>
        </w:rPr>
      </w:pPr>
      <w:r>
        <w:rPr>
          <w:rFonts w:hint="eastAsia" w:ascii="宋体" w:hAnsi="宋体" w:cs="仿宋"/>
          <w:bCs/>
          <w:sz w:val="24"/>
          <w:szCs w:val="21"/>
        </w:rPr>
        <w:t xml:space="preserve">             低温弯折率≤-35°C</w:t>
      </w:r>
    </w:p>
    <w:p>
      <w:pPr>
        <w:spacing w:line="360" w:lineRule="auto"/>
        <w:ind w:firstLine="480" w:firstLineChars="200"/>
        <w:rPr>
          <w:rFonts w:ascii="宋体" w:hAnsi="宋体" w:cs="仿宋"/>
          <w:bCs/>
          <w:sz w:val="24"/>
          <w:szCs w:val="21"/>
        </w:rPr>
      </w:pPr>
      <w:r>
        <w:rPr>
          <w:rFonts w:hint="eastAsia" w:ascii="宋体" w:hAnsi="宋体" w:cs="仿宋"/>
          <w:bCs/>
          <w:sz w:val="24"/>
          <w:szCs w:val="21"/>
        </w:rPr>
        <w:t>17、人工气候老化：拉伸强度保持率=80~150%</w:t>
      </w:r>
    </w:p>
    <w:p>
      <w:pPr>
        <w:spacing w:line="360" w:lineRule="auto"/>
        <w:ind w:firstLine="480" w:firstLineChars="200"/>
        <w:rPr>
          <w:rFonts w:ascii="宋体" w:hAnsi="宋体" w:cs="仿宋"/>
          <w:bCs/>
          <w:sz w:val="24"/>
          <w:szCs w:val="21"/>
        </w:rPr>
      </w:pPr>
      <w:r>
        <w:rPr>
          <w:rFonts w:hint="eastAsia" w:ascii="宋体" w:hAnsi="宋体" w:cs="仿宋"/>
          <w:bCs/>
          <w:sz w:val="24"/>
          <w:szCs w:val="21"/>
        </w:rPr>
        <w:t xml:space="preserve">                   断裂伸长率≥400%</w:t>
      </w:r>
    </w:p>
    <w:p>
      <w:pPr>
        <w:spacing w:line="360" w:lineRule="auto"/>
        <w:ind w:firstLine="480" w:firstLineChars="200"/>
        <w:rPr>
          <w:rFonts w:ascii="宋体" w:hAnsi="宋体" w:cs="仿宋"/>
          <w:bCs/>
          <w:sz w:val="24"/>
          <w:szCs w:val="21"/>
        </w:rPr>
      </w:pPr>
      <w:r>
        <w:rPr>
          <w:rFonts w:hint="eastAsia" w:ascii="宋体" w:hAnsi="宋体" w:cs="仿宋"/>
          <w:bCs/>
          <w:sz w:val="24"/>
          <w:szCs w:val="21"/>
        </w:rPr>
        <w:t xml:space="preserve">                   低温弯折率≤-35°C</w:t>
      </w:r>
    </w:p>
    <w:p>
      <w:pPr>
        <w:spacing w:line="360" w:lineRule="auto"/>
        <w:ind w:firstLine="480" w:firstLineChars="200"/>
        <w:rPr>
          <w:rFonts w:hint="eastAsia" w:ascii="宋体" w:hAnsi="宋体" w:cs="仿宋"/>
          <w:bCs/>
          <w:sz w:val="24"/>
          <w:szCs w:val="21"/>
        </w:rPr>
      </w:pPr>
      <w:r>
        <w:rPr>
          <w:rFonts w:hint="eastAsia" w:ascii="宋体" w:hAnsi="宋体" w:cs="仿宋"/>
          <w:bCs/>
          <w:sz w:val="24"/>
          <w:szCs w:val="21"/>
        </w:rPr>
        <w:t>18、硬度（邵A）≥80</w:t>
      </w:r>
    </w:p>
    <w:p>
      <w:pPr>
        <w:spacing w:line="360" w:lineRule="auto"/>
        <w:ind w:firstLine="480" w:firstLineChars="200"/>
        <w:rPr>
          <w:rFonts w:hint="eastAsia" w:ascii="宋体" w:hAnsi="宋体" w:cs="仿宋"/>
          <w:bCs/>
          <w:sz w:val="24"/>
          <w:szCs w:val="21"/>
        </w:rPr>
      </w:pPr>
      <w:r>
        <w:rPr>
          <w:rFonts w:hint="eastAsia" w:ascii="宋体" w:hAnsi="宋体" w:cs="仿宋"/>
          <w:bCs/>
          <w:sz w:val="24"/>
          <w:szCs w:val="21"/>
        </w:rPr>
        <w:t>19、耐磨性：700g，500r≤30mg</w:t>
      </w:r>
    </w:p>
    <w:p>
      <w:pPr>
        <w:spacing w:line="360" w:lineRule="auto"/>
        <w:ind w:firstLine="480" w:firstLineChars="200"/>
        <w:rPr>
          <w:rFonts w:hint="eastAsia"/>
        </w:rPr>
      </w:pPr>
      <w:r>
        <w:rPr>
          <w:rFonts w:hint="eastAsia" w:ascii="宋体" w:hAnsi="宋体" w:cs="仿宋"/>
          <w:bCs/>
          <w:sz w:val="24"/>
          <w:szCs w:val="21"/>
        </w:rPr>
        <w:t>20、耐冲击性≥1.0kg.m</w:t>
      </w:r>
    </w:p>
    <w:p>
      <w:pPr>
        <w:spacing w:line="360" w:lineRule="auto"/>
        <w:ind w:firstLine="480" w:firstLineChars="200"/>
        <w:rPr>
          <w:rFonts w:hint="eastAsia" w:ascii="宋体" w:hAnsi="宋体" w:cs="仿宋"/>
          <w:bCs/>
          <w:sz w:val="24"/>
          <w:szCs w:val="21"/>
        </w:rPr>
      </w:pPr>
      <w:r>
        <w:rPr>
          <w:rFonts w:hint="eastAsia" w:ascii="宋体" w:hAnsi="宋体" w:cs="仿宋"/>
          <w:bCs/>
          <w:sz w:val="24"/>
          <w:szCs w:val="21"/>
        </w:rPr>
        <w:t>响应</w:t>
      </w:r>
      <w:r>
        <w:rPr>
          <w:rFonts w:ascii="宋体" w:hAnsi="宋体" w:cs="仿宋"/>
          <w:bCs/>
          <w:sz w:val="24"/>
          <w:szCs w:val="21"/>
        </w:rPr>
        <w:t>清单中所有材料均应注明品牌及型号</w:t>
      </w:r>
      <w:r>
        <w:rPr>
          <w:rFonts w:hint="eastAsia" w:ascii="宋体" w:hAnsi="宋体" w:cs="仿宋"/>
          <w:bCs/>
          <w:sz w:val="24"/>
          <w:szCs w:val="21"/>
        </w:rPr>
        <w:t>或</w:t>
      </w:r>
      <w:r>
        <w:rPr>
          <w:rFonts w:ascii="宋体" w:hAnsi="宋体" w:cs="仿宋"/>
          <w:bCs/>
          <w:sz w:val="24"/>
          <w:szCs w:val="21"/>
        </w:rPr>
        <w:t>详细描述，</w:t>
      </w:r>
      <w:r>
        <w:rPr>
          <w:rFonts w:hint="eastAsia" w:ascii="宋体" w:hAnsi="宋体" w:cs="仿宋"/>
          <w:bCs/>
          <w:sz w:val="24"/>
          <w:szCs w:val="21"/>
        </w:rPr>
        <w:t>凡未</w:t>
      </w:r>
      <w:r>
        <w:rPr>
          <w:rFonts w:ascii="宋体" w:hAnsi="宋体" w:cs="仿宋"/>
          <w:bCs/>
          <w:sz w:val="24"/>
          <w:szCs w:val="21"/>
        </w:rPr>
        <w:t>写明者，发包人</w:t>
      </w:r>
      <w:r>
        <w:rPr>
          <w:rFonts w:hint="eastAsia" w:ascii="宋体" w:hAnsi="宋体" w:cs="仿宋"/>
          <w:bCs/>
          <w:sz w:val="24"/>
          <w:szCs w:val="21"/>
        </w:rPr>
        <w:t>有权</w:t>
      </w:r>
      <w:r>
        <w:rPr>
          <w:rFonts w:ascii="宋体" w:hAnsi="宋体" w:cs="仿宋"/>
          <w:bCs/>
          <w:sz w:val="24"/>
          <w:szCs w:val="21"/>
        </w:rPr>
        <w:t>在施工中指定材料品牌及型号。</w:t>
      </w:r>
    </w:p>
    <w:p>
      <w:pPr>
        <w:pStyle w:val="2"/>
        <w:ind w:firstLine="0" w:firstLineChars="0"/>
        <w:rPr>
          <w:rFonts w:cs="宋体"/>
          <w:b/>
          <w:bCs/>
          <w:sz w:val="24"/>
        </w:rPr>
      </w:pPr>
      <w:r>
        <w:rPr>
          <w:rFonts w:hint="eastAsia" w:cs="宋体"/>
          <w:b/>
          <w:bCs/>
          <w:sz w:val="24"/>
        </w:rPr>
        <w:t>太阳能热水设备拆除仅指将控制主机及相应储水罐拆除搬移，不包含该设备太阳能板部分。</w:t>
      </w:r>
    </w:p>
    <w:p>
      <w:r>
        <w:rPr>
          <w:rFonts w:hint="eastAsia" w:cs="宋体"/>
          <w:b/>
          <w:bCs/>
          <w:sz w:val="24"/>
          <w:szCs w:val="21"/>
        </w:rPr>
        <w:t>注：此次采购</w:t>
      </w:r>
      <w:r>
        <w:rPr>
          <w:rFonts w:cs="宋体"/>
          <w:b/>
          <w:bCs/>
          <w:sz w:val="24"/>
          <w:szCs w:val="21"/>
        </w:rPr>
        <w:t>包括图纸及工程量清单中所有内容</w:t>
      </w:r>
      <w:r>
        <w:rPr>
          <w:rFonts w:hint="eastAsia" w:cs="宋体"/>
          <w:b/>
          <w:bCs/>
          <w:sz w:val="24"/>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YzdmNDA5OWM1NWM4ZGZmZTI4ZTk4YzUyYzliNjcifQ=="/>
  </w:docVars>
  <w:rsids>
    <w:rsidRoot w:val="0CA6051E"/>
    <w:rsid w:val="0CA6051E"/>
    <w:rsid w:val="0D542EEE"/>
    <w:rsid w:val="7C674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rPr>
      <w:szCs w:val="21"/>
    </w:rPr>
  </w:style>
  <w:style w:type="paragraph" w:styleId="3">
    <w:name w:val="Body Text Indent"/>
    <w:basedOn w:val="1"/>
    <w:next w:val="4"/>
    <w:qFormat/>
    <w:uiPriority w:val="0"/>
    <w:pPr>
      <w:spacing w:after="120"/>
      <w:ind w:left="420" w:leftChars="200"/>
    </w:pPr>
    <w:rPr>
      <w:szCs w:val="20"/>
    </w:rPr>
  </w:style>
  <w:style w:type="paragraph" w:styleId="4">
    <w:name w:val="envelope return"/>
    <w:basedOn w:val="1"/>
    <w:qFormat/>
    <w:uiPriority w:val="0"/>
    <w:pPr>
      <w:snapToGrid w:val="0"/>
    </w:pPr>
    <w:rPr>
      <w:rFonts w:ascii="Arial" w:hAnsi="Arial"/>
    </w:rPr>
  </w:style>
  <w:style w:type="paragraph" w:styleId="5">
    <w:name w:val="Body Text"/>
    <w:basedOn w:val="1"/>
    <w:next w:val="1"/>
    <w:qFormat/>
    <w:uiPriority w:val="0"/>
    <w:pPr>
      <w:spacing w:after="12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2023-08-17T02:47:00Z</dcterms:created>
  <dc:creator>Promise</dc:creator>
  <cp:lastModifiedBy>Promise</cp:lastModifiedBy>
  <dcterms:modified xsi:type="dcterms:W3CDTF">2023-08-17T02:48:40Z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DDCBE788970542569AB8322B85BA03E9_11</vt:lpwstr>
  </property>
</Properties>
</file>