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54A713">
      <w:pPr>
        <w:spacing w:after="312" w:afterLines="100" w:line="240" w:lineRule="atLeast"/>
        <w:jc w:val="center"/>
        <w:rPr>
          <w:rFonts w:ascii="仿宋_GB2312" w:eastAsia="黑体"/>
          <w:b/>
          <w:sz w:val="48"/>
          <w:szCs w:val="22"/>
        </w:rPr>
      </w:pPr>
      <w:r>
        <w:rPr>
          <w:rFonts w:hint="eastAsia" w:ascii="宋体" w:hAnsi="宋体" w:cs="宋体"/>
          <w:bCs/>
          <w:sz w:val="52"/>
          <w:szCs w:val="52"/>
        </w:rPr>
        <w:t>中国人民银行郑州培训学院二号培训楼修缮改造项目（四层五层及三层北区）</w:t>
      </w:r>
    </w:p>
    <w:p w14:paraId="6F9A6921">
      <w:pPr>
        <w:wordWrap w:val="0"/>
        <w:spacing w:line="240" w:lineRule="atLeast"/>
        <w:rPr>
          <w:rFonts w:ascii="仿宋_GB2312" w:eastAsia="仿宋_GB2312"/>
          <w:b/>
          <w:sz w:val="52"/>
        </w:rPr>
      </w:pPr>
    </w:p>
    <w:p w14:paraId="11C0000A">
      <w:pPr>
        <w:wordWrap w:val="0"/>
        <w:spacing w:line="240" w:lineRule="atLeast"/>
        <w:rPr>
          <w:rFonts w:ascii="仿宋_GB2312" w:eastAsia="仿宋_GB2312"/>
          <w:b/>
          <w:sz w:val="52"/>
        </w:rPr>
      </w:pPr>
    </w:p>
    <w:p w14:paraId="0DCE4C96">
      <w:pPr>
        <w:wordWrap w:val="0"/>
        <w:spacing w:line="240" w:lineRule="atLeast"/>
        <w:rPr>
          <w:rFonts w:ascii="仿宋_GB2312" w:eastAsia="仿宋_GB2312"/>
          <w:b/>
          <w:sz w:val="52"/>
        </w:rPr>
      </w:pPr>
    </w:p>
    <w:p w14:paraId="3E5CDEE0">
      <w:pPr>
        <w:wordWrap w:val="0"/>
        <w:spacing w:line="240" w:lineRule="atLeast"/>
        <w:jc w:val="center"/>
        <w:rPr>
          <w:rFonts w:hint="eastAsia" w:ascii="楷体" w:hAnsi="楷体" w:eastAsia="楷体"/>
          <w:sz w:val="96"/>
          <w:szCs w:val="96"/>
          <w14:shadow w14:blurRad="50800" w14:dist="38100" w14:dir="2700000" w14:sx="100000" w14:sy="100000" w14:kx="0" w14:ky="0" w14:algn="tl">
            <w14:srgbClr w14:val="000000">
              <w14:alpha w14:val="60000"/>
            </w14:srgbClr>
          </w14:shadow>
        </w:rPr>
      </w:pPr>
      <w:r>
        <w:rPr>
          <w:rFonts w:hint="eastAsia" w:ascii="楷体" w:hAnsi="楷体" w:eastAsia="楷体"/>
          <w:sz w:val="96"/>
          <w:szCs w:val="96"/>
          <w14:shadow w14:blurRad="50800" w14:dist="38100" w14:dir="2700000" w14:sx="100000" w14:sy="100000" w14:kx="0" w14:ky="0" w14:algn="tl">
            <w14:srgbClr w14:val="000000">
              <w14:alpha w14:val="60000"/>
            </w14:srgbClr>
          </w14:shadow>
        </w:rPr>
        <w:t>竞争性磋商文件</w:t>
      </w:r>
    </w:p>
    <w:p w14:paraId="0BDEFCB0">
      <w:pPr>
        <w:wordWrap w:val="0"/>
        <w:spacing w:line="240" w:lineRule="atLeast"/>
        <w:jc w:val="center"/>
        <w:rPr>
          <w:rFonts w:hint="eastAsia" w:ascii="黑体" w:hAnsi="黑体" w:eastAsia="黑体"/>
          <w:sz w:val="32"/>
          <w:szCs w:val="28"/>
        </w:rPr>
      </w:pPr>
      <w:r>
        <w:rPr>
          <w:rFonts w:hint="eastAsia" w:ascii="黑体" w:hAnsi="黑体" w:eastAsia="黑体"/>
          <w:sz w:val="32"/>
          <w:szCs w:val="28"/>
        </w:rPr>
        <w:t>项目编号：ZPJC-2026-010</w:t>
      </w:r>
    </w:p>
    <w:p w14:paraId="0490A017">
      <w:pPr>
        <w:wordWrap w:val="0"/>
        <w:spacing w:line="360" w:lineRule="auto"/>
        <w:ind w:left="1079" w:leftChars="257" w:hanging="539"/>
        <w:jc w:val="center"/>
        <w:rPr>
          <w:rFonts w:hint="eastAsia" w:ascii="宋体" w:hAnsi="宋体"/>
          <w:sz w:val="24"/>
        </w:rPr>
      </w:pPr>
    </w:p>
    <w:p w14:paraId="3B5A5604">
      <w:pPr>
        <w:wordWrap w:val="0"/>
        <w:spacing w:line="360" w:lineRule="auto"/>
        <w:ind w:firstLine="1700" w:firstLineChars="500"/>
        <w:rPr>
          <w:rFonts w:hint="eastAsia" w:ascii="黑体" w:hAnsi="黑体" w:eastAsia="黑体"/>
          <w:sz w:val="34"/>
        </w:rPr>
      </w:pPr>
    </w:p>
    <w:p w14:paraId="13A2B21F">
      <w:pPr>
        <w:wordWrap w:val="0"/>
        <w:spacing w:line="360" w:lineRule="auto"/>
        <w:ind w:firstLine="1700" w:firstLineChars="500"/>
        <w:rPr>
          <w:rFonts w:hint="eastAsia" w:ascii="黑体" w:hAnsi="黑体" w:eastAsia="黑体"/>
          <w:sz w:val="34"/>
        </w:rPr>
      </w:pPr>
    </w:p>
    <w:p w14:paraId="6397FA7E">
      <w:pPr>
        <w:wordWrap w:val="0"/>
        <w:spacing w:line="360" w:lineRule="auto"/>
        <w:ind w:firstLine="1700" w:firstLineChars="500"/>
        <w:rPr>
          <w:rFonts w:hint="eastAsia" w:ascii="黑体" w:hAnsi="黑体" w:eastAsia="黑体"/>
          <w:sz w:val="34"/>
        </w:rPr>
      </w:pPr>
    </w:p>
    <w:p w14:paraId="5871AC8F">
      <w:pPr>
        <w:wordWrap w:val="0"/>
        <w:spacing w:line="360" w:lineRule="auto"/>
        <w:ind w:firstLine="1700" w:firstLineChars="500"/>
        <w:rPr>
          <w:rFonts w:hint="eastAsia" w:ascii="黑体" w:hAnsi="黑体" w:eastAsia="黑体"/>
          <w:sz w:val="34"/>
        </w:rPr>
      </w:pPr>
    </w:p>
    <w:p w14:paraId="24BEBF53">
      <w:pPr>
        <w:pStyle w:val="2"/>
        <w:ind w:left="0" w:leftChars="0" w:firstLine="0" w:firstLineChars="0"/>
        <w:rPr>
          <w:rFonts w:hint="eastAsia"/>
        </w:rPr>
      </w:pPr>
      <w:bookmarkStart w:id="769" w:name="_GoBack"/>
      <w:bookmarkEnd w:id="769"/>
    </w:p>
    <w:p w14:paraId="1BF5BC4C">
      <w:pPr>
        <w:wordWrap w:val="0"/>
        <w:spacing w:line="360" w:lineRule="auto"/>
        <w:rPr>
          <w:rFonts w:hint="eastAsia" w:ascii="黑体" w:hAnsi="黑体" w:eastAsia="黑体"/>
          <w:sz w:val="34"/>
        </w:rPr>
      </w:pPr>
    </w:p>
    <w:p w14:paraId="3D457AFD">
      <w:pPr>
        <w:wordWrap w:val="0"/>
        <w:spacing w:line="360" w:lineRule="auto"/>
        <w:ind w:firstLine="1360" w:firstLineChars="400"/>
        <w:rPr>
          <w:rFonts w:hint="eastAsia" w:ascii="黑体" w:hAnsi="黑体" w:eastAsia="黑体"/>
          <w:sz w:val="34"/>
          <w:szCs w:val="34"/>
        </w:rPr>
      </w:pPr>
      <w:r>
        <w:rPr>
          <w:rFonts w:hint="eastAsia" w:ascii="黑体" w:hAnsi="黑体" w:eastAsia="黑体"/>
          <w:sz w:val="34"/>
        </w:rPr>
        <w:t xml:space="preserve">采  购  人：中国人民银行郑州培训学院 </w:t>
      </w:r>
    </w:p>
    <w:p w14:paraId="2D8C0B69">
      <w:pPr>
        <w:wordWrap w:val="0"/>
        <w:spacing w:line="360" w:lineRule="auto"/>
        <w:ind w:firstLine="1360" w:firstLineChars="400"/>
        <w:rPr>
          <w:rFonts w:hint="eastAsia" w:ascii="黑体" w:hAnsi="黑体" w:eastAsia="黑体"/>
          <w:sz w:val="34"/>
        </w:rPr>
      </w:pPr>
      <w:r>
        <w:rPr>
          <w:rFonts w:hint="eastAsia" w:ascii="黑体" w:hAnsi="黑体" w:eastAsia="黑体"/>
          <w:sz w:val="34"/>
        </w:rPr>
        <w:t>采购代理机构：河南招标采购服务有限公司</w:t>
      </w:r>
    </w:p>
    <w:p w14:paraId="709E8A44">
      <w:pPr>
        <w:wordWrap w:val="0"/>
        <w:spacing w:line="360" w:lineRule="auto"/>
        <w:ind w:firstLine="1360" w:firstLineChars="400"/>
        <w:rPr>
          <w:rFonts w:hint="eastAsia" w:ascii="宋体" w:hAnsi="宋体"/>
          <w:sz w:val="24"/>
        </w:rPr>
      </w:pPr>
      <w:r>
        <w:rPr>
          <w:rFonts w:hint="eastAsia" w:ascii="黑体" w:hAnsi="黑体" w:eastAsia="黑体"/>
          <w:sz w:val="34"/>
        </w:rPr>
        <w:t xml:space="preserve">日   </w:t>
      </w:r>
      <w:r>
        <w:rPr>
          <w:rFonts w:ascii="黑体" w:hAnsi="黑体" w:eastAsia="黑体"/>
          <w:sz w:val="34"/>
        </w:rPr>
        <w:t xml:space="preserve"> </w:t>
      </w:r>
      <w:r>
        <w:rPr>
          <w:rFonts w:hint="eastAsia" w:ascii="黑体" w:hAnsi="黑体" w:eastAsia="黑体"/>
          <w:sz w:val="34"/>
        </w:rPr>
        <w:t>期：二〇二六年十月</w:t>
      </w:r>
    </w:p>
    <w:p w14:paraId="0D2B4BB7">
      <w:pPr>
        <w:wordWrap w:val="0"/>
        <w:spacing w:before="156" w:beforeLines="50" w:line="640" w:lineRule="exact"/>
        <w:jc w:val="center"/>
        <w:rPr>
          <w:rFonts w:hint="eastAsia" w:ascii="华文新魏" w:hAnsi="黑体" w:eastAsia="华文新魏"/>
          <w:bCs/>
          <w:sz w:val="40"/>
        </w:rPr>
        <w:sectPr>
          <w:footerReference r:id="rId4" w:type="first"/>
          <w:headerReference r:id="rId3" w:type="default"/>
          <w:pgSz w:w="11906" w:h="16838"/>
          <w:pgMar w:top="1389" w:right="1389" w:bottom="1389" w:left="1389" w:header="851" w:footer="992" w:gutter="0"/>
          <w:cols w:space="720" w:num="1"/>
          <w:docGrid w:type="lines" w:linePitch="312" w:charSpace="0"/>
        </w:sectPr>
      </w:pPr>
    </w:p>
    <w:p w14:paraId="51046C71">
      <w:pPr>
        <w:wordWrap w:val="0"/>
        <w:spacing w:before="156" w:beforeLines="50" w:line="640" w:lineRule="exact"/>
        <w:jc w:val="center"/>
        <w:rPr>
          <w:rFonts w:hint="eastAsia" w:ascii="华文新魏" w:hAnsi="黑体" w:eastAsia="华文新魏"/>
          <w:bCs/>
          <w:sz w:val="32"/>
        </w:rPr>
      </w:pPr>
      <w:r>
        <w:rPr>
          <w:rFonts w:hint="eastAsia" w:ascii="华文新魏" w:hAnsi="黑体" w:eastAsia="华文新魏"/>
          <w:bCs/>
          <w:sz w:val="40"/>
        </w:rPr>
        <w:t>目     录</w:t>
      </w:r>
    </w:p>
    <w:p w14:paraId="31C11766">
      <w:pPr>
        <w:wordWrap w:val="0"/>
        <w:spacing w:line="640" w:lineRule="exact"/>
        <w:jc w:val="center"/>
      </w:pPr>
    </w:p>
    <w:p w14:paraId="57AB708E">
      <w:pPr>
        <w:pStyle w:val="33"/>
        <w:tabs>
          <w:tab w:val="right" w:leader="dot" w:pos="9128"/>
          <w:tab w:val="clear" w:pos="8296"/>
        </w:tabs>
        <w:spacing w:line="720" w:lineRule="auto"/>
      </w:pPr>
      <w:r>
        <w:fldChar w:fldCharType="begin"/>
      </w:r>
      <w:r>
        <w:instrText xml:space="preserve">TOC \o "1-2" \h \u </w:instrText>
      </w:r>
      <w:r>
        <w:fldChar w:fldCharType="separate"/>
      </w:r>
      <w:r>
        <w:fldChar w:fldCharType="begin"/>
      </w:r>
      <w:r>
        <w:instrText xml:space="preserve"> HYPERLINK \l "_Toc30062" </w:instrText>
      </w:r>
      <w:r>
        <w:fldChar w:fldCharType="separate"/>
      </w:r>
      <w:r>
        <w:rPr>
          <w:rFonts w:hint="eastAsia" w:ascii="黑体" w:hAnsi="黑体" w:eastAsia="黑体"/>
        </w:rPr>
        <w:t xml:space="preserve">第一章 </w:t>
      </w:r>
      <w:r>
        <w:rPr>
          <w:rFonts w:ascii="黑体" w:hAnsi="黑体" w:eastAsia="黑体"/>
        </w:rPr>
        <w:t xml:space="preserve"> </w:t>
      </w:r>
      <w:r>
        <w:rPr>
          <w:rFonts w:hint="eastAsia" w:ascii="黑体" w:hAnsi="黑体" w:eastAsia="黑体"/>
        </w:rPr>
        <w:t>采购邀请（竞争性磋商公告）</w:t>
      </w:r>
      <w:r>
        <w:tab/>
      </w:r>
      <w:r>
        <w:fldChar w:fldCharType="begin"/>
      </w:r>
      <w:r>
        <w:instrText xml:space="preserve"> PAGEREF _Toc30062 \h </w:instrText>
      </w:r>
      <w:r>
        <w:fldChar w:fldCharType="separate"/>
      </w:r>
      <w:r>
        <w:t>1</w:t>
      </w:r>
      <w:r>
        <w:fldChar w:fldCharType="end"/>
      </w:r>
      <w:r>
        <w:fldChar w:fldCharType="end"/>
      </w:r>
    </w:p>
    <w:p w14:paraId="6709E2E2">
      <w:pPr>
        <w:pStyle w:val="33"/>
        <w:tabs>
          <w:tab w:val="right" w:leader="dot" w:pos="9128"/>
          <w:tab w:val="clear" w:pos="8296"/>
        </w:tabs>
        <w:spacing w:line="720" w:lineRule="auto"/>
      </w:pPr>
      <w:r>
        <w:fldChar w:fldCharType="begin"/>
      </w:r>
      <w:r>
        <w:instrText xml:space="preserve"> HYPERLINK \l "_Toc25077" </w:instrText>
      </w:r>
      <w:r>
        <w:fldChar w:fldCharType="separate"/>
      </w:r>
      <w:r>
        <w:rPr>
          <w:rFonts w:hint="eastAsia" w:ascii="黑体" w:hAnsi="黑体" w:eastAsia="黑体"/>
        </w:rPr>
        <w:t xml:space="preserve">第二章 </w:t>
      </w:r>
      <w:r>
        <w:rPr>
          <w:rFonts w:ascii="黑体" w:hAnsi="黑体" w:eastAsia="黑体"/>
        </w:rPr>
        <w:t xml:space="preserve"> </w:t>
      </w:r>
      <w:r>
        <w:rPr>
          <w:rFonts w:hint="eastAsia" w:ascii="黑体" w:hAnsi="黑体" w:eastAsia="黑体"/>
        </w:rPr>
        <w:t>供应商须知</w:t>
      </w:r>
      <w:r>
        <w:tab/>
      </w:r>
      <w:r>
        <w:fldChar w:fldCharType="begin"/>
      </w:r>
      <w:r>
        <w:instrText xml:space="preserve"> PAGEREF _Toc25077 \h </w:instrText>
      </w:r>
      <w:r>
        <w:fldChar w:fldCharType="separate"/>
      </w:r>
      <w:r>
        <w:t>6</w:t>
      </w:r>
      <w:r>
        <w:fldChar w:fldCharType="end"/>
      </w:r>
      <w:r>
        <w:fldChar w:fldCharType="end"/>
      </w:r>
    </w:p>
    <w:p w14:paraId="0151D624">
      <w:pPr>
        <w:pStyle w:val="33"/>
        <w:tabs>
          <w:tab w:val="right" w:leader="dot" w:pos="9128"/>
          <w:tab w:val="clear" w:pos="8296"/>
        </w:tabs>
        <w:spacing w:line="720" w:lineRule="auto"/>
      </w:pPr>
      <w:r>
        <w:fldChar w:fldCharType="begin"/>
      </w:r>
      <w:r>
        <w:instrText xml:space="preserve"> HYPERLINK \l "_Toc4208" </w:instrText>
      </w:r>
      <w:r>
        <w:fldChar w:fldCharType="separate"/>
      </w:r>
      <w:r>
        <w:rPr>
          <w:rFonts w:hint="eastAsia" w:ascii="黑体" w:hAnsi="黑体" w:eastAsia="黑体"/>
        </w:rPr>
        <w:t>第三章</w:t>
      </w:r>
      <w:r>
        <w:rPr>
          <w:rFonts w:ascii="黑体" w:hAnsi="黑体" w:eastAsia="黑体"/>
        </w:rPr>
        <w:t xml:space="preserve">  </w:t>
      </w:r>
      <w:r>
        <w:rPr>
          <w:rFonts w:hint="eastAsia" w:ascii="黑体" w:hAnsi="黑体" w:eastAsia="黑体"/>
        </w:rPr>
        <w:t>采购需求</w:t>
      </w:r>
      <w:r>
        <w:tab/>
      </w:r>
      <w:r>
        <w:fldChar w:fldCharType="begin"/>
      </w:r>
      <w:r>
        <w:instrText xml:space="preserve"> PAGEREF _Toc4208 \h </w:instrText>
      </w:r>
      <w:r>
        <w:fldChar w:fldCharType="separate"/>
      </w:r>
      <w:r>
        <w:t>31</w:t>
      </w:r>
      <w:r>
        <w:fldChar w:fldCharType="end"/>
      </w:r>
      <w:r>
        <w:fldChar w:fldCharType="end"/>
      </w:r>
    </w:p>
    <w:p w14:paraId="3B90D4FB">
      <w:pPr>
        <w:pStyle w:val="33"/>
        <w:tabs>
          <w:tab w:val="right" w:leader="dot" w:pos="9128"/>
          <w:tab w:val="clear" w:pos="8296"/>
        </w:tabs>
        <w:spacing w:line="720" w:lineRule="auto"/>
      </w:pPr>
      <w:r>
        <w:fldChar w:fldCharType="begin"/>
      </w:r>
      <w:r>
        <w:instrText xml:space="preserve"> HYPERLINK \l "_Toc10052" </w:instrText>
      </w:r>
      <w:r>
        <w:fldChar w:fldCharType="separate"/>
      </w:r>
      <w:r>
        <w:rPr>
          <w:rFonts w:hint="eastAsia" w:ascii="黑体" w:hAnsi="黑体" w:eastAsia="黑体"/>
        </w:rPr>
        <w:t xml:space="preserve">第四章 </w:t>
      </w:r>
      <w:r>
        <w:rPr>
          <w:rFonts w:ascii="黑体" w:hAnsi="黑体" w:eastAsia="黑体"/>
        </w:rPr>
        <w:t xml:space="preserve"> </w:t>
      </w:r>
      <w:r>
        <w:rPr>
          <w:rFonts w:hint="eastAsia" w:ascii="黑体" w:hAnsi="黑体" w:eastAsia="黑体"/>
        </w:rPr>
        <w:t>采购合同</w:t>
      </w:r>
      <w:r>
        <w:tab/>
      </w:r>
      <w:r>
        <w:fldChar w:fldCharType="begin"/>
      </w:r>
      <w:r>
        <w:instrText xml:space="preserve"> PAGEREF _Toc10052 \h </w:instrText>
      </w:r>
      <w:r>
        <w:fldChar w:fldCharType="separate"/>
      </w:r>
      <w:r>
        <w:t>35</w:t>
      </w:r>
      <w:r>
        <w:fldChar w:fldCharType="end"/>
      </w:r>
      <w:r>
        <w:fldChar w:fldCharType="end"/>
      </w:r>
    </w:p>
    <w:p w14:paraId="3E4779FA">
      <w:pPr>
        <w:pStyle w:val="33"/>
        <w:tabs>
          <w:tab w:val="right" w:leader="dot" w:pos="9128"/>
          <w:tab w:val="clear" w:pos="8296"/>
        </w:tabs>
        <w:spacing w:line="720" w:lineRule="auto"/>
      </w:pPr>
      <w:r>
        <w:fldChar w:fldCharType="begin"/>
      </w:r>
      <w:r>
        <w:instrText xml:space="preserve"> HYPERLINK \l "_Toc3675" </w:instrText>
      </w:r>
      <w:r>
        <w:fldChar w:fldCharType="separate"/>
      </w:r>
      <w:r>
        <w:rPr>
          <w:rFonts w:hint="eastAsia" w:ascii="黑体" w:hAnsi="黑体" w:eastAsia="黑体"/>
        </w:rPr>
        <w:t>第五章</w:t>
      </w:r>
      <w:r>
        <w:rPr>
          <w:rFonts w:ascii="黑体" w:hAnsi="黑体" w:eastAsia="黑体"/>
        </w:rPr>
        <w:t xml:space="preserve"> </w:t>
      </w:r>
      <w:r>
        <w:rPr>
          <w:rFonts w:hint="eastAsia" w:ascii="黑体" w:hAnsi="黑体" w:eastAsia="黑体"/>
        </w:rPr>
        <w:t xml:space="preserve"> 评审办法</w:t>
      </w:r>
      <w:r>
        <w:tab/>
      </w:r>
      <w:r>
        <w:fldChar w:fldCharType="begin"/>
      </w:r>
      <w:r>
        <w:instrText xml:space="preserve"> PAGEREF _Toc3675 \h </w:instrText>
      </w:r>
      <w:r>
        <w:fldChar w:fldCharType="separate"/>
      </w:r>
      <w:r>
        <w:t>68</w:t>
      </w:r>
      <w:r>
        <w:fldChar w:fldCharType="end"/>
      </w:r>
      <w:r>
        <w:fldChar w:fldCharType="end"/>
      </w:r>
    </w:p>
    <w:p w14:paraId="571F3420">
      <w:pPr>
        <w:pStyle w:val="33"/>
        <w:tabs>
          <w:tab w:val="right" w:leader="dot" w:pos="9128"/>
          <w:tab w:val="clear" w:pos="8296"/>
        </w:tabs>
        <w:spacing w:line="720" w:lineRule="auto"/>
      </w:pPr>
      <w:r>
        <w:fldChar w:fldCharType="begin"/>
      </w:r>
      <w:r>
        <w:instrText xml:space="preserve"> HYPERLINK \l "_Toc20850" </w:instrText>
      </w:r>
      <w:r>
        <w:fldChar w:fldCharType="separate"/>
      </w:r>
      <w:r>
        <w:rPr>
          <w:rFonts w:hint="eastAsia" w:ascii="黑体" w:hAnsi="黑体" w:eastAsia="黑体"/>
        </w:rPr>
        <w:t xml:space="preserve">第六章 </w:t>
      </w:r>
      <w:r>
        <w:rPr>
          <w:rFonts w:ascii="黑体" w:hAnsi="黑体" w:eastAsia="黑体"/>
        </w:rPr>
        <w:t xml:space="preserve"> </w:t>
      </w:r>
      <w:r>
        <w:rPr>
          <w:rFonts w:hint="eastAsia" w:ascii="黑体" w:hAnsi="黑体" w:eastAsia="黑体"/>
        </w:rPr>
        <w:t>响应文件格式</w:t>
      </w:r>
      <w:r>
        <w:tab/>
      </w:r>
      <w:r>
        <w:fldChar w:fldCharType="begin"/>
      </w:r>
      <w:r>
        <w:instrText xml:space="preserve"> PAGEREF _Toc20850 \h </w:instrText>
      </w:r>
      <w:r>
        <w:fldChar w:fldCharType="separate"/>
      </w:r>
      <w:r>
        <w:t>87</w:t>
      </w:r>
      <w:r>
        <w:fldChar w:fldCharType="end"/>
      </w:r>
      <w:r>
        <w:fldChar w:fldCharType="end"/>
      </w:r>
    </w:p>
    <w:p w14:paraId="631F9454">
      <w:pPr>
        <w:pStyle w:val="38"/>
        <w:tabs>
          <w:tab w:val="right" w:leader="dot" w:pos="9128"/>
          <w:tab w:val="clear" w:pos="8301"/>
        </w:tabs>
      </w:pPr>
    </w:p>
    <w:p w14:paraId="4D8A3926">
      <w:pPr>
        <w:wordWrap w:val="0"/>
        <w:spacing w:line="840" w:lineRule="exact"/>
      </w:pPr>
      <w:r>
        <w:fldChar w:fldCharType="end"/>
      </w:r>
    </w:p>
    <w:p w14:paraId="4ABF5074">
      <w:pPr>
        <w:wordWrap w:val="0"/>
        <w:spacing w:line="640" w:lineRule="exact"/>
      </w:pPr>
    </w:p>
    <w:p w14:paraId="0F9EEFE7">
      <w:pPr>
        <w:pStyle w:val="6"/>
        <w:tabs>
          <w:tab w:val="left" w:pos="0"/>
          <w:tab w:val="right" w:leader="dot" w:pos="142"/>
        </w:tabs>
        <w:wordWrap w:val="0"/>
        <w:autoSpaceDE w:val="0"/>
        <w:autoSpaceDN w:val="0"/>
        <w:adjustRightInd w:val="0"/>
        <w:spacing w:before="0" w:after="0" w:line="360" w:lineRule="auto"/>
        <w:ind w:left="2"/>
        <w:jc w:val="center"/>
        <w:rPr>
          <w:rFonts w:hint="eastAsia" w:ascii="黑体" w:hAnsi="黑体" w:eastAsia="黑体"/>
          <w:b w:val="0"/>
          <w:bCs w:val="0"/>
        </w:rPr>
      </w:pPr>
      <w:bookmarkStart w:id="0" w:name="_Toc16370"/>
      <w:bookmarkStart w:id="1" w:name="_Toc507399902"/>
      <w:bookmarkStart w:id="2" w:name="_Toc216582822"/>
      <w:bookmarkStart w:id="3" w:name="_Toc532044537"/>
      <w:bookmarkStart w:id="4" w:name="_Toc218935350"/>
      <w:bookmarkStart w:id="5" w:name="_Toc515647829"/>
      <w:bookmarkStart w:id="6" w:name="_Toc532473519"/>
      <w:bookmarkStart w:id="7" w:name="_Toc219175634"/>
      <w:bookmarkStart w:id="8" w:name="_Toc28765"/>
      <w:bookmarkStart w:id="9" w:name="_Toc15048357"/>
      <w:bookmarkStart w:id="10" w:name="_Toc30062"/>
      <w:bookmarkStart w:id="11" w:name="_Toc23402"/>
      <w:bookmarkStart w:id="12" w:name="_Toc17710"/>
    </w:p>
    <w:p w14:paraId="417DBDC1">
      <w:pPr>
        <w:bidi w:val="0"/>
        <w:rPr>
          <w:rFonts w:hint="eastAsia"/>
        </w:rPr>
      </w:pPr>
    </w:p>
    <w:p w14:paraId="1B00913E">
      <w:pPr>
        <w:bidi w:val="0"/>
        <w:rPr>
          <w:rFonts w:hint="eastAsia"/>
        </w:rPr>
      </w:pPr>
    </w:p>
    <w:p w14:paraId="31491CE5">
      <w:pPr>
        <w:bidi w:val="0"/>
        <w:rPr>
          <w:rFonts w:hint="eastAsia"/>
        </w:rPr>
      </w:pPr>
    </w:p>
    <w:p w14:paraId="7BE4D7C4">
      <w:pPr>
        <w:bidi w:val="0"/>
        <w:rPr>
          <w:rFonts w:hint="eastAsia"/>
        </w:rPr>
      </w:pPr>
    </w:p>
    <w:p w14:paraId="1CE94E37">
      <w:pPr>
        <w:bidi w:val="0"/>
        <w:rPr>
          <w:rFonts w:hint="eastAsia"/>
        </w:rPr>
      </w:pPr>
    </w:p>
    <w:p w14:paraId="5E525B15">
      <w:pPr>
        <w:bidi w:val="0"/>
        <w:rPr>
          <w:rFonts w:hint="eastAsia"/>
        </w:rPr>
      </w:pPr>
    </w:p>
    <w:p w14:paraId="74B11F45">
      <w:pPr>
        <w:bidi w:val="0"/>
        <w:rPr>
          <w:rFonts w:hint="eastAsia"/>
        </w:rPr>
      </w:pPr>
    </w:p>
    <w:p w14:paraId="140B8098">
      <w:pPr>
        <w:bidi w:val="0"/>
        <w:rPr>
          <w:rFonts w:hint="eastAsia"/>
        </w:rPr>
      </w:pPr>
    </w:p>
    <w:p w14:paraId="47DD2E6D">
      <w:pPr>
        <w:tabs>
          <w:tab w:val="center" w:pos="4153"/>
        </w:tabs>
        <w:bidi w:val="0"/>
        <w:jc w:val="left"/>
        <w:rPr>
          <w:rFonts w:hint="eastAsia" w:eastAsia="宋体"/>
          <w:lang w:eastAsia="zh-CN"/>
        </w:rPr>
        <w:sectPr>
          <w:footerReference r:id="rId5" w:type="default"/>
          <w:pgSz w:w="11906" w:h="16838"/>
          <w:pgMar w:top="1440" w:right="1800" w:bottom="1440" w:left="1800" w:header="851" w:footer="992" w:gutter="0"/>
          <w:pgNumType w:fmt="decimal" w:start="1"/>
          <w:cols w:space="720" w:num="1"/>
          <w:docGrid w:type="lines" w:linePitch="312" w:charSpace="0"/>
        </w:sectPr>
      </w:pPr>
      <w:r>
        <w:rPr>
          <w:rFonts w:hint="eastAsia"/>
          <w:lang w:eastAsia="zh-CN"/>
        </w:rPr>
        <w:tab/>
      </w:r>
    </w:p>
    <w:p w14:paraId="10DC665C">
      <w:pPr>
        <w:pStyle w:val="6"/>
        <w:tabs>
          <w:tab w:val="left" w:pos="0"/>
          <w:tab w:val="right" w:leader="dot" w:pos="142"/>
        </w:tabs>
        <w:wordWrap w:val="0"/>
        <w:autoSpaceDE w:val="0"/>
        <w:autoSpaceDN w:val="0"/>
        <w:adjustRightInd w:val="0"/>
        <w:spacing w:before="0" w:after="0" w:line="360" w:lineRule="auto"/>
        <w:ind w:left="2"/>
        <w:jc w:val="center"/>
        <w:rPr>
          <w:rFonts w:hint="eastAsia" w:ascii="黑体" w:hAnsi="黑体" w:eastAsia="黑体"/>
          <w:sz w:val="30"/>
          <w:szCs w:val="30"/>
        </w:rPr>
      </w:pPr>
      <w:r>
        <w:rPr>
          <w:rFonts w:hint="eastAsia" w:ascii="黑体" w:hAnsi="黑体" w:eastAsia="黑体"/>
          <w:b w:val="0"/>
          <w:bCs w:val="0"/>
        </w:rPr>
        <w:t xml:space="preserve">第一章 </w:t>
      </w:r>
      <w:r>
        <w:rPr>
          <w:rFonts w:ascii="黑体" w:hAnsi="黑体" w:eastAsia="黑体"/>
          <w:b w:val="0"/>
          <w:bCs w:val="0"/>
        </w:rPr>
        <w:t xml:space="preserve"> </w:t>
      </w:r>
      <w:r>
        <w:rPr>
          <w:rFonts w:hint="eastAsia" w:ascii="黑体" w:hAnsi="黑体" w:eastAsia="黑体"/>
          <w:b w:val="0"/>
          <w:bCs w:val="0"/>
        </w:rPr>
        <w:t>采购邀请</w:t>
      </w:r>
      <w:bookmarkEnd w:id="0"/>
      <w:bookmarkEnd w:id="1"/>
      <w:bookmarkEnd w:id="2"/>
      <w:bookmarkEnd w:id="3"/>
      <w:bookmarkEnd w:id="4"/>
      <w:bookmarkEnd w:id="5"/>
      <w:bookmarkEnd w:id="6"/>
      <w:bookmarkEnd w:id="7"/>
      <w:bookmarkEnd w:id="8"/>
      <w:bookmarkEnd w:id="9"/>
      <w:r>
        <w:rPr>
          <w:rFonts w:hint="eastAsia" w:ascii="黑体" w:hAnsi="黑体" w:eastAsia="黑体"/>
          <w:b w:val="0"/>
          <w:bCs w:val="0"/>
        </w:rPr>
        <w:t>（竞争性磋商公告）</w:t>
      </w:r>
      <w:bookmarkEnd w:id="10"/>
      <w:bookmarkEnd w:id="11"/>
      <w:bookmarkEnd w:id="12"/>
    </w:p>
    <w:p w14:paraId="724F819B">
      <w:pPr>
        <w:wordWrap w:val="0"/>
        <w:jc w:val="center"/>
        <w:rPr>
          <w:rFonts w:hint="eastAsia" w:ascii="黑体" w:hAnsi="黑体" w:eastAsia="黑体"/>
          <w:sz w:val="30"/>
        </w:rPr>
      </w:pPr>
      <w:bookmarkStart w:id="13" w:name="_Toc5632"/>
      <w:bookmarkStart w:id="14" w:name="_Toc27005"/>
      <w:r>
        <w:rPr>
          <w:rFonts w:hint="eastAsia" w:ascii="黑体" w:hAnsi="黑体" w:eastAsia="黑体"/>
          <w:kern w:val="44"/>
          <w:sz w:val="30"/>
        </w:rPr>
        <w:t>中国人民银行郑州培训学院二号培训楼修缮改造项目（四层五层及三层北区）</w:t>
      </w:r>
      <w:bookmarkStart w:id="15" w:name="_Toc4402"/>
      <w:bookmarkStart w:id="16" w:name="_Toc24952"/>
      <w:r>
        <w:rPr>
          <w:rFonts w:hint="eastAsia" w:ascii="黑体" w:hAnsi="黑体" w:eastAsia="黑体"/>
          <w:sz w:val="30"/>
        </w:rPr>
        <w:t>竞争性磋商公告</w:t>
      </w:r>
      <w:bookmarkEnd w:id="13"/>
      <w:bookmarkEnd w:id="14"/>
      <w:bookmarkEnd w:id="15"/>
      <w:bookmarkEnd w:id="16"/>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60DF8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9230" w:type="dxa"/>
          </w:tcPr>
          <w:p w14:paraId="6F2BFB43">
            <w:pPr>
              <w:wordWrap w:val="0"/>
              <w:spacing w:line="360" w:lineRule="auto"/>
              <w:rPr>
                <w:rFonts w:hint="eastAsia" w:ascii="宋体" w:hAnsi="宋体" w:cs="宋体"/>
                <w:sz w:val="24"/>
              </w:rPr>
            </w:pPr>
            <w:r>
              <w:rPr>
                <w:rFonts w:hint="eastAsia" w:ascii="宋体" w:hAnsi="宋体" w:cs="宋体"/>
                <w:sz w:val="24"/>
              </w:rPr>
              <w:t>项目概况</w:t>
            </w:r>
          </w:p>
          <w:p w14:paraId="05531F2C">
            <w:pPr>
              <w:wordWrap w:val="0"/>
              <w:spacing w:line="360" w:lineRule="auto"/>
              <w:ind w:firstLine="480" w:firstLineChars="200"/>
              <w:rPr>
                <w:rFonts w:hint="eastAsia" w:ascii="宋体" w:hAnsi="宋体" w:cs="宋体"/>
                <w:sz w:val="24"/>
              </w:rPr>
            </w:pPr>
            <w:r>
              <w:rPr>
                <w:rFonts w:hint="eastAsia" w:ascii="宋体" w:hAnsi="宋体" w:cs="宋体"/>
                <w:sz w:val="24"/>
              </w:rPr>
              <w:t>中国人民银行郑州培训学院二号培训楼修缮改造项目（四层五层及三层北区）的潜在供应商应按照公告要求获取竞争性磋商文件</w:t>
            </w:r>
            <w:r>
              <w:rPr>
                <w:rFonts w:hint="eastAsia" w:ascii="宋体" w:hAnsi="宋体" w:cs="宋体"/>
                <w:kern w:val="0"/>
                <w:sz w:val="24"/>
              </w:rPr>
              <w:t>，</w:t>
            </w:r>
            <w:r>
              <w:rPr>
                <w:rFonts w:hint="eastAsia" w:ascii="宋体" w:hAnsi="宋体" w:cs="宋体"/>
                <w:sz w:val="24"/>
              </w:rPr>
              <w:t>并于2026年10月26日</w:t>
            </w:r>
            <w:r>
              <w:rPr>
                <w:rFonts w:hint="eastAsia" w:ascii="宋体" w:hAnsi="宋体" w:cs="宋体"/>
                <w:bCs/>
                <w:sz w:val="24"/>
              </w:rPr>
              <w:t>9点30分（北京时间）前递交响应文件</w:t>
            </w:r>
            <w:r>
              <w:rPr>
                <w:rFonts w:hint="eastAsia" w:ascii="宋体" w:hAnsi="宋体" w:cs="宋体"/>
                <w:sz w:val="24"/>
              </w:rPr>
              <w:t>。</w:t>
            </w:r>
          </w:p>
        </w:tc>
      </w:tr>
    </w:tbl>
    <w:p w14:paraId="7A8EA05D">
      <w:pPr>
        <w:pStyle w:val="7"/>
        <w:spacing w:before="0" w:after="0" w:line="360" w:lineRule="auto"/>
        <w:rPr>
          <w:rFonts w:hint="eastAsia" w:ascii="宋体" w:hAnsi="宋体" w:eastAsia="宋体" w:cs="宋体"/>
          <w:b w:val="0"/>
          <w:sz w:val="24"/>
          <w:szCs w:val="24"/>
        </w:rPr>
      </w:pPr>
      <w:bookmarkStart w:id="17" w:name="_Toc49356030"/>
      <w:bookmarkStart w:id="18" w:name="_Toc198191694"/>
      <w:bookmarkStart w:id="19" w:name="_Toc21768"/>
      <w:r>
        <w:rPr>
          <w:rFonts w:hint="eastAsia" w:ascii="宋体" w:hAnsi="宋体" w:eastAsia="宋体" w:cs="宋体"/>
          <w:b w:val="0"/>
          <w:sz w:val="24"/>
          <w:szCs w:val="24"/>
        </w:rPr>
        <w:t>一、项目基本情况</w:t>
      </w:r>
      <w:bookmarkEnd w:id="17"/>
      <w:bookmarkEnd w:id="18"/>
      <w:bookmarkEnd w:id="19"/>
    </w:p>
    <w:p w14:paraId="4CAB15D5">
      <w:pPr>
        <w:spacing w:line="360" w:lineRule="auto"/>
        <w:ind w:firstLine="480" w:firstLineChars="200"/>
        <w:rPr>
          <w:rFonts w:hint="eastAsia" w:ascii="宋体" w:hAnsi="宋体" w:cs="宋体"/>
          <w:sz w:val="24"/>
        </w:rPr>
      </w:pPr>
      <w:r>
        <w:rPr>
          <w:rFonts w:hint="eastAsia" w:ascii="宋体" w:hAnsi="宋体" w:cs="宋体"/>
          <w:sz w:val="24"/>
        </w:rPr>
        <w:t>1、采购项目编号：ZPJC-2026-010</w:t>
      </w:r>
    </w:p>
    <w:p w14:paraId="5A716491">
      <w:pPr>
        <w:spacing w:line="360" w:lineRule="auto"/>
        <w:ind w:firstLine="480" w:firstLineChars="200"/>
        <w:rPr>
          <w:rFonts w:hint="eastAsia" w:ascii="宋体" w:hAnsi="宋体" w:cs="宋体"/>
          <w:sz w:val="24"/>
          <w:u w:val="single"/>
        </w:rPr>
      </w:pPr>
      <w:r>
        <w:rPr>
          <w:rFonts w:hint="eastAsia" w:ascii="宋体" w:hAnsi="宋体" w:cs="宋体"/>
          <w:sz w:val="24"/>
        </w:rPr>
        <w:t>2、采购项目名称：中国人民银行郑州培训学院二号培训楼修缮改造项目（四层五层及三层北区）</w:t>
      </w:r>
    </w:p>
    <w:p w14:paraId="4B2C06DC">
      <w:pPr>
        <w:spacing w:line="360" w:lineRule="auto"/>
        <w:ind w:firstLine="480" w:firstLineChars="200"/>
        <w:rPr>
          <w:rFonts w:hint="eastAsia" w:ascii="宋体" w:hAnsi="宋体" w:cs="宋体"/>
          <w:sz w:val="24"/>
        </w:rPr>
      </w:pPr>
      <w:r>
        <w:rPr>
          <w:rFonts w:hint="eastAsia" w:ascii="宋体" w:hAnsi="宋体" w:cs="宋体"/>
          <w:sz w:val="24"/>
        </w:rPr>
        <w:t>3、采购方式：竞争性磋商</w:t>
      </w:r>
    </w:p>
    <w:p w14:paraId="73100D3F">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4、预算金额：4980000.00元，最高限价（控制价）</w:t>
      </w:r>
      <w:bookmarkStart w:id="20" w:name="_Hlk110414868"/>
      <w:r>
        <w:rPr>
          <w:rFonts w:hint="eastAsia" w:ascii="宋体" w:hAnsi="宋体" w:cs="宋体"/>
          <w:color w:val="000000" w:themeColor="text1"/>
          <w:sz w:val="24"/>
          <w14:textFill>
            <w14:solidFill>
              <w14:schemeClr w14:val="tx1"/>
            </w14:solidFill>
          </w14:textFill>
        </w:rPr>
        <w:t>：</w:t>
      </w:r>
      <w:r>
        <w:rPr>
          <w:rFonts w:hint="eastAsia" w:ascii="宋体" w:hAnsi="宋体"/>
          <w:sz w:val="24"/>
        </w:rPr>
        <w:t>4978877.52</w:t>
      </w:r>
      <w:r>
        <w:rPr>
          <w:rFonts w:hint="eastAsia" w:ascii="宋体" w:hAnsi="宋体" w:cs="宋体"/>
          <w:color w:val="000000" w:themeColor="text1"/>
          <w:sz w:val="24"/>
          <w14:textFill>
            <w14:solidFill>
              <w14:schemeClr w14:val="tx1"/>
            </w14:solidFill>
          </w14:textFill>
        </w:rPr>
        <w:t>元</w:t>
      </w:r>
    </w:p>
    <w:bookmarkEnd w:id="20"/>
    <w:p w14:paraId="49D9163C">
      <w:pPr>
        <w:spacing w:line="360" w:lineRule="auto"/>
        <w:ind w:firstLine="480" w:firstLineChars="200"/>
        <w:rPr>
          <w:rFonts w:hint="eastAsia" w:ascii="宋体" w:hAnsi="宋体" w:cs="宋体"/>
          <w:sz w:val="24"/>
        </w:rPr>
      </w:pPr>
      <w:r>
        <w:rPr>
          <w:rFonts w:hint="eastAsia" w:ascii="宋体" w:hAnsi="宋体" w:cs="宋体"/>
          <w:sz w:val="24"/>
        </w:rPr>
        <w:t>5、采购需求：</w:t>
      </w:r>
      <w:bookmarkStart w:id="21" w:name="_Hlk56430164"/>
      <w:r>
        <w:rPr>
          <w:rFonts w:hint="eastAsia" w:ascii="宋体" w:hAnsi="宋体" w:cs="宋体"/>
          <w:sz w:val="24"/>
        </w:rPr>
        <w:t>中国人民银行郑州培训学院二号培训楼（四层五层及三层北区）修缮改造，</w:t>
      </w:r>
      <w:bookmarkStart w:id="22" w:name="OLE_LINK245"/>
      <w:bookmarkStart w:id="23" w:name="OLE_LINK246"/>
      <w:bookmarkStart w:id="24" w:name="OLE_LINK244"/>
      <w:r>
        <w:rPr>
          <w:rFonts w:hint="eastAsia" w:ascii="宋体" w:hAnsi="宋体" w:cs="宋体"/>
          <w:sz w:val="24"/>
        </w:rPr>
        <w:t>工程内容主要包括装饰工程、强电工程、弱电工程、给排水工程、消防工程，具体详见竞争性磋商文件、工程量清单、施工图纸等。</w:t>
      </w:r>
      <w:bookmarkEnd w:id="22"/>
      <w:bookmarkEnd w:id="23"/>
      <w:bookmarkEnd w:id="24"/>
    </w:p>
    <w:p w14:paraId="2836C873">
      <w:pPr>
        <w:spacing w:line="360" w:lineRule="auto"/>
        <w:ind w:firstLine="480" w:firstLineChars="200"/>
        <w:rPr>
          <w:rFonts w:hint="eastAsia" w:ascii="宋体" w:hAnsi="宋体" w:cs="宋体"/>
          <w:sz w:val="24"/>
        </w:rPr>
      </w:pPr>
      <w:r>
        <w:rPr>
          <w:rFonts w:hint="eastAsia" w:ascii="宋体" w:hAnsi="宋体" w:cs="宋体"/>
          <w:sz w:val="24"/>
        </w:rPr>
        <w:t>6、质量要求：合格，满足国家相关质量验收标准。</w:t>
      </w:r>
    </w:p>
    <w:p w14:paraId="58B4B6A6">
      <w:pPr>
        <w:spacing w:line="360" w:lineRule="auto"/>
        <w:ind w:firstLine="480" w:firstLineChars="200"/>
        <w:rPr>
          <w:rFonts w:hint="eastAsia" w:ascii="宋体" w:hAnsi="宋体" w:cs="宋体"/>
          <w:sz w:val="24"/>
        </w:rPr>
      </w:pPr>
      <w:r>
        <w:rPr>
          <w:rFonts w:hint="eastAsia" w:ascii="宋体" w:hAnsi="宋体" w:cs="宋体"/>
          <w:sz w:val="24"/>
        </w:rPr>
        <w:t>7、工期：150日历天。</w:t>
      </w:r>
    </w:p>
    <w:bookmarkEnd w:id="21"/>
    <w:p w14:paraId="27CFD419">
      <w:pPr>
        <w:spacing w:line="360" w:lineRule="auto"/>
        <w:ind w:firstLine="480" w:firstLineChars="200"/>
        <w:rPr>
          <w:rFonts w:hint="eastAsia" w:ascii="宋体" w:hAnsi="宋体" w:cs="宋体"/>
          <w:sz w:val="24"/>
        </w:rPr>
      </w:pPr>
      <w:r>
        <w:rPr>
          <w:rFonts w:hint="eastAsia" w:ascii="宋体" w:hAnsi="宋体" w:cs="宋体"/>
          <w:sz w:val="24"/>
        </w:rPr>
        <w:t>8、本项目是否接受联合体：否</w:t>
      </w:r>
    </w:p>
    <w:p w14:paraId="6B089C18">
      <w:pPr>
        <w:spacing w:line="360" w:lineRule="auto"/>
        <w:ind w:firstLine="480" w:firstLineChars="200"/>
        <w:rPr>
          <w:rFonts w:hint="eastAsia" w:ascii="宋体" w:hAnsi="宋体" w:cs="宋体"/>
          <w:sz w:val="24"/>
        </w:rPr>
      </w:pPr>
      <w:r>
        <w:rPr>
          <w:rFonts w:hint="eastAsia" w:ascii="宋体" w:hAnsi="宋体" w:cs="宋体"/>
          <w:sz w:val="24"/>
        </w:rPr>
        <w:t>9、是否为只面向中小企业采购：是</w:t>
      </w:r>
    </w:p>
    <w:p w14:paraId="44593CD4">
      <w:pPr>
        <w:pStyle w:val="7"/>
        <w:spacing w:before="0" w:after="0" w:line="360" w:lineRule="auto"/>
        <w:rPr>
          <w:rFonts w:hint="eastAsia" w:ascii="宋体" w:hAnsi="宋体" w:eastAsia="宋体" w:cs="宋体"/>
          <w:b w:val="0"/>
          <w:sz w:val="24"/>
          <w:szCs w:val="24"/>
        </w:rPr>
      </w:pPr>
      <w:bookmarkStart w:id="25" w:name="_Toc28359013"/>
      <w:bookmarkStart w:id="26" w:name="_Toc35393630"/>
      <w:bookmarkStart w:id="27" w:name="_Toc198191695"/>
      <w:bookmarkStart w:id="28" w:name="_Toc28359090"/>
      <w:bookmarkStart w:id="29" w:name="_Toc49356031"/>
      <w:bookmarkStart w:id="30" w:name="_Toc35393799"/>
      <w:bookmarkStart w:id="31" w:name="_Toc31101"/>
      <w:r>
        <w:rPr>
          <w:rFonts w:hint="eastAsia" w:ascii="宋体" w:hAnsi="宋体" w:eastAsia="宋体" w:cs="宋体"/>
          <w:b w:val="0"/>
          <w:sz w:val="24"/>
          <w:szCs w:val="24"/>
        </w:rPr>
        <w:t>二、申请人的资格要求</w:t>
      </w:r>
      <w:bookmarkEnd w:id="25"/>
      <w:bookmarkEnd w:id="26"/>
      <w:bookmarkEnd w:id="27"/>
      <w:bookmarkEnd w:id="28"/>
      <w:bookmarkEnd w:id="29"/>
      <w:bookmarkEnd w:id="30"/>
      <w:bookmarkEnd w:id="31"/>
    </w:p>
    <w:p w14:paraId="2E7F7173">
      <w:pPr>
        <w:spacing w:line="360" w:lineRule="auto"/>
        <w:ind w:firstLine="480" w:firstLineChars="200"/>
        <w:rPr>
          <w:rFonts w:hint="eastAsia" w:ascii="宋体" w:hAnsi="宋体" w:cs="宋体"/>
          <w:sz w:val="24"/>
        </w:rPr>
      </w:pPr>
      <w:bookmarkStart w:id="32" w:name="_Hlk56430314"/>
      <w:r>
        <w:rPr>
          <w:rFonts w:hint="eastAsia" w:ascii="宋体" w:hAnsi="宋体" w:cs="宋体"/>
          <w:sz w:val="24"/>
        </w:rPr>
        <w:t>1、满足《中华人民共和国政府采购法》第二十二条规定；</w:t>
      </w:r>
    </w:p>
    <w:p w14:paraId="6A3019D9">
      <w:pPr>
        <w:spacing w:line="360" w:lineRule="auto"/>
        <w:ind w:firstLine="480" w:firstLineChars="200"/>
        <w:rPr>
          <w:rFonts w:hint="eastAsia" w:ascii="宋体" w:hAnsi="宋体" w:cs="宋体"/>
          <w:sz w:val="24"/>
        </w:rPr>
      </w:pPr>
      <w:bookmarkStart w:id="33" w:name="_Toc28359091"/>
      <w:bookmarkStart w:id="34" w:name="_Toc28359014"/>
      <w:r>
        <w:rPr>
          <w:rFonts w:hint="eastAsia" w:ascii="宋体" w:hAnsi="宋体" w:cs="宋体"/>
          <w:sz w:val="24"/>
        </w:rPr>
        <w:t>2、落实政府采购政策需满足的资格要求：本项目专门面向中小企业（监狱企业、残疾人福利性企业视同中小企业）；</w:t>
      </w:r>
    </w:p>
    <w:p w14:paraId="525C8833">
      <w:pPr>
        <w:spacing w:line="360" w:lineRule="auto"/>
        <w:ind w:firstLine="480" w:firstLineChars="200"/>
        <w:rPr>
          <w:rFonts w:hint="eastAsia" w:ascii="宋体" w:hAnsi="宋体" w:cs="宋体"/>
          <w:sz w:val="24"/>
        </w:rPr>
      </w:pPr>
      <w:r>
        <w:rPr>
          <w:rFonts w:hint="eastAsia" w:ascii="宋体" w:hAnsi="宋体" w:cs="宋体"/>
          <w:sz w:val="24"/>
        </w:rPr>
        <w:t>3、本项目的特定资格要求：</w:t>
      </w:r>
    </w:p>
    <w:bookmarkEnd w:id="32"/>
    <w:p w14:paraId="42E1FBB9">
      <w:pPr>
        <w:spacing w:line="360" w:lineRule="auto"/>
        <w:ind w:firstLine="480" w:firstLineChars="200"/>
        <w:rPr>
          <w:rFonts w:hint="eastAsia" w:ascii="宋体" w:hAnsi="宋体" w:cs="宋体"/>
          <w:sz w:val="24"/>
        </w:rPr>
      </w:pPr>
      <w:bookmarkStart w:id="35" w:name="_Toc35393800"/>
      <w:bookmarkStart w:id="36" w:name="_Toc35393631"/>
      <w:bookmarkStart w:id="37" w:name="_Toc49356032"/>
      <w:bookmarkStart w:id="38" w:name="_Toc4930"/>
      <w:bookmarkStart w:id="39" w:name="_Hlk110518481"/>
      <w:r>
        <w:rPr>
          <w:rFonts w:hint="eastAsia" w:ascii="宋体" w:hAnsi="宋体" w:cs="宋体"/>
          <w:sz w:val="24"/>
        </w:rPr>
        <w:t>3.1供应商须具有建设行政主管部门颁发的有效期内的建筑装修装饰工程专业承包二级（含）及以上资质，具有有效的安全生产许可证。</w:t>
      </w:r>
    </w:p>
    <w:p w14:paraId="7282B0F6">
      <w:pPr>
        <w:spacing w:line="360" w:lineRule="auto"/>
        <w:ind w:firstLine="480" w:firstLineChars="200"/>
        <w:rPr>
          <w:rFonts w:hint="eastAsia" w:ascii="宋体" w:hAnsi="宋体" w:cs="宋体"/>
          <w:sz w:val="24"/>
        </w:rPr>
      </w:pPr>
      <w:r>
        <w:rPr>
          <w:rFonts w:hint="eastAsia" w:ascii="宋体" w:hAnsi="宋体" w:cs="宋体"/>
          <w:sz w:val="24"/>
        </w:rPr>
        <w:t>3.2拟派项目经理须具有在本单位注册的建筑工程专业二级及以上注册建造师资格，具备有效的安全生产考核合格证，且未担任其他在施建设工程项目的项目经理；应提供项目经理与响应供应商签订的劳动合同和响应供应商为其缴纳社会保险的证明（2026年1月1日以来任意一个月的社会保险证明）【提供建造师注册证书、安全生产考核合格证书、劳动合同扫描件、社保证明扫描件、无在建承诺函】。</w:t>
      </w:r>
    </w:p>
    <w:p w14:paraId="1ACBB585">
      <w:pPr>
        <w:spacing w:line="360" w:lineRule="auto"/>
        <w:ind w:firstLine="480" w:firstLineChars="200"/>
        <w:rPr>
          <w:rFonts w:hint="eastAsia" w:ascii="宋体" w:hAnsi="宋体" w:cs="宋体"/>
          <w:sz w:val="24"/>
        </w:rPr>
      </w:pPr>
      <w:r>
        <w:rPr>
          <w:rFonts w:hint="eastAsia" w:ascii="宋体" w:hAnsi="宋体" w:cs="宋体"/>
          <w:sz w:val="24"/>
        </w:rPr>
        <w:t>4、根据《关于在政府采购活动中查询及使用信用记录有关问题的通知》(财库[2016]125 号)的规定，对列入失信被执行人、重大税收违法失信主体、政府采购严重违法失信行为记录名单的投标人，拒绝参与本项目政府采购活动。查询渠道：失信被执行人通过“信用中国”网站（http://www.creditchina.gov.cn/）“信用服务”→“失信被执行人”→跳转至“中国执行信息公开网（http://zxgk.court.gov.cn/shixin/）”查询，重大税收违法失信主体通过“信用中国”网站（http://www.creditchina.gov.cn/）“信用服务”→“重大税收违法失信主体”查询，政府采购严重违法失信行为通过“中国政府采购网”网站（www.ccgp.gov.cn）中查询“政府采购严重违法失信行为记录名单”查询；</w:t>
      </w:r>
    </w:p>
    <w:p w14:paraId="13FF7561">
      <w:pPr>
        <w:spacing w:line="360" w:lineRule="auto"/>
        <w:ind w:firstLine="480" w:firstLineChars="200"/>
        <w:rPr>
          <w:rFonts w:hint="eastAsia" w:ascii="宋体" w:hAnsi="宋体" w:cs="宋体"/>
          <w:sz w:val="24"/>
        </w:rPr>
      </w:pPr>
      <w:r>
        <w:rPr>
          <w:rFonts w:hint="eastAsia" w:ascii="宋体" w:hAnsi="宋体" w:cs="宋体"/>
          <w:sz w:val="24"/>
        </w:rPr>
        <w:t>5、根据《河南省住房和城乡建设厅关于进一步规范建设工程企业资质管理的通知》(豫建行规(2024)7号)规定，供应商参加本项目所用的资质项在全国或发证机关所在省建筑市场监管公共服务平台网站中，资质状况被标注“资质异常”或“注册人员不足”的，按无效响应处理。（如在发证机关所在省建筑市场监管公共服务平台无本企业信息，视为“未被发证机关所在省建筑市场监管公共服务平台标注为资质异常或注册人员不足”）；供应商须同时提供承诺书(格式自拟)、全国建筑市场监管公共服务平台或发证机关所在省建筑市场监管公共服务平台查询结果；以上查询结果均须显示查询日期，查询日期为公告发布之后至响应文件提交截止时间前。</w:t>
      </w:r>
    </w:p>
    <w:p w14:paraId="4A46B758">
      <w:pPr>
        <w:spacing w:line="360" w:lineRule="auto"/>
        <w:ind w:firstLine="480" w:firstLineChars="200"/>
        <w:rPr>
          <w:rFonts w:hint="eastAsia" w:ascii="宋体" w:hAnsi="宋体" w:cs="宋体"/>
          <w:sz w:val="24"/>
        </w:rPr>
      </w:pPr>
      <w:bookmarkStart w:id="40" w:name="OLE_LINK49"/>
      <w:r>
        <w:rPr>
          <w:rFonts w:hint="eastAsia" w:ascii="宋体" w:hAnsi="宋体" w:cs="宋体"/>
          <w:sz w:val="24"/>
        </w:rPr>
        <w:t>6、单位负责人为同一人或者存在直接控股、管理关系的不同供应商，不得参加同一合同项下的政府采购活动。</w:t>
      </w:r>
      <w:bookmarkEnd w:id="40"/>
    </w:p>
    <w:p w14:paraId="15F49226">
      <w:pPr>
        <w:pStyle w:val="7"/>
        <w:spacing w:before="0" w:after="0" w:line="360" w:lineRule="auto"/>
        <w:rPr>
          <w:rFonts w:hint="eastAsia" w:ascii="宋体" w:hAnsi="宋体" w:eastAsia="宋体" w:cs="宋体"/>
          <w:b w:val="0"/>
          <w:sz w:val="24"/>
          <w:szCs w:val="24"/>
        </w:rPr>
      </w:pPr>
      <w:bookmarkStart w:id="41" w:name="_Toc198191696"/>
      <w:r>
        <w:rPr>
          <w:rFonts w:hint="eastAsia" w:ascii="宋体" w:hAnsi="宋体" w:eastAsia="宋体" w:cs="宋体"/>
          <w:b w:val="0"/>
          <w:sz w:val="24"/>
          <w:szCs w:val="24"/>
        </w:rPr>
        <w:t>三、获取</w:t>
      </w:r>
      <w:bookmarkEnd w:id="33"/>
      <w:bookmarkEnd w:id="34"/>
      <w:bookmarkEnd w:id="35"/>
      <w:bookmarkEnd w:id="36"/>
      <w:bookmarkEnd w:id="37"/>
      <w:r>
        <w:rPr>
          <w:rFonts w:hint="eastAsia" w:ascii="宋体" w:hAnsi="宋体" w:eastAsia="宋体" w:cs="宋体"/>
          <w:b w:val="0"/>
          <w:sz w:val="24"/>
          <w:szCs w:val="24"/>
        </w:rPr>
        <w:t>竞争性磋商文件</w:t>
      </w:r>
      <w:bookmarkEnd w:id="38"/>
      <w:bookmarkEnd w:id="41"/>
    </w:p>
    <w:bookmarkEnd w:id="39"/>
    <w:p w14:paraId="629773D9">
      <w:pPr>
        <w:spacing w:line="360" w:lineRule="auto"/>
        <w:ind w:firstLine="480" w:firstLineChars="200"/>
        <w:jc w:val="left"/>
        <w:rPr>
          <w:rFonts w:hint="eastAsia" w:ascii="宋体" w:hAnsi="宋体" w:cs="宋体"/>
          <w:sz w:val="24"/>
        </w:rPr>
      </w:pPr>
      <w:bookmarkStart w:id="42" w:name="_Hlk86913933"/>
      <w:r>
        <w:rPr>
          <w:rFonts w:hint="eastAsia" w:ascii="宋体" w:hAnsi="宋体" w:cs="宋体"/>
          <w:sz w:val="24"/>
        </w:rPr>
        <w:t>1、时间：2026年10月13日至2026年10月20日。每天上午08:00至12:00，下午15:00至17:30（北京时间，法定节假日除外）。</w:t>
      </w:r>
    </w:p>
    <w:p w14:paraId="674446F0">
      <w:pPr>
        <w:spacing w:line="360" w:lineRule="auto"/>
        <w:ind w:firstLine="480" w:firstLineChars="200"/>
        <w:jc w:val="left"/>
        <w:rPr>
          <w:rFonts w:hint="eastAsia" w:ascii="宋体" w:hAnsi="宋体" w:cs="宋体"/>
          <w:sz w:val="24"/>
        </w:rPr>
      </w:pPr>
      <w:r>
        <w:rPr>
          <w:rFonts w:hint="eastAsia" w:ascii="宋体" w:hAnsi="宋体" w:cs="宋体"/>
          <w:sz w:val="24"/>
        </w:rPr>
        <w:t>2、地点：河南招标采购服务有限公司502房间。</w:t>
      </w:r>
    </w:p>
    <w:p w14:paraId="41624FBC">
      <w:pPr>
        <w:spacing w:line="360" w:lineRule="auto"/>
        <w:ind w:firstLine="480" w:firstLineChars="200"/>
        <w:jc w:val="left"/>
        <w:rPr>
          <w:rFonts w:hint="eastAsia" w:ascii="宋体" w:hAnsi="宋体" w:cs="宋体"/>
          <w:sz w:val="24"/>
        </w:rPr>
      </w:pPr>
      <w:bookmarkStart w:id="43" w:name="_Hlk218411407"/>
      <w:bookmarkStart w:id="44" w:name="OLE_LINK77"/>
      <w:r>
        <w:rPr>
          <w:rFonts w:hint="eastAsia" w:ascii="宋体" w:hAnsi="宋体" w:cs="宋体"/>
          <w:sz w:val="24"/>
        </w:rPr>
        <w:t>3、方式：现场获取或邮箱获取。获取竞争性磋商文件时须提供下列资料：</w:t>
      </w:r>
    </w:p>
    <w:p w14:paraId="7399C45F">
      <w:pPr>
        <w:spacing w:line="360" w:lineRule="auto"/>
        <w:ind w:firstLine="480" w:firstLineChars="200"/>
        <w:jc w:val="left"/>
        <w:rPr>
          <w:rFonts w:hint="eastAsia" w:ascii="宋体" w:hAnsi="宋体" w:cs="宋体"/>
          <w:sz w:val="24"/>
        </w:rPr>
      </w:pPr>
      <w:r>
        <w:rPr>
          <w:rFonts w:hint="eastAsia" w:ascii="宋体" w:hAnsi="宋体" w:cs="宋体"/>
          <w:sz w:val="24"/>
        </w:rPr>
        <w:t>3.1法定代表人（或非法人组织的单位负责人）获取竞争性磋商文件时须提供法定代表人（或单位负责人）身份证复印件；</w:t>
      </w:r>
    </w:p>
    <w:p w14:paraId="6D0F71FC">
      <w:pPr>
        <w:spacing w:line="360" w:lineRule="auto"/>
        <w:ind w:firstLine="480" w:firstLineChars="200"/>
        <w:jc w:val="left"/>
        <w:rPr>
          <w:rFonts w:hint="eastAsia" w:ascii="宋体" w:hAnsi="宋体" w:cs="宋体"/>
          <w:sz w:val="24"/>
        </w:rPr>
      </w:pPr>
      <w:r>
        <w:rPr>
          <w:rFonts w:hint="eastAsia" w:ascii="宋体" w:hAnsi="宋体" w:cs="宋体"/>
          <w:sz w:val="24"/>
        </w:rPr>
        <w:t>3.2委托代理人领取竞争性磋商文件时须提供单位授权委托书原件（加盖单位公章）、委托代理人身份证复印件；</w:t>
      </w:r>
    </w:p>
    <w:p w14:paraId="0494CBF5">
      <w:pPr>
        <w:spacing w:line="360" w:lineRule="auto"/>
        <w:ind w:firstLine="480" w:firstLineChars="200"/>
        <w:jc w:val="left"/>
        <w:rPr>
          <w:rFonts w:hint="eastAsia" w:ascii="宋体" w:hAnsi="宋体" w:cs="宋体"/>
          <w:sz w:val="24"/>
        </w:rPr>
      </w:pPr>
      <w:r>
        <w:rPr>
          <w:rFonts w:hint="eastAsia" w:ascii="宋体" w:hAnsi="宋体" w:cs="宋体"/>
          <w:sz w:val="24"/>
        </w:rPr>
        <w:t>3.3营业执照复印件加盖公章；</w:t>
      </w:r>
    </w:p>
    <w:p w14:paraId="5B612FC6">
      <w:pPr>
        <w:spacing w:line="360" w:lineRule="auto"/>
        <w:ind w:firstLine="480" w:firstLineChars="200"/>
        <w:jc w:val="left"/>
        <w:rPr>
          <w:rFonts w:hint="eastAsia" w:ascii="宋体" w:hAnsi="宋体" w:cs="宋体"/>
          <w:sz w:val="24"/>
        </w:rPr>
      </w:pPr>
      <w:r>
        <w:rPr>
          <w:rFonts w:hint="eastAsia" w:ascii="宋体" w:hAnsi="宋体" w:cs="宋体"/>
          <w:sz w:val="24"/>
        </w:rPr>
        <w:t>3.4邮箱获取须将以上资料扫描件、被授权人姓名、联系方式发送hn65990020@</w:t>
      </w:r>
      <w:r>
        <w:rPr>
          <w:rFonts w:hint="eastAsia" w:ascii="宋体" w:hAnsi="宋体" w:cs="宋体"/>
          <w:sz w:val="24"/>
          <w:lang w:val="en-US" w:eastAsia="zh-CN"/>
        </w:rPr>
        <w:t>126</w:t>
      </w:r>
      <w:r>
        <w:rPr>
          <w:rFonts w:hint="eastAsia" w:ascii="宋体" w:hAnsi="宋体" w:cs="宋体"/>
          <w:sz w:val="24"/>
        </w:rPr>
        <w:t>.com（邮件备注项目名称+公司名称）。</w:t>
      </w:r>
    </w:p>
    <w:bookmarkEnd w:id="43"/>
    <w:bookmarkEnd w:id="44"/>
    <w:p w14:paraId="3A729A7E">
      <w:pPr>
        <w:spacing w:line="360" w:lineRule="auto"/>
        <w:ind w:firstLine="480" w:firstLineChars="200"/>
        <w:jc w:val="left"/>
        <w:rPr>
          <w:rFonts w:hint="eastAsia" w:ascii="宋体" w:hAnsi="宋体" w:cs="宋体"/>
          <w:sz w:val="24"/>
        </w:rPr>
      </w:pPr>
      <w:r>
        <w:rPr>
          <w:rFonts w:hint="eastAsia" w:ascii="宋体" w:hAnsi="宋体" w:cs="宋体"/>
          <w:sz w:val="24"/>
        </w:rPr>
        <w:t>4、竞争性磋商文件售价：300元人民币/本，售后不退。</w:t>
      </w:r>
      <w:bookmarkEnd w:id="42"/>
    </w:p>
    <w:p w14:paraId="599DAC43">
      <w:pPr>
        <w:spacing w:line="360" w:lineRule="auto"/>
        <w:ind w:firstLine="480" w:firstLineChars="200"/>
        <w:jc w:val="left"/>
        <w:rPr>
          <w:rFonts w:hint="eastAsia" w:ascii="宋体" w:hAnsi="宋体" w:cs="宋体"/>
          <w:sz w:val="24"/>
        </w:rPr>
      </w:pPr>
      <w:r>
        <w:rPr>
          <w:rFonts w:hint="eastAsia" w:ascii="宋体" w:hAnsi="宋体" w:cs="宋体"/>
          <w:sz w:val="24"/>
        </w:rPr>
        <w:t>支付方式：现金或公对公转账（公对公转账须备注项目编号）</w:t>
      </w:r>
    </w:p>
    <w:p w14:paraId="10E6740A">
      <w:pPr>
        <w:spacing w:line="360" w:lineRule="auto"/>
        <w:ind w:firstLine="480" w:firstLineChars="200"/>
        <w:jc w:val="left"/>
        <w:rPr>
          <w:rFonts w:hint="eastAsia" w:ascii="宋体" w:hAnsi="宋体" w:cs="宋体"/>
          <w:sz w:val="24"/>
        </w:rPr>
      </w:pPr>
      <w:r>
        <w:rPr>
          <w:rFonts w:hint="eastAsia" w:ascii="宋体" w:hAnsi="宋体" w:cs="宋体"/>
          <w:sz w:val="24"/>
        </w:rPr>
        <w:t>单位：河南招标采购服务有限公司</w:t>
      </w:r>
    </w:p>
    <w:p w14:paraId="73FE541C">
      <w:pPr>
        <w:spacing w:line="360" w:lineRule="auto"/>
        <w:ind w:firstLine="480" w:firstLineChars="200"/>
        <w:jc w:val="left"/>
        <w:rPr>
          <w:rFonts w:hint="eastAsia" w:ascii="宋体" w:hAnsi="宋体" w:cs="宋体"/>
          <w:sz w:val="24"/>
        </w:rPr>
      </w:pPr>
      <w:r>
        <w:rPr>
          <w:rFonts w:hint="eastAsia" w:ascii="宋体" w:hAnsi="宋体" w:cs="宋体"/>
          <w:sz w:val="24"/>
        </w:rPr>
        <w:t>开户行：广发银行股份有限公司郑州金水路支行</w:t>
      </w:r>
    </w:p>
    <w:p w14:paraId="7EEDA403">
      <w:pPr>
        <w:spacing w:line="360" w:lineRule="auto"/>
        <w:ind w:firstLine="480" w:firstLineChars="200"/>
        <w:jc w:val="left"/>
      </w:pPr>
      <w:r>
        <w:rPr>
          <w:rFonts w:hint="eastAsia" w:ascii="宋体" w:hAnsi="宋体" w:cs="宋体"/>
          <w:sz w:val="24"/>
        </w:rPr>
        <w:t>账号：131022516010005452</w:t>
      </w:r>
    </w:p>
    <w:p w14:paraId="7DBA1261">
      <w:pPr>
        <w:pStyle w:val="7"/>
        <w:spacing w:before="0" w:after="0" w:line="360" w:lineRule="auto"/>
        <w:rPr>
          <w:rFonts w:hint="eastAsia" w:ascii="宋体" w:hAnsi="宋体" w:eastAsia="宋体" w:cs="宋体"/>
          <w:b w:val="0"/>
          <w:sz w:val="24"/>
          <w:szCs w:val="24"/>
        </w:rPr>
      </w:pPr>
      <w:bookmarkStart w:id="45" w:name="_Toc12531"/>
      <w:bookmarkStart w:id="46" w:name="_Toc49356033"/>
      <w:bookmarkStart w:id="47" w:name="_Toc198191697"/>
      <w:r>
        <w:rPr>
          <w:rFonts w:hint="eastAsia" w:ascii="宋体" w:hAnsi="宋体" w:eastAsia="宋体" w:cs="宋体"/>
          <w:b w:val="0"/>
          <w:sz w:val="24"/>
          <w:szCs w:val="24"/>
        </w:rPr>
        <w:t>四、响应文件提交</w:t>
      </w:r>
      <w:bookmarkEnd w:id="45"/>
      <w:bookmarkEnd w:id="46"/>
      <w:bookmarkEnd w:id="47"/>
    </w:p>
    <w:p w14:paraId="666006DA">
      <w:pPr>
        <w:spacing w:line="360" w:lineRule="auto"/>
        <w:ind w:firstLine="480" w:firstLineChars="200"/>
        <w:rPr>
          <w:rFonts w:hint="eastAsia" w:ascii="宋体" w:hAnsi="宋体" w:cs="宋体"/>
          <w:sz w:val="24"/>
        </w:rPr>
      </w:pPr>
      <w:r>
        <w:rPr>
          <w:rFonts w:hint="eastAsia" w:ascii="宋体" w:hAnsi="宋体" w:cs="宋体"/>
          <w:sz w:val="24"/>
        </w:rPr>
        <w:t>1、响应文件提交截止时间：2026年10月26日9点30分（北京时间）；</w:t>
      </w:r>
    </w:p>
    <w:p w14:paraId="0CF3BD87">
      <w:pPr>
        <w:pStyle w:val="16"/>
        <w:spacing w:line="360" w:lineRule="auto"/>
        <w:ind w:firstLine="480"/>
        <w:jc w:val="left"/>
        <w:rPr>
          <w:rFonts w:hint="eastAsia" w:ascii="宋体" w:hAnsi="宋体" w:cs="宋体"/>
          <w:sz w:val="24"/>
        </w:rPr>
      </w:pPr>
      <w:r>
        <w:rPr>
          <w:rFonts w:hint="eastAsia" w:ascii="宋体" w:hAnsi="宋体" w:cs="宋体"/>
          <w:sz w:val="24"/>
        </w:rPr>
        <w:t>2、响应文件提交地点及方式：河南招标采购服务有限公司四楼418室（郑州市金水区纬四路13号）现场递交。逾期提交的、未提交到指定地点的响应文件，采购人将予以拒收。</w:t>
      </w:r>
    </w:p>
    <w:p w14:paraId="7DBA9FD5">
      <w:pPr>
        <w:pStyle w:val="7"/>
        <w:spacing w:before="0" w:after="0" w:line="360" w:lineRule="auto"/>
        <w:rPr>
          <w:rFonts w:hint="eastAsia" w:ascii="宋体" w:hAnsi="宋体" w:eastAsia="宋体" w:cs="宋体"/>
          <w:b w:val="0"/>
          <w:sz w:val="24"/>
          <w:szCs w:val="24"/>
        </w:rPr>
      </w:pPr>
      <w:bookmarkStart w:id="48" w:name="_Toc198191698"/>
      <w:bookmarkStart w:id="49" w:name="_Toc21905"/>
      <w:bookmarkStart w:id="50" w:name="_Toc49356034"/>
      <w:r>
        <w:rPr>
          <w:rFonts w:hint="eastAsia" w:ascii="宋体" w:hAnsi="宋体" w:eastAsia="宋体" w:cs="宋体"/>
          <w:b w:val="0"/>
          <w:sz w:val="24"/>
          <w:szCs w:val="24"/>
        </w:rPr>
        <w:t>五、响应文件开启</w:t>
      </w:r>
      <w:bookmarkEnd w:id="48"/>
      <w:bookmarkEnd w:id="49"/>
      <w:bookmarkEnd w:id="50"/>
    </w:p>
    <w:p w14:paraId="7B92ACA1">
      <w:pPr>
        <w:spacing w:line="360" w:lineRule="auto"/>
        <w:ind w:firstLine="480" w:firstLineChars="200"/>
        <w:rPr>
          <w:rFonts w:hint="eastAsia" w:ascii="宋体" w:hAnsi="宋体" w:cs="宋体"/>
          <w:sz w:val="24"/>
        </w:rPr>
      </w:pPr>
      <w:r>
        <w:rPr>
          <w:rFonts w:hint="eastAsia" w:ascii="宋体" w:hAnsi="宋体" w:cs="宋体"/>
          <w:sz w:val="24"/>
        </w:rPr>
        <w:t>1、响应文件的开启时间：同响应文件提交截止时间；</w:t>
      </w:r>
    </w:p>
    <w:p w14:paraId="44F59F3D">
      <w:pPr>
        <w:spacing w:line="360" w:lineRule="auto"/>
        <w:ind w:firstLine="480" w:firstLineChars="200"/>
        <w:rPr>
          <w:rFonts w:hint="eastAsia" w:ascii="宋体" w:hAnsi="宋体" w:cs="宋体"/>
          <w:sz w:val="24"/>
        </w:rPr>
      </w:pPr>
      <w:r>
        <w:rPr>
          <w:rFonts w:hint="eastAsia" w:ascii="宋体" w:hAnsi="宋体" w:cs="宋体"/>
          <w:sz w:val="24"/>
        </w:rPr>
        <w:t>2、响应文件的开启地点：河南招标采购服务有限公司四楼418室（郑州市金水区纬四路13号）。</w:t>
      </w:r>
    </w:p>
    <w:p w14:paraId="1DEABFA7">
      <w:pPr>
        <w:pStyle w:val="7"/>
        <w:spacing w:before="0" w:after="0" w:line="360" w:lineRule="auto"/>
        <w:rPr>
          <w:rFonts w:hint="eastAsia" w:ascii="宋体" w:hAnsi="宋体" w:eastAsia="宋体" w:cs="宋体"/>
          <w:b w:val="0"/>
          <w:sz w:val="24"/>
          <w:szCs w:val="24"/>
        </w:rPr>
      </w:pPr>
      <w:bookmarkStart w:id="51" w:name="_Toc49356035"/>
      <w:bookmarkStart w:id="52" w:name="_Toc35393803"/>
      <w:bookmarkStart w:id="53" w:name="_Toc29335"/>
      <w:bookmarkStart w:id="54" w:name="_Toc28359094"/>
      <w:bookmarkStart w:id="55" w:name="_Toc28359017"/>
      <w:bookmarkStart w:id="56" w:name="_Toc198191699"/>
      <w:bookmarkStart w:id="57" w:name="_Toc35393634"/>
      <w:r>
        <w:rPr>
          <w:rFonts w:hint="eastAsia" w:ascii="宋体" w:hAnsi="宋体" w:eastAsia="宋体" w:cs="宋体"/>
          <w:b w:val="0"/>
          <w:sz w:val="24"/>
          <w:szCs w:val="24"/>
        </w:rPr>
        <w:t>六、发布公告的媒介及公告期限</w:t>
      </w:r>
      <w:bookmarkEnd w:id="51"/>
      <w:bookmarkEnd w:id="52"/>
      <w:bookmarkEnd w:id="53"/>
      <w:bookmarkEnd w:id="54"/>
      <w:bookmarkEnd w:id="55"/>
      <w:bookmarkEnd w:id="56"/>
      <w:bookmarkEnd w:id="57"/>
    </w:p>
    <w:p w14:paraId="51C73100">
      <w:pPr>
        <w:spacing w:line="360" w:lineRule="auto"/>
        <w:ind w:firstLine="480" w:firstLineChars="200"/>
        <w:rPr>
          <w:rFonts w:hint="eastAsia" w:ascii="宋体" w:hAnsi="宋体" w:cs="宋体"/>
          <w:sz w:val="24"/>
        </w:rPr>
      </w:pPr>
      <w:r>
        <w:rPr>
          <w:rFonts w:hint="eastAsia" w:ascii="宋体" w:hAnsi="宋体" w:cs="宋体"/>
          <w:sz w:val="24"/>
        </w:rPr>
        <w:t>本次竞争性磋商公告在《中国政府采购网》《中国招标投标公共服务平台》《中国人民银行郑州培训学院》《河南招标采购服务有限公司官网》网站上发布。竞争性磋商公告期限为3个工作日</w:t>
      </w:r>
    </w:p>
    <w:p w14:paraId="61AFA3D7">
      <w:pPr>
        <w:pStyle w:val="7"/>
        <w:spacing w:before="0" w:after="0" w:line="360" w:lineRule="auto"/>
        <w:rPr>
          <w:rFonts w:hint="eastAsia" w:ascii="宋体" w:hAnsi="宋体" w:eastAsia="宋体" w:cs="宋体"/>
          <w:b w:val="0"/>
          <w:sz w:val="24"/>
          <w:szCs w:val="24"/>
        </w:rPr>
      </w:pPr>
      <w:bookmarkStart w:id="58" w:name="_Toc198191700"/>
      <w:bookmarkStart w:id="59" w:name="_Toc12055"/>
      <w:bookmarkStart w:id="60" w:name="_Toc49356036"/>
      <w:bookmarkStart w:id="61" w:name="_Toc35393804"/>
      <w:bookmarkStart w:id="62" w:name="_Toc35393635"/>
      <w:r>
        <w:rPr>
          <w:rFonts w:hint="eastAsia" w:ascii="宋体" w:hAnsi="宋体" w:eastAsia="宋体" w:cs="宋体"/>
          <w:b w:val="0"/>
          <w:sz w:val="24"/>
          <w:szCs w:val="24"/>
        </w:rPr>
        <w:t>七、其他补充事宜</w:t>
      </w:r>
      <w:bookmarkEnd w:id="58"/>
      <w:bookmarkEnd w:id="59"/>
      <w:bookmarkEnd w:id="60"/>
      <w:bookmarkEnd w:id="61"/>
      <w:bookmarkEnd w:id="62"/>
    </w:p>
    <w:p w14:paraId="2A2D5CF4">
      <w:pPr>
        <w:pStyle w:val="16"/>
        <w:spacing w:line="360" w:lineRule="auto"/>
        <w:ind w:firstLine="480"/>
        <w:rPr>
          <w:rFonts w:hint="eastAsia" w:ascii="宋体" w:hAnsi="宋体" w:cs="宋体"/>
          <w:sz w:val="24"/>
        </w:rPr>
      </w:pPr>
      <w:bookmarkStart w:id="63" w:name="_Hlk56430535"/>
      <w:bookmarkStart w:id="64" w:name="_Hlk73027454"/>
      <w:bookmarkStart w:id="65" w:name="_Hlk62031760"/>
      <w:r>
        <w:rPr>
          <w:rFonts w:hint="eastAsia" w:ascii="宋体" w:hAnsi="宋体" w:cs="宋体"/>
          <w:sz w:val="24"/>
        </w:rPr>
        <w:t>1、执行关于印发节能产品政府采购品目清单的通知（财库〔2019〕19号）；</w:t>
      </w:r>
    </w:p>
    <w:p w14:paraId="2953BB0F">
      <w:pPr>
        <w:pStyle w:val="16"/>
        <w:spacing w:line="360" w:lineRule="auto"/>
        <w:ind w:firstLine="480"/>
        <w:rPr>
          <w:rFonts w:hint="eastAsia" w:ascii="宋体" w:hAnsi="宋体" w:cs="宋体"/>
          <w:sz w:val="24"/>
        </w:rPr>
      </w:pPr>
      <w:r>
        <w:rPr>
          <w:rFonts w:hint="eastAsia" w:ascii="宋体" w:hAnsi="宋体" w:cs="宋体"/>
          <w:sz w:val="24"/>
        </w:rPr>
        <w:t>2、执行关于印发环境标志产品政府采购品目清单的通知（财库〔2019〕18号）。</w:t>
      </w:r>
    </w:p>
    <w:p w14:paraId="0C3BEDB1">
      <w:pPr>
        <w:pStyle w:val="16"/>
        <w:spacing w:line="360" w:lineRule="auto"/>
        <w:ind w:firstLine="480"/>
        <w:rPr>
          <w:rFonts w:hint="eastAsia" w:ascii="宋体" w:hAnsi="宋体" w:cs="宋体"/>
          <w:sz w:val="24"/>
        </w:rPr>
      </w:pPr>
      <w:r>
        <w:rPr>
          <w:rFonts w:hint="eastAsia" w:ascii="宋体" w:hAnsi="宋体" w:cs="宋体"/>
          <w:sz w:val="24"/>
        </w:rPr>
        <w:t>3、招标代理服务费收取标准及方式：</w:t>
      </w:r>
    </w:p>
    <w:p w14:paraId="721A5E76">
      <w:pPr>
        <w:pStyle w:val="16"/>
        <w:spacing w:line="360" w:lineRule="auto"/>
        <w:ind w:firstLine="480"/>
        <w:rPr>
          <w:rFonts w:hint="eastAsia" w:ascii="宋体" w:hAnsi="宋体" w:cs="宋体"/>
          <w:sz w:val="24"/>
        </w:rPr>
      </w:pPr>
      <w:r>
        <w:rPr>
          <w:rFonts w:hint="eastAsia" w:ascii="宋体" w:hAnsi="宋体" w:cs="宋体"/>
          <w:sz w:val="24"/>
        </w:rPr>
        <w:t>3.1收取标准：根据《河南省招标代理服务收费指导意见》（豫招协[2023]002号）规定的收费标准*70%收取，由成交人支付。</w:t>
      </w:r>
    </w:p>
    <w:p w14:paraId="78A6D9C9">
      <w:pPr>
        <w:pStyle w:val="16"/>
        <w:spacing w:line="360" w:lineRule="auto"/>
        <w:ind w:firstLine="480"/>
        <w:rPr>
          <w:rFonts w:hint="eastAsia" w:ascii="宋体" w:hAnsi="宋体" w:cs="宋体"/>
          <w:sz w:val="24"/>
        </w:rPr>
      </w:pPr>
      <w:r>
        <w:rPr>
          <w:rFonts w:hint="eastAsia" w:ascii="宋体" w:hAnsi="宋体" w:cs="宋体"/>
          <w:sz w:val="24"/>
        </w:rPr>
        <w:t>3.2收取方式：由成交人向采购代理机构支付招标代理服务费；成交人在收到成交通知书时须一次性向采购代理机构支付招标代理服务费。</w:t>
      </w:r>
    </w:p>
    <w:bookmarkEnd w:id="63"/>
    <w:bookmarkEnd w:id="64"/>
    <w:bookmarkEnd w:id="65"/>
    <w:p w14:paraId="33FDFD37">
      <w:pPr>
        <w:pStyle w:val="7"/>
        <w:spacing w:before="0" w:after="0" w:line="360" w:lineRule="auto"/>
        <w:rPr>
          <w:rFonts w:hint="eastAsia" w:ascii="宋体" w:hAnsi="宋体" w:eastAsia="宋体" w:cs="宋体"/>
          <w:b w:val="0"/>
          <w:sz w:val="24"/>
          <w:szCs w:val="24"/>
        </w:rPr>
      </w:pPr>
      <w:bookmarkStart w:id="66" w:name="_Toc28359095"/>
      <w:bookmarkStart w:id="67" w:name="_Toc35393636"/>
      <w:bookmarkStart w:id="68" w:name="_Toc25169"/>
      <w:bookmarkStart w:id="69" w:name="_Toc198191701"/>
      <w:bookmarkStart w:id="70" w:name="_Toc49356037"/>
      <w:bookmarkStart w:id="71" w:name="_Toc28359018"/>
      <w:bookmarkStart w:id="72" w:name="_Toc35393805"/>
      <w:r>
        <w:rPr>
          <w:rFonts w:hint="eastAsia" w:ascii="宋体" w:hAnsi="宋体" w:eastAsia="宋体" w:cs="宋体"/>
          <w:b w:val="0"/>
          <w:sz w:val="24"/>
          <w:szCs w:val="24"/>
        </w:rPr>
        <w:t>八、凡对本次采购提出询问，请按以下方式联系。</w:t>
      </w:r>
      <w:bookmarkEnd w:id="66"/>
      <w:bookmarkEnd w:id="67"/>
      <w:bookmarkEnd w:id="68"/>
      <w:bookmarkEnd w:id="69"/>
      <w:bookmarkEnd w:id="70"/>
      <w:bookmarkEnd w:id="71"/>
      <w:bookmarkEnd w:id="72"/>
    </w:p>
    <w:p w14:paraId="31E7F0F0">
      <w:pPr>
        <w:spacing w:line="360" w:lineRule="auto"/>
        <w:ind w:firstLine="480" w:firstLineChars="200"/>
        <w:rPr>
          <w:rFonts w:hint="eastAsia" w:ascii="宋体" w:hAnsi="宋体"/>
          <w:sz w:val="24"/>
        </w:rPr>
      </w:pPr>
      <w:bookmarkStart w:id="73" w:name="_Toc28359096"/>
      <w:bookmarkStart w:id="74" w:name="_Toc35393806"/>
      <w:bookmarkStart w:id="75" w:name="_Toc49356038"/>
      <w:bookmarkStart w:id="76" w:name="_Toc35393637"/>
      <w:bookmarkStart w:id="77" w:name="_Toc28359019"/>
      <w:r>
        <w:rPr>
          <w:rFonts w:ascii="宋体" w:hAnsi="宋体"/>
          <w:sz w:val="24"/>
        </w:rPr>
        <w:t>1</w:t>
      </w:r>
      <w:r>
        <w:rPr>
          <w:rFonts w:hint="eastAsia" w:ascii="宋体" w:hAnsi="宋体"/>
          <w:sz w:val="24"/>
        </w:rPr>
        <w:t>、采购人信息</w:t>
      </w:r>
      <w:bookmarkEnd w:id="73"/>
      <w:bookmarkEnd w:id="74"/>
      <w:bookmarkEnd w:id="75"/>
      <w:bookmarkEnd w:id="76"/>
      <w:bookmarkEnd w:id="77"/>
    </w:p>
    <w:p w14:paraId="2A12E561">
      <w:pPr>
        <w:spacing w:line="360" w:lineRule="auto"/>
        <w:ind w:firstLine="480" w:firstLineChars="200"/>
        <w:rPr>
          <w:rFonts w:hint="eastAsia" w:ascii="宋体" w:hAnsi="宋体"/>
          <w:sz w:val="24"/>
        </w:rPr>
      </w:pPr>
      <w:r>
        <w:rPr>
          <w:rFonts w:hint="eastAsia" w:ascii="宋体" w:hAnsi="宋体"/>
          <w:sz w:val="24"/>
        </w:rPr>
        <w:t>采购人：</w:t>
      </w:r>
      <w:r>
        <w:rPr>
          <w:rFonts w:hint="eastAsia" w:ascii="宋体" w:hAnsi="宋体" w:cs="宋体"/>
          <w:sz w:val="24"/>
        </w:rPr>
        <w:t>中国人民银行郑州培训学院</w:t>
      </w:r>
    </w:p>
    <w:p w14:paraId="31F68AF0">
      <w:pPr>
        <w:spacing w:line="360" w:lineRule="auto"/>
        <w:ind w:firstLine="480" w:firstLineChars="200"/>
        <w:rPr>
          <w:rFonts w:hint="eastAsia" w:ascii="宋体" w:hAnsi="宋体" w:cs="宋体"/>
          <w:sz w:val="24"/>
        </w:rPr>
      </w:pPr>
      <w:r>
        <w:rPr>
          <w:rFonts w:hint="eastAsia" w:ascii="宋体" w:hAnsi="宋体"/>
          <w:sz w:val="24"/>
        </w:rPr>
        <w:t>地址：</w:t>
      </w:r>
      <w:r>
        <w:rPr>
          <w:rFonts w:hint="eastAsia" w:ascii="宋体" w:hAnsi="宋体" w:cs="宋体"/>
          <w:sz w:val="24"/>
        </w:rPr>
        <w:t>郑州市金水区郑花路29号</w:t>
      </w:r>
    </w:p>
    <w:p w14:paraId="5A3CE4B7">
      <w:pPr>
        <w:spacing w:line="360" w:lineRule="auto"/>
        <w:ind w:firstLine="480" w:firstLineChars="200"/>
        <w:rPr>
          <w:rFonts w:hint="eastAsia" w:ascii="宋体" w:hAnsi="宋体"/>
          <w:sz w:val="24"/>
          <w:u w:val="single"/>
        </w:rPr>
      </w:pPr>
      <w:r>
        <w:rPr>
          <w:rFonts w:hint="eastAsia" w:ascii="宋体" w:hAnsi="宋体"/>
          <w:sz w:val="24"/>
        </w:rPr>
        <w:t>联系人：</w:t>
      </w:r>
      <w:r>
        <w:rPr>
          <w:rFonts w:hint="eastAsia" w:ascii="宋体" w:hAnsi="宋体" w:cs="宋体"/>
          <w:sz w:val="24"/>
        </w:rPr>
        <w:t>李</w:t>
      </w:r>
      <w:r>
        <w:rPr>
          <w:rFonts w:hint="eastAsia" w:ascii="宋体" w:hAnsi="宋体" w:cs="宋体"/>
          <w:sz w:val="24"/>
          <w:lang w:bidi="en-US"/>
        </w:rPr>
        <w:t>宝峰</w:t>
      </w:r>
    </w:p>
    <w:p w14:paraId="6D1F1DEA">
      <w:pPr>
        <w:spacing w:line="360" w:lineRule="auto"/>
        <w:ind w:firstLine="480" w:firstLineChars="200"/>
        <w:rPr>
          <w:rFonts w:hint="eastAsia" w:ascii="宋体" w:hAnsi="宋体"/>
          <w:sz w:val="24"/>
        </w:rPr>
      </w:pPr>
      <w:r>
        <w:rPr>
          <w:rFonts w:hint="eastAsia" w:ascii="宋体" w:hAnsi="宋体"/>
          <w:sz w:val="24"/>
        </w:rPr>
        <w:t>联系方式：</w:t>
      </w:r>
      <w:bookmarkStart w:id="78" w:name="_Toc28359009"/>
      <w:bookmarkStart w:id="79" w:name="_Toc28359086"/>
      <w:r>
        <w:rPr>
          <w:rFonts w:hint="eastAsia" w:ascii="宋体" w:hAnsi="宋体" w:cs="宋体"/>
          <w:sz w:val="24"/>
        </w:rPr>
        <w:t>0371-65648876</w:t>
      </w:r>
    </w:p>
    <w:p w14:paraId="5DCB8740">
      <w:pPr>
        <w:spacing w:line="360" w:lineRule="auto"/>
        <w:ind w:firstLine="480" w:firstLineChars="200"/>
        <w:rPr>
          <w:rFonts w:hint="eastAsia" w:ascii="宋体" w:hAnsi="宋体"/>
          <w:sz w:val="24"/>
        </w:rPr>
      </w:pPr>
      <w:r>
        <w:rPr>
          <w:rFonts w:hint="eastAsia" w:ascii="宋体" w:hAnsi="宋体"/>
          <w:sz w:val="24"/>
        </w:rPr>
        <w:t>2、采购代理机构信息</w:t>
      </w:r>
      <w:bookmarkEnd w:id="78"/>
      <w:bookmarkEnd w:id="79"/>
    </w:p>
    <w:p w14:paraId="64109C28">
      <w:pPr>
        <w:spacing w:line="360" w:lineRule="auto"/>
        <w:ind w:firstLine="480" w:firstLineChars="200"/>
        <w:rPr>
          <w:rFonts w:hint="eastAsia" w:ascii="宋体" w:hAnsi="宋体"/>
          <w:sz w:val="24"/>
        </w:rPr>
      </w:pPr>
      <w:bookmarkStart w:id="80" w:name="OLE_LINK94"/>
      <w:r>
        <w:rPr>
          <w:rFonts w:hint="eastAsia" w:ascii="宋体" w:hAnsi="宋体"/>
          <w:sz w:val="24"/>
        </w:rPr>
        <w:t>采购代理机构：</w:t>
      </w:r>
      <w:r>
        <w:rPr>
          <w:rFonts w:hint="eastAsia" w:ascii="宋体" w:hAnsi="宋体" w:cs="宋体"/>
          <w:sz w:val="24"/>
          <w:lang w:bidi="en-US"/>
        </w:rPr>
        <w:t>河南招标采购服务有限公司</w:t>
      </w:r>
    </w:p>
    <w:p w14:paraId="6C4398AC">
      <w:pPr>
        <w:spacing w:line="360" w:lineRule="auto"/>
        <w:ind w:firstLine="480" w:firstLineChars="200"/>
        <w:rPr>
          <w:rFonts w:hint="eastAsia" w:ascii="宋体" w:hAnsi="宋体"/>
          <w:sz w:val="24"/>
        </w:rPr>
      </w:pPr>
      <w:r>
        <w:rPr>
          <w:rFonts w:hint="eastAsia" w:ascii="宋体" w:hAnsi="宋体"/>
          <w:sz w:val="24"/>
        </w:rPr>
        <w:t>地址：郑州市金水区纬四路13号</w:t>
      </w:r>
    </w:p>
    <w:p w14:paraId="7844FF22">
      <w:pPr>
        <w:spacing w:line="360" w:lineRule="auto"/>
        <w:ind w:firstLine="480" w:firstLineChars="200"/>
        <w:rPr>
          <w:rFonts w:hint="eastAsia" w:ascii="宋体" w:hAnsi="宋体"/>
          <w:sz w:val="24"/>
        </w:rPr>
      </w:pPr>
      <w:r>
        <w:rPr>
          <w:rFonts w:hint="eastAsia" w:ascii="宋体" w:hAnsi="宋体"/>
          <w:sz w:val="24"/>
        </w:rPr>
        <w:t>联系人：闫合涛、张广夙</w:t>
      </w:r>
    </w:p>
    <w:p w14:paraId="09FCB6E9">
      <w:pPr>
        <w:spacing w:line="360" w:lineRule="auto"/>
        <w:ind w:firstLine="480" w:firstLineChars="200"/>
        <w:rPr>
          <w:rFonts w:hint="eastAsia" w:ascii="宋体" w:hAnsi="宋体"/>
          <w:sz w:val="24"/>
        </w:rPr>
      </w:pPr>
      <w:r>
        <w:rPr>
          <w:rFonts w:hint="eastAsia" w:ascii="宋体" w:hAnsi="宋体"/>
          <w:sz w:val="24"/>
        </w:rPr>
        <w:t>联系电话：0371-65990020</w:t>
      </w:r>
    </w:p>
    <w:bookmarkEnd w:id="80"/>
    <w:p w14:paraId="3F01D05A">
      <w:pPr>
        <w:spacing w:line="360" w:lineRule="auto"/>
        <w:ind w:firstLine="480" w:firstLineChars="200"/>
        <w:rPr>
          <w:rFonts w:hint="eastAsia" w:ascii="宋体" w:hAnsi="宋体"/>
          <w:sz w:val="24"/>
        </w:rPr>
      </w:pPr>
      <w:r>
        <w:rPr>
          <w:rFonts w:hint="eastAsia" w:ascii="宋体" w:hAnsi="宋体"/>
          <w:sz w:val="24"/>
        </w:rPr>
        <w:t>3.项目联系方式</w:t>
      </w:r>
    </w:p>
    <w:p w14:paraId="43A2E004">
      <w:pPr>
        <w:spacing w:line="360" w:lineRule="auto"/>
        <w:ind w:firstLine="480" w:firstLineChars="200"/>
        <w:rPr>
          <w:rFonts w:hint="eastAsia" w:ascii="宋体" w:hAnsi="宋体"/>
          <w:sz w:val="24"/>
        </w:rPr>
      </w:pPr>
      <w:r>
        <w:rPr>
          <w:rFonts w:hint="eastAsia" w:ascii="宋体" w:hAnsi="宋体"/>
          <w:sz w:val="24"/>
        </w:rPr>
        <w:t>项目联系人：闫合涛、张广夙</w:t>
      </w:r>
    </w:p>
    <w:p w14:paraId="5A78D2B1">
      <w:pPr>
        <w:wordWrap w:val="0"/>
        <w:spacing w:line="360" w:lineRule="auto"/>
        <w:ind w:firstLine="480" w:firstLineChars="200"/>
        <w:rPr>
          <w:rFonts w:hint="eastAsia" w:ascii="宋体" w:hAnsi="宋体" w:cs="宋体"/>
          <w:sz w:val="24"/>
        </w:rPr>
      </w:pPr>
      <w:r>
        <w:rPr>
          <w:rFonts w:hint="eastAsia" w:ascii="宋体" w:hAnsi="宋体"/>
          <w:sz w:val="24"/>
        </w:rPr>
        <w:t>联系人：0371-65990020</w:t>
      </w:r>
      <w:r>
        <w:rPr>
          <w:rFonts w:hint="eastAsia" w:ascii="宋体" w:hAnsi="宋体" w:cs="宋体"/>
          <w:sz w:val="24"/>
        </w:rPr>
        <w:t xml:space="preserve">     </w:t>
      </w:r>
    </w:p>
    <w:p w14:paraId="6837B6F3">
      <w:pPr>
        <w:wordWrap w:val="0"/>
        <w:spacing w:line="360" w:lineRule="auto"/>
        <w:rPr>
          <w:rFonts w:hint="eastAsia" w:ascii="宋体" w:hAnsi="宋体"/>
          <w:sz w:val="24"/>
        </w:rPr>
      </w:pPr>
    </w:p>
    <w:p w14:paraId="3C7282A3">
      <w:pPr>
        <w:wordWrap w:val="0"/>
      </w:pPr>
      <w:bookmarkStart w:id="81" w:name="_Toc12894"/>
      <w:bookmarkStart w:id="82" w:name="_Toc24883"/>
      <w:bookmarkStart w:id="83" w:name="_Toc15048287"/>
    </w:p>
    <w:p w14:paraId="100A7272">
      <w:pPr>
        <w:wordWrap w:val="0"/>
      </w:pPr>
    </w:p>
    <w:p w14:paraId="7BD540F9">
      <w:pPr>
        <w:wordWrap w:val="0"/>
      </w:pPr>
    </w:p>
    <w:p w14:paraId="3F2A8E30">
      <w:pPr>
        <w:wordWrap w:val="0"/>
      </w:pPr>
    </w:p>
    <w:p w14:paraId="5E9D997C">
      <w:pPr>
        <w:rPr>
          <w:rFonts w:hint="eastAsia" w:ascii="黑体" w:hAnsi="黑体" w:eastAsia="黑体"/>
        </w:rPr>
      </w:pPr>
      <w:bookmarkStart w:id="84" w:name="_Toc8072"/>
      <w:r>
        <w:rPr>
          <w:rFonts w:hint="eastAsia" w:ascii="黑体" w:hAnsi="黑体" w:eastAsia="黑体"/>
        </w:rPr>
        <w:br w:type="page"/>
      </w:r>
    </w:p>
    <w:p w14:paraId="5F15FFEA">
      <w:pPr>
        <w:pStyle w:val="6"/>
        <w:tabs>
          <w:tab w:val="left" w:pos="0"/>
          <w:tab w:val="right" w:leader="dot" w:pos="142"/>
        </w:tabs>
        <w:wordWrap w:val="0"/>
        <w:autoSpaceDE w:val="0"/>
        <w:autoSpaceDN w:val="0"/>
        <w:adjustRightInd w:val="0"/>
        <w:spacing w:before="0" w:after="0" w:line="360" w:lineRule="auto"/>
        <w:ind w:left="2"/>
        <w:jc w:val="center"/>
        <w:rPr>
          <w:rFonts w:hint="eastAsia" w:ascii="黑体" w:hAnsi="黑体" w:eastAsia="黑体"/>
          <w:b w:val="0"/>
          <w:bCs w:val="0"/>
        </w:rPr>
      </w:pPr>
      <w:bookmarkStart w:id="85" w:name="_Toc25077"/>
      <w:r>
        <w:rPr>
          <w:rFonts w:hint="eastAsia" w:ascii="黑体" w:hAnsi="黑体" w:eastAsia="黑体"/>
          <w:b w:val="0"/>
          <w:bCs w:val="0"/>
        </w:rPr>
        <w:t xml:space="preserve">第二章 </w:t>
      </w:r>
      <w:r>
        <w:rPr>
          <w:rFonts w:ascii="黑体" w:hAnsi="黑体" w:eastAsia="黑体"/>
          <w:b w:val="0"/>
          <w:bCs w:val="0"/>
        </w:rPr>
        <w:t xml:space="preserve"> </w:t>
      </w:r>
      <w:r>
        <w:rPr>
          <w:rFonts w:hint="eastAsia" w:ascii="黑体" w:hAnsi="黑体" w:eastAsia="黑体"/>
          <w:b w:val="0"/>
          <w:bCs w:val="0"/>
        </w:rPr>
        <w:t>供应商须知</w:t>
      </w:r>
      <w:bookmarkEnd w:id="81"/>
      <w:bookmarkEnd w:id="82"/>
      <w:bookmarkEnd w:id="83"/>
      <w:bookmarkEnd w:id="84"/>
      <w:bookmarkEnd w:id="85"/>
    </w:p>
    <w:p w14:paraId="6A0793FD">
      <w:pPr>
        <w:wordWrap w:val="0"/>
        <w:jc w:val="center"/>
        <w:rPr>
          <w:rFonts w:hint="eastAsia" w:ascii="黑体" w:hAnsi="黑体"/>
          <w:b/>
        </w:rPr>
      </w:pPr>
      <w:bookmarkStart w:id="86" w:name="_Toc23205"/>
      <w:bookmarkStart w:id="87" w:name="_Toc6491"/>
      <w:bookmarkStart w:id="88" w:name="_Toc14430"/>
      <w:bookmarkStart w:id="89" w:name="_Toc15048358"/>
      <w:r>
        <w:rPr>
          <w:rFonts w:hint="eastAsia" w:ascii="黑体" w:hAnsi="黑体"/>
          <w:b/>
          <w:sz w:val="28"/>
          <w:szCs w:val="28"/>
        </w:rPr>
        <w:t>一、供应商须知前附表</w:t>
      </w:r>
      <w:bookmarkEnd w:id="86"/>
      <w:bookmarkEnd w:id="87"/>
      <w:bookmarkEnd w:id="88"/>
      <w:bookmarkEnd w:id="89"/>
    </w:p>
    <w:p w14:paraId="3FC544E6">
      <w:pPr>
        <w:wordWrap w:val="0"/>
        <w:spacing w:line="360" w:lineRule="auto"/>
        <w:ind w:firstLine="480" w:firstLineChars="200"/>
        <w:rPr>
          <w:rFonts w:hint="eastAsia" w:ascii="宋体" w:hAnsi="宋体"/>
          <w:sz w:val="24"/>
        </w:rPr>
      </w:pPr>
      <w:bookmarkStart w:id="90" w:name="_Hlk193795266"/>
      <w:bookmarkStart w:id="91" w:name="_Hlk86916440"/>
      <w:r>
        <w:rPr>
          <w:rFonts w:hint="eastAsia" w:ascii="宋体" w:hAnsi="宋体"/>
          <w:sz w:val="24"/>
        </w:rPr>
        <w:t>本表是本采购项目的具体资料，是对供应商须知的具体补充和修改，如有矛盾，应以本表为准。</w:t>
      </w:r>
      <w:bookmarkEnd w:id="90"/>
    </w:p>
    <w:bookmarkEnd w:id="91"/>
    <w:tbl>
      <w:tblPr>
        <w:tblStyle w:val="47"/>
        <w:tblW w:w="9634"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28" w:type="dxa"/>
          <w:bottom w:w="0" w:type="dxa"/>
          <w:right w:w="28" w:type="dxa"/>
        </w:tblCellMar>
      </w:tblPr>
      <w:tblGrid>
        <w:gridCol w:w="1147"/>
        <w:gridCol w:w="2325"/>
        <w:gridCol w:w="6162"/>
      </w:tblGrid>
      <w:tr w14:paraId="45C5114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tblHeader/>
          <w:jc w:val="center"/>
        </w:trPr>
        <w:tc>
          <w:tcPr>
            <w:tcW w:w="1147" w:type="dxa"/>
            <w:tcMar>
              <w:top w:w="57" w:type="dxa"/>
              <w:left w:w="57" w:type="dxa"/>
              <w:bottom w:w="57" w:type="dxa"/>
              <w:right w:w="57" w:type="dxa"/>
            </w:tcMar>
            <w:vAlign w:val="center"/>
          </w:tcPr>
          <w:p w14:paraId="0DF10C4A">
            <w:pPr>
              <w:wordWrap w:val="0"/>
              <w:spacing w:line="360" w:lineRule="auto"/>
              <w:jc w:val="center"/>
              <w:rPr>
                <w:rFonts w:hint="eastAsia" w:ascii="宋体" w:hAnsi="宋体"/>
                <w:b/>
                <w:bCs/>
                <w:sz w:val="24"/>
              </w:rPr>
            </w:pPr>
            <w:r>
              <w:rPr>
                <w:rFonts w:hint="eastAsia" w:ascii="宋体" w:hAnsi="宋体"/>
                <w:b/>
                <w:bCs/>
                <w:sz w:val="24"/>
              </w:rPr>
              <w:t>条款号</w:t>
            </w:r>
          </w:p>
        </w:tc>
        <w:tc>
          <w:tcPr>
            <w:tcW w:w="2325" w:type="dxa"/>
            <w:tcMar>
              <w:top w:w="57" w:type="dxa"/>
              <w:left w:w="57" w:type="dxa"/>
              <w:bottom w:w="57" w:type="dxa"/>
              <w:right w:w="57" w:type="dxa"/>
            </w:tcMar>
            <w:vAlign w:val="center"/>
          </w:tcPr>
          <w:p w14:paraId="73713976">
            <w:pPr>
              <w:wordWrap w:val="0"/>
              <w:spacing w:line="360" w:lineRule="auto"/>
              <w:ind w:left="-48" w:leftChars="-23" w:firstLine="50"/>
              <w:jc w:val="center"/>
              <w:rPr>
                <w:rFonts w:hint="eastAsia" w:ascii="宋体" w:hAnsi="宋体"/>
                <w:b/>
                <w:bCs/>
                <w:sz w:val="24"/>
              </w:rPr>
            </w:pPr>
            <w:r>
              <w:rPr>
                <w:rFonts w:hint="eastAsia" w:ascii="宋体" w:hAnsi="宋体"/>
                <w:b/>
                <w:bCs/>
                <w:sz w:val="24"/>
              </w:rPr>
              <w:t>条款名称</w:t>
            </w:r>
          </w:p>
        </w:tc>
        <w:tc>
          <w:tcPr>
            <w:tcW w:w="6162" w:type="dxa"/>
            <w:tcMar>
              <w:top w:w="57" w:type="dxa"/>
              <w:left w:w="57" w:type="dxa"/>
              <w:bottom w:w="57" w:type="dxa"/>
              <w:right w:w="57" w:type="dxa"/>
            </w:tcMar>
            <w:vAlign w:val="center"/>
          </w:tcPr>
          <w:p w14:paraId="59B6681D">
            <w:pPr>
              <w:wordWrap w:val="0"/>
              <w:spacing w:line="360" w:lineRule="auto"/>
              <w:ind w:left="-48" w:leftChars="-23" w:firstLine="50"/>
              <w:jc w:val="center"/>
              <w:rPr>
                <w:rFonts w:hint="eastAsia" w:ascii="宋体" w:hAnsi="宋体"/>
                <w:b/>
                <w:bCs/>
                <w:sz w:val="24"/>
              </w:rPr>
            </w:pPr>
            <w:r>
              <w:rPr>
                <w:rFonts w:hint="eastAsia" w:ascii="宋体" w:hAnsi="宋体"/>
                <w:b/>
                <w:bCs/>
                <w:sz w:val="24"/>
              </w:rPr>
              <w:t>内</w:t>
            </w:r>
            <w:r>
              <w:rPr>
                <w:rFonts w:ascii="宋体" w:hAnsi="宋体"/>
                <w:b/>
                <w:bCs/>
                <w:sz w:val="24"/>
              </w:rPr>
              <w:t xml:space="preserve">      </w:t>
            </w:r>
            <w:r>
              <w:rPr>
                <w:rFonts w:hint="eastAsia" w:ascii="宋体" w:hAnsi="宋体"/>
                <w:b/>
                <w:bCs/>
                <w:sz w:val="24"/>
              </w:rPr>
              <w:t>容</w:t>
            </w:r>
          </w:p>
        </w:tc>
      </w:tr>
      <w:tr w14:paraId="251909C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34359EF9">
            <w:pPr>
              <w:wordWrap w:val="0"/>
              <w:spacing w:line="360" w:lineRule="auto"/>
              <w:jc w:val="center"/>
              <w:rPr>
                <w:rFonts w:hint="eastAsia" w:ascii="宋体" w:hAnsi="宋体"/>
                <w:sz w:val="24"/>
              </w:rPr>
            </w:pPr>
            <w:r>
              <w:rPr>
                <w:rFonts w:ascii="宋体" w:hAnsi="宋体"/>
                <w:sz w:val="24"/>
              </w:rPr>
              <w:t>1.1.1</w:t>
            </w:r>
          </w:p>
        </w:tc>
        <w:tc>
          <w:tcPr>
            <w:tcW w:w="2325" w:type="dxa"/>
            <w:tcMar>
              <w:top w:w="57" w:type="dxa"/>
              <w:left w:w="57" w:type="dxa"/>
              <w:bottom w:w="57" w:type="dxa"/>
              <w:right w:w="57" w:type="dxa"/>
            </w:tcMar>
            <w:vAlign w:val="center"/>
          </w:tcPr>
          <w:p w14:paraId="082094CC">
            <w:pPr>
              <w:wordWrap w:val="0"/>
              <w:spacing w:line="360" w:lineRule="auto"/>
              <w:jc w:val="center"/>
              <w:rPr>
                <w:rFonts w:hint="eastAsia" w:ascii="宋体" w:hAnsi="宋体"/>
                <w:sz w:val="24"/>
              </w:rPr>
            </w:pPr>
            <w:r>
              <w:rPr>
                <w:rFonts w:hint="eastAsia" w:ascii="宋体" w:hAnsi="宋体"/>
                <w:sz w:val="24"/>
              </w:rPr>
              <w:t>采购人</w:t>
            </w:r>
          </w:p>
        </w:tc>
        <w:tc>
          <w:tcPr>
            <w:tcW w:w="6162" w:type="dxa"/>
            <w:tcMar>
              <w:top w:w="57" w:type="dxa"/>
              <w:left w:w="57" w:type="dxa"/>
              <w:bottom w:w="57" w:type="dxa"/>
              <w:right w:w="57" w:type="dxa"/>
            </w:tcMar>
            <w:vAlign w:val="center"/>
          </w:tcPr>
          <w:p w14:paraId="64F8FD85">
            <w:pPr>
              <w:spacing w:line="360" w:lineRule="auto"/>
              <w:rPr>
                <w:rFonts w:hint="eastAsia" w:ascii="宋体" w:hAnsi="宋体" w:cs="宋体"/>
                <w:sz w:val="24"/>
                <w:lang w:bidi="en-US"/>
              </w:rPr>
            </w:pPr>
            <w:r>
              <w:rPr>
                <w:rFonts w:hint="eastAsia" w:ascii="宋体" w:hAnsi="宋体" w:cs="宋体"/>
                <w:sz w:val="24"/>
                <w:lang w:bidi="en-US"/>
              </w:rPr>
              <w:t>采购人：中国人民银行郑州培训学院</w:t>
            </w:r>
          </w:p>
          <w:p w14:paraId="3F22C5FC">
            <w:pPr>
              <w:spacing w:line="360" w:lineRule="auto"/>
              <w:rPr>
                <w:rFonts w:hint="eastAsia" w:ascii="宋体" w:hAnsi="宋体" w:cs="宋体"/>
                <w:sz w:val="24"/>
                <w:lang w:bidi="en-US"/>
              </w:rPr>
            </w:pPr>
            <w:r>
              <w:rPr>
                <w:rFonts w:hint="eastAsia" w:ascii="宋体" w:hAnsi="宋体" w:cs="宋体"/>
                <w:sz w:val="24"/>
                <w:lang w:bidi="en-US"/>
              </w:rPr>
              <w:t>地址：郑州市金水区郑花路29号</w:t>
            </w:r>
          </w:p>
          <w:p w14:paraId="34123940">
            <w:pPr>
              <w:spacing w:line="360" w:lineRule="auto"/>
              <w:rPr>
                <w:rFonts w:hint="eastAsia" w:ascii="宋体" w:hAnsi="宋体" w:cs="宋体"/>
                <w:sz w:val="24"/>
                <w:lang w:bidi="en-US"/>
              </w:rPr>
            </w:pPr>
            <w:r>
              <w:rPr>
                <w:rFonts w:hint="eastAsia" w:ascii="宋体" w:hAnsi="宋体" w:cs="宋体"/>
                <w:sz w:val="24"/>
                <w:lang w:bidi="en-US"/>
              </w:rPr>
              <w:t>联系人：李宝峰</w:t>
            </w:r>
          </w:p>
          <w:p w14:paraId="3A2B2AE3">
            <w:pPr>
              <w:wordWrap w:val="0"/>
              <w:spacing w:line="360" w:lineRule="auto"/>
              <w:rPr>
                <w:rFonts w:hint="eastAsia" w:ascii="宋体" w:hAnsi="宋体"/>
                <w:sz w:val="24"/>
              </w:rPr>
            </w:pPr>
            <w:r>
              <w:rPr>
                <w:rFonts w:hint="eastAsia" w:ascii="宋体" w:hAnsi="宋体" w:cs="宋体"/>
                <w:sz w:val="24"/>
                <w:lang w:bidi="en-US"/>
              </w:rPr>
              <w:t>联系方式：0371-65648876</w:t>
            </w:r>
          </w:p>
        </w:tc>
      </w:tr>
      <w:tr w14:paraId="049E8BB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4C97E8EF">
            <w:pPr>
              <w:wordWrap w:val="0"/>
              <w:spacing w:line="360" w:lineRule="auto"/>
              <w:jc w:val="center"/>
              <w:rPr>
                <w:rFonts w:hint="eastAsia" w:ascii="宋体" w:hAnsi="宋体"/>
                <w:sz w:val="24"/>
              </w:rPr>
            </w:pPr>
            <w:r>
              <w:rPr>
                <w:rFonts w:hint="eastAsia" w:ascii="宋体" w:hAnsi="宋体"/>
                <w:sz w:val="24"/>
              </w:rPr>
              <w:t>1</w:t>
            </w:r>
            <w:r>
              <w:rPr>
                <w:rFonts w:ascii="宋体" w:hAnsi="宋体"/>
                <w:sz w:val="24"/>
              </w:rPr>
              <w:t>.1.2</w:t>
            </w:r>
          </w:p>
        </w:tc>
        <w:tc>
          <w:tcPr>
            <w:tcW w:w="2325" w:type="dxa"/>
            <w:tcMar>
              <w:top w:w="57" w:type="dxa"/>
              <w:left w:w="57" w:type="dxa"/>
              <w:bottom w:w="57" w:type="dxa"/>
              <w:right w:w="57" w:type="dxa"/>
            </w:tcMar>
            <w:vAlign w:val="center"/>
          </w:tcPr>
          <w:p w14:paraId="7ACFFF06">
            <w:pPr>
              <w:wordWrap w:val="0"/>
              <w:spacing w:line="360" w:lineRule="auto"/>
              <w:jc w:val="center"/>
              <w:rPr>
                <w:rFonts w:hint="eastAsia" w:ascii="宋体" w:hAnsi="宋体"/>
                <w:sz w:val="24"/>
              </w:rPr>
            </w:pPr>
            <w:r>
              <w:rPr>
                <w:rFonts w:hint="eastAsia" w:ascii="宋体" w:hAnsi="宋体"/>
                <w:sz w:val="24"/>
              </w:rPr>
              <w:t>采购代理机构</w:t>
            </w:r>
          </w:p>
        </w:tc>
        <w:tc>
          <w:tcPr>
            <w:tcW w:w="6162" w:type="dxa"/>
            <w:tcMar>
              <w:top w:w="57" w:type="dxa"/>
              <w:left w:w="57" w:type="dxa"/>
              <w:bottom w:w="57" w:type="dxa"/>
              <w:right w:w="57" w:type="dxa"/>
            </w:tcMar>
            <w:vAlign w:val="center"/>
          </w:tcPr>
          <w:p w14:paraId="18778018">
            <w:pPr>
              <w:spacing w:line="360" w:lineRule="auto"/>
              <w:rPr>
                <w:rFonts w:hint="eastAsia" w:ascii="宋体" w:hAnsi="宋体" w:cs="宋体"/>
                <w:sz w:val="24"/>
                <w:lang w:bidi="en-US"/>
              </w:rPr>
            </w:pPr>
            <w:r>
              <w:rPr>
                <w:rFonts w:hint="eastAsia" w:ascii="宋体" w:hAnsi="宋体" w:cs="宋体"/>
                <w:sz w:val="24"/>
                <w:lang w:bidi="en-US"/>
              </w:rPr>
              <w:t>采购代理机构：河南招标采购服务有限公司</w:t>
            </w:r>
          </w:p>
          <w:p w14:paraId="3B79D663">
            <w:pPr>
              <w:spacing w:line="360" w:lineRule="auto"/>
              <w:rPr>
                <w:rFonts w:hint="eastAsia" w:ascii="宋体" w:hAnsi="宋体" w:cs="宋体"/>
                <w:sz w:val="24"/>
                <w:lang w:bidi="en-US"/>
              </w:rPr>
            </w:pPr>
            <w:r>
              <w:rPr>
                <w:rFonts w:hint="eastAsia" w:ascii="宋体" w:hAnsi="宋体" w:cs="宋体"/>
                <w:sz w:val="24"/>
                <w:lang w:bidi="en-US"/>
              </w:rPr>
              <w:t xml:space="preserve">地址：郑州市金水区纬四路13号 </w:t>
            </w:r>
          </w:p>
          <w:p w14:paraId="4C225A3F">
            <w:pPr>
              <w:spacing w:line="360" w:lineRule="auto"/>
              <w:rPr>
                <w:rFonts w:hint="eastAsia" w:ascii="宋体" w:hAnsi="宋体" w:cs="宋体"/>
                <w:sz w:val="24"/>
                <w:lang w:bidi="en-US"/>
              </w:rPr>
            </w:pPr>
            <w:r>
              <w:rPr>
                <w:rFonts w:hint="eastAsia" w:ascii="宋体" w:hAnsi="宋体" w:cs="宋体"/>
                <w:sz w:val="24"/>
                <w:lang w:bidi="en-US"/>
              </w:rPr>
              <w:t>联系人：闫合涛、张广夙</w:t>
            </w:r>
          </w:p>
          <w:p w14:paraId="5CED0B43">
            <w:pPr>
              <w:spacing w:line="360" w:lineRule="auto"/>
              <w:rPr>
                <w:rFonts w:hint="eastAsia" w:ascii="宋体" w:hAnsi="宋体" w:cs="宋体"/>
                <w:sz w:val="24"/>
                <w:lang w:bidi="en-US"/>
              </w:rPr>
            </w:pPr>
            <w:r>
              <w:rPr>
                <w:rFonts w:hint="eastAsia" w:ascii="宋体" w:hAnsi="宋体" w:cs="宋体"/>
                <w:sz w:val="24"/>
                <w:lang w:bidi="en-US"/>
              </w:rPr>
              <w:t>联系电话：0371-65990020</w:t>
            </w:r>
          </w:p>
          <w:p w14:paraId="0CD5E428">
            <w:pPr>
              <w:wordWrap w:val="0"/>
              <w:spacing w:line="360" w:lineRule="auto"/>
              <w:rPr>
                <w:rFonts w:hint="eastAsia" w:ascii="宋体" w:hAnsi="宋体"/>
                <w:sz w:val="24"/>
              </w:rPr>
            </w:pPr>
            <w:r>
              <w:rPr>
                <w:rFonts w:hint="eastAsia" w:ascii="宋体" w:hAnsi="宋体"/>
                <w:color w:val="000000" w:themeColor="text1"/>
                <w:sz w:val="24"/>
                <w14:textFill>
                  <w14:solidFill>
                    <w14:schemeClr w14:val="tx1"/>
                  </w14:solidFill>
                </w14:textFill>
              </w:rPr>
              <w:t>电子邮箱：hn65990020@126.com</w:t>
            </w:r>
          </w:p>
        </w:tc>
      </w:tr>
      <w:tr w14:paraId="16AA746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51624292">
            <w:pPr>
              <w:wordWrap w:val="0"/>
              <w:spacing w:line="360" w:lineRule="auto"/>
              <w:jc w:val="center"/>
              <w:rPr>
                <w:rFonts w:hint="eastAsia" w:ascii="宋体" w:hAnsi="宋体"/>
                <w:sz w:val="24"/>
              </w:rPr>
            </w:pPr>
            <w:r>
              <w:rPr>
                <w:rFonts w:hint="eastAsia" w:ascii="宋体" w:hAnsi="宋体"/>
                <w:sz w:val="24"/>
              </w:rPr>
              <w:t>1</w:t>
            </w:r>
            <w:r>
              <w:rPr>
                <w:rFonts w:ascii="宋体" w:hAnsi="宋体"/>
                <w:sz w:val="24"/>
              </w:rPr>
              <w:t>.1.3</w:t>
            </w:r>
          </w:p>
        </w:tc>
        <w:tc>
          <w:tcPr>
            <w:tcW w:w="2325" w:type="dxa"/>
            <w:tcMar>
              <w:top w:w="57" w:type="dxa"/>
              <w:left w:w="57" w:type="dxa"/>
              <w:bottom w:w="57" w:type="dxa"/>
              <w:right w:w="57" w:type="dxa"/>
            </w:tcMar>
            <w:vAlign w:val="center"/>
          </w:tcPr>
          <w:p w14:paraId="41A0AE22">
            <w:pPr>
              <w:wordWrap w:val="0"/>
              <w:spacing w:line="360" w:lineRule="auto"/>
              <w:jc w:val="center"/>
              <w:rPr>
                <w:rFonts w:hint="eastAsia" w:ascii="宋体" w:hAnsi="宋体"/>
                <w:sz w:val="24"/>
              </w:rPr>
            </w:pPr>
            <w:r>
              <w:rPr>
                <w:rFonts w:hint="eastAsia" w:ascii="宋体" w:hAnsi="宋体"/>
                <w:bCs/>
                <w:sz w:val="24"/>
              </w:rPr>
              <w:t>电子交易平台</w:t>
            </w:r>
          </w:p>
        </w:tc>
        <w:tc>
          <w:tcPr>
            <w:tcW w:w="6162" w:type="dxa"/>
            <w:tcMar>
              <w:top w:w="57" w:type="dxa"/>
              <w:left w:w="57" w:type="dxa"/>
              <w:bottom w:w="57" w:type="dxa"/>
              <w:right w:w="57" w:type="dxa"/>
            </w:tcMar>
            <w:vAlign w:val="center"/>
          </w:tcPr>
          <w:p w14:paraId="4C45390D">
            <w:pPr>
              <w:tabs>
                <w:tab w:val="left" w:pos="142"/>
              </w:tabs>
              <w:wordWrap w:val="0"/>
              <w:spacing w:line="360" w:lineRule="auto"/>
              <w:rPr>
                <w:rFonts w:hint="eastAsia" w:ascii="宋体" w:hAnsi="宋体"/>
                <w:bCs/>
                <w:sz w:val="24"/>
              </w:rPr>
            </w:pPr>
            <w:r>
              <w:rPr>
                <w:rFonts w:hint="eastAsia" w:ascii="宋体" w:hAnsi="宋体"/>
                <w:sz w:val="24"/>
              </w:rPr>
              <w:t>不采用</w:t>
            </w:r>
          </w:p>
        </w:tc>
      </w:tr>
      <w:tr w14:paraId="2714F45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243F59BF">
            <w:pPr>
              <w:wordWrap w:val="0"/>
              <w:spacing w:line="360" w:lineRule="auto"/>
              <w:jc w:val="center"/>
              <w:rPr>
                <w:rFonts w:hint="eastAsia" w:ascii="宋体" w:hAnsi="宋体"/>
                <w:sz w:val="24"/>
              </w:rPr>
            </w:pPr>
            <w:r>
              <w:rPr>
                <w:rFonts w:hint="eastAsia" w:ascii="宋体" w:hAnsi="宋体"/>
                <w:sz w:val="24"/>
              </w:rPr>
              <w:t>1</w:t>
            </w:r>
            <w:r>
              <w:rPr>
                <w:rFonts w:ascii="宋体" w:hAnsi="宋体"/>
                <w:sz w:val="24"/>
              </w:rPr>
              <w:t>.1.4</w:t>
            </w:r>
          </w:p>
        </w:tc>
        <w:tc>
          <w:tcPr>
            <w:tcW w:w="2325" w:type="dxa"/>
            <w:tcMar>
              <w:top w:w="57" w:type="dxa"/>
              <w:left w:w="57" w:type="dxa"/>
              <w:bottom w:w="57" w:type="dxa"/>
              <w:right w:w="57" w:type="dxa"/>
            </w:tcMar>
            <w:vAlign w:val="center"/>
          </w:tcPr>
          <w:p w14:paraId="2D62CA2E">
            <w:pPr>
              <w:wordWrap w:val="0"/>
              <w:spacing w:line="360" w:lineRule="auto"/>
              <w:jc w:val="center"/>
              <w:rPr>
                <w:rFonts w:hint="eastAsia" w:ascii="宋体" w:hAnsi="宋体"/>
                <w:sz w:val="24"/>
              </w:rPr>
            </w:pPr>
            <w:r>
              <w:rPr>
                <w:rFonts w:hint="eastAsia" w:ascii="宋体" w:hAnsi="宋体"/>
                <w:sz w:val="24"/>
              </w:rPr>
              <w:t>采购项目名称</w:t>
            </w:r>
          </w:p>
        </w:tc>
        <w:tc>
          <w:tcPr>
            <w:tcW w:w="6162" w:type="dxa"/>
            <w:tcMar>
              <w:top w:w="57" w:type="dxa"/>
              <w:left w:w="57" w:type="dxa"/>
              <w:bottom w:w="57" w:type="dxa"/>
              <w:right w:w="57" w:type="dxa"/>
            </w:tcMar>
            <w:vAlign w:val="center"/>
          </w:tcPr>
          <w:p w14:paraId="41F31FBA">
            <w:pPr>
              <w:wordWrap w:val="0"/>
              <w:spacing w:line="360" w:lineRule="auto"/>
              <w:jc w:val="left"/>
              <w:rPr>
                <w:rFonts w:hint="eastAsia" w:ascii="宋体" w:hAnsi="宋体"/>
                <w:sz w:val="24"/>
              </w:rPr>
            </w:pPr>
            <w:r>
              <w:rPr>
                <w:rFonts w:hint="eastAsia" w:ascii="宋体" w:hAnsi="宋体"/>
                <w:sz w:val="24"/>
              </w:rPr>
              <w:t>中国人民银行郑州培训学院</w:t>
            </w:r>
            <w:r>
              <w:rPr>
                <w:rFonts w:hint="eastAsia" w:ascii="宋体" w:hAnsi="宋体" w:cs="宋体"/>
                <w:sz w:val="24"/>
              </w:rPr>
              <w:t>二号培训楼修缮改造项目（四层五层及三层北区）</w:t>
            </w:r>
          </w:p>
        </w:tc>
      </w:tr>
      <w:tr w14:paraId="47C9C39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69EDA7C8">
            <w:pPr>
              <w:wordWrap w:val="0"/>
              <w:spacing w:line="360" w:lineRule="auto"/>
              <w:jc w:val="center"/>
              <w:rPr>
                <w:rFonts w:hint="eastAsia" w:ascii="宋体" w:hAnsi="宋体"/>
                <w:sz w:val="24"/>
              </w:rPr>
            </w:pPr>
            <w:r>
              <w:rPr>
                <w:rFonts w:hint="eastAsia" w:ascii="宋体" w:hAnsi="宋体"/>
                <w:sz w:val="24"/>
              </w:rPr>
              <w:t>1</w:t>
            </w:r>
            <w:r>
              <w:rPr>
                <w:rFonts w:ascii="宋体" w:hAnsi="宋体"/>
                <w:sz w:val="24"/>
              </w:rPr>
              <w:t>.1.5</w:t>
            </w:r>
          </w:p>
        </w:tc>
        <w:tc>
          <w:tcPr>
            <w:tcW w:w="2325" w:type="dxa"/>
            <w:tcMar>
              <w:top w:w="57" w:type="dxa"/>
              <w:left w:w="57" w:type="dxa"/>
              <w:bottom w:w="57" w:type="dxa"/>
              <w:right w:w="57" w:type="dxa"/>
            </w:tcMar>
            <w:vAlign w:val="center"/>
          </w:tcPr>
          <w:p w14:paraId="5D4A941F">
            <w:pPr>
              <w:wordWrap w:val="0"/>
              <w:spacing w:line="360" w:lineRule="auto"/>
              <w:jc w:val="center"/>
              <w:rPr>
                <w:rFonts w:hint="eastAsia" w:ascii="宋体" w:hAnsi="宋体"/>
                <w:sz w:val="24"/>
              </w:rPr>
            </w:pPr>
            <w:r>
              <w:rPr>
                <w:rFonts w:hint="eastAsia" w:ascii="宋体" w:hAnsi="宋体"/>
                <w:sz w:val="24"/>
              </w:rPr>
              <w:t>采购项目实施地点</w:t>
            </w:r>
          </w:p>
        </w:tc>
        <w:tc>
          <w:tcPr>
            <w:tcW w:w="6162" w:type="dxa"/>
            <w:tcMar>
              <w:top w:w="57" w:type="dxa"/>
              <w:left w:w="57" w:type="dxa"/>
              <w:bottom w:w="57" w:type="dxa"/>
              <w:right w:w="57" w:type="dxa"/>
            </w:tcMar>
            <w:vAlign w:val="center"/>
          </w:tcPr>
          <w:p w14:paraId="11215BC1">
            <w:pPr>
              <w:wordWrap w:val="0"/>
              <w:spacing w:line="360" w:lineRule="auto"/>
              <w:jc w:val="left"/>
              <w:rPr>
                <w:rStyle w:val="54"/>
                <w:rFonts w:hint="eastAsia" w:ascii="宋体" w:hAnsi="宋体"/>
                <w:color w:val="auto"/>
                <w:sz w:val="24"/>
                <w:u w:val="none"/>
              </w:rPr>
            </w:pPr>
            <w:r>
              <w:rPr>
                <w:rFonts w:hint="eastAsia" w:ascii="宋体" w:hAnsi="宋体" w:cs="宋体"/>
                <w:sz w:val="24"/>
              </w:rPr>
              <w:t xml:space="preserve">中国人民银行郑州培训学院院内二号培训楼 </w:t>
            </w:r>
          </w:p>
        </w:tc>
      </w:tr>
      <w:tr w14:paraId="6786284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22608451">
            <w:pPr>
              <w:wordWrap w:val="0"/>
              <w:spacing w:line="360" w:lineRule="auto"/>
              <w:jc w:val="center"/>
              <w:rPr>
                <w:rFonts w:hint="eastAsia" w:ascii="宋体" w:hAnsi="宋体"/>
                <w:sz w:val="24"/>
              </w:rPr>
            </w:pPr>
            <w:r>
              <w:rPr>
                <w:rFonts w:hint="eastAsia" w:ascii="宋体" w:hAnsi="宋体"/>
                <w:sz w:val="24"/>
              </w:rPr>
              <w:t>1</w:t>
            </w:r>
            <w:r>
              <w:rPr>
                <w:rFonts w:ascii="宋体" w:hAnsi="宋体"/>
                <w:sz w:val="24"/>
              </w:rPr>
              <w:t>.1.6</w:t>
            </w:r>
          </w:p>
        </w:tc>
        <w:tc>
          <w:tcPr>
            <w:tcW w:w="2325" w:type="dxa"/>
            <w:tcMar>
              <w:top w:w="57" w:type="dxa"/>
              <w:left w:w="57" w:type="dxa"/>
              <w:bottom w:w="57" w:type="dxa"/>
              <w:right w:w="57" w:type="dxa"/>
            </w:tcMar>
            <w:vAlign w:val="center"/>
          </w:tcPr>
          <w:p w14:paraId="6BC0EDD1">
            <w:pPr>
              <w:wordWrap w:val="0"/>
              <w:spacing w:line="360" w:lineRule="auto"/>
              <w:jc w:val="center"/>
              <w:rPr>
                <w:rFonts w:hint="eastAsia" w:ascii="宋体" w:hAnsi="宋体"/>
                <w:sz w:val="24"/>
              </w:rPr>
            </w:pPr>
            <w:r>
              <w:rPr>
                <w:rFonts w:hint="eastAsia" w:ascii="宋体" w:hAnsi="宋体"/>
                <w:sz w:val="24"/>
              </w:rPr>
              <w:t>采购方式</w:t>
            </w:r>
          </w:p>
        </w:tc>
        <w:tc>
          <w:tcPr>
            <w:tcW w:w="6162" w:type="dxa"/>
            <w:tcMar>
              <w:top w:w="57" w:type="dxa"/>
              <w:left w:w="57" w:type="dxa"/>
              <w:bottom w:w="57" w:type="dxa"/>
              <w:right w:w="57" w:type="dxa"/>
            </w:tcMar>
            <w:vAlign w:val="center"/>
          </w:tcPr>
          <w:p w14:paraId="63705552">
            <w:pPr>
              <w:wordWrap w:val="0"/>
              <w:spacing w:line="360" w:lineRule="auto"/>
              <w:rPr>
                <w:rStyle w:val="54"/>
                <w:b/>
                <w:bCs/>
                <w:color w:val="auto"/>
              </w:rPr>
            </w:pPr>
            <w:r>
              <w:rPr>
                <w:rFonts w:hint="eastAsia" w:ascii="宋体" w:hAnsi="宋体"/>
                <w:bCs/>
                <w:sz w:val="24"/>
              </w:rPr>
              <w:t>竞争性磋商</w:t>
            </w:r>
          </w:p>
        </w:tc>
      </w:tr>
      <w:tr w14:paraId="604B50C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20C4A89A">
            <w:pPr>
              <w:wordWrap w:val="0"/>
              <w:spacing w:line="360" w:lineRule="auto"/>
              <w:jc w:val="center"/>
              <w:rPr>
                <w:rFonts w:hint="eastAsia" w:ascii="宋体" w:hAnsi="宋体"/>
                <w:sz w:val="24"/>
              </w:rPr>
            </w:pPr>
            <w:r>
              <w:rPr>
                <w:rFonts w:hint="eastAsia" w:ascii="宋体" w:hAnsi="宋体"/>
                <w:sz w:val="24"/>
              </w:rPr>
              <w:t>1.1.7</w:t>
            </w:r>
          </w:p>
        </w:tc>
        <w:tc>
          <w:tcPr>
            <w:tcW w:w="2325" w:type="dxa"/>
            <w:tcMar>
              <w:top w:w="57" w:type="dxa"/>
              <w:left w:w="57" w:type="dxa"/>
              <w:bottom w:w="57" w:type="dxa"/>
              <w:right w:w="57" w:type="dxa"/>
            </w:tcMar>
            <w:vAlign w:val="center"/>
          </w:tcPr>
          <w:p w14:paraId="3384F03E">
            <w:pPr>
              <w:wordWrap w:val="0"/>
              <w:spacing w:line="360" w:lineRule="auto"/>
              <w:jc w:val="center"/>
              <w:rPr>
                <w:rFonts w:hint="eastAsia" w:ascii="宋体" w:hAnsi="宋体"/>
                <w:sz w:val="24"/>
              </w:rPr>
            </w:pPr>
            <w:r>
              <w:rPr>
                <w:rFonts w:hint="eastAsia" w:ascii="宋体" w:hAnsi="宋体"/>
                <w:sz w:val="24"/>
              </w:rPr>
              <w:t>采购标段（包）划分</w:t>
            </w:r>
          </w:p>
        </w:tc>
        <w:tc>
          <w:tcPr>
            <w:tcW w:w="6162" w:type="dxa"/>
            <w:tcMar>
              <w:top w:w="57" w:type="dxa"/>
              <w:left w:w="57" w:type="dxa"/>
              <w:bottom w:w="57" w:type="dxa"/>
              <w:right w:w="57" w:type="dxa"/>
            </w:tcMar>
            <w:vAlign w:val="center"/>
          </w:tcPr>
          <w:p w14:paraId="0E013B44">
            <w:pPr>
              <w:wordWrap w:val="0"/>
              <w:spacing w:line="360" w:lineRule="auto"/>
              <w:rPr>
                <w:rFonts w:hint="eastAsia" w:ascii="宋体" w:hAnsi="宋体"/>
                <w:b/>
                <w:bCs/>
                <w:sz w:val="24"/>
              </w:rPr>
            </w:pPr>
            <w:r>
              <w:rPr>
                <w:rFonts w:hint="eastAsia" w:ascii="宋体" w:hAnsi="宋体" w:cs="宋体"/>
                <w:kern w:val="0"/>
                <w:sz w:val="24"/>
              </w:rPr>
              <w:t>本次采购项目分为1个标段（包）。</w:t>
            </w:r>
          </w:p>
        </w:tc>
      </w:tr>
      <w:tr w14:paraId="04EFCD7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4466E185">
            <w:pPr>
              <w:wordWrap w:val="0"/>
              <w:spacing w:line="360" w:lineRule="auto"/>
              <w:jc w:val="center"/>
              <w:rPr>
                <w:rFonts w:hint="eastAsia" w:ascii="宋体" w:hAnsi="宋体"/>
                <w:sz w:val="24"/>
              </w:rPr>
            </w:pPr>
            <w:r>
              <w:rPr>
                <w:rFonts w:hint="eastAsia" w:ascii="宋体" w:hAnsi="宋体"/>
                <w:sz w:val="24"/>
              </w:rPr>
              <w:t>1</w:t>
            </w:r>
            <w:r>
              <w:rPr>
                <w:rFonts w:ascii="宋体" w:hAnsi="宋体"/>
                <w:sz w:val="24"/>
              </w:rPr>
              <w:t>.1.</w:t>
            </w:r>
            <w:r>
              <w:rPr>
                <w:rFonts w:hint="eastAsia" w:ascii="宋体" w:hAnsi="宋体"/>
                <w:sz w:val="24"/>
              </w:rPr>
              <w:t>8</w:t>
            </w:r>
          </w:p>
        </w:tc>
        <w:tc>
          <w:tcPr>
            <w:tcW w:w="2325" w:type="dxa"/>
            <w:tcMar>
              <w:top w:w="57" w:type="dxa"/>
              <w:left w:w="57" w:type="dxa"/>
              <w:bottom w:w="57" w:type="dxa"/>
              <w:right w:w="57" w:type="dxa"/>
            </w:tcMar>
            <w:vAlign w:val="center"/>
          </w:tcPr>
          <w:p w14:paraId="39E6957E">
            <w:pPr>
              <w:wordWrap w:val="0"/>
              <w:spacing w:line="360" w:lineRule="auto"/>
              <w:jc w:val="center"/>
              <w:rPr>
                <w:rFonts w:hint="eastAsia" w:ascii="宋体" w:hAnsi="宋体"/>
                <w:sz w:val="24"/>
              </w:rPr>
            </w:pPr>
            <w:r>
              <w:rPr>
                <w:rFonts w:hint="eastAsia" w:ascii="宋体" w:hAnsi="宋体"/>
                <w:sz w:val="24"/>
              </w:rPr>
              <w:t>采购项目属性</w:t>
            </w:r>
          </w:p>
        </w:tc>
        <w:tc>
          <w:tcPr>
            <w:tcW w:w="6162" w:type="dxa"/>
            <w:tcMar>
              <w:top w:w="57" w:type="dxa"/>
              <w:left w:w="57" w:type="dxa"/>
              <w:bottom w:w="57" w:type="dxa"/>
              <w:right w:w="57" w:type="dxa"/>
            </w:tcMar>
            <w:vAlign w:val="center"/>
          </w:tcPr>
          <w:p w14:paraId="5E01C502">
            <w:pPr>
              <w:wordWrap w:val="0"/>
              <w:spacing w:line="360" w:lineRule="auto"/>
              <w:rPr>
                <w:rStyle w:val="54"/>
                <w:b/>
                <w:bCs/>
                <w:color w:val="auto"/>
                <w:u w:val="none"/>
              </w:rPr>
            </w:pPr>
            <w:r>
              <w:rPr>
                <w:rFonts w:hint="eastAsia" w:ascii="宋体" w:hAnsi="宋体"/>
                <w:sz w:val="24"/>
              </w:rPr>
              <w:t>工程</w:t>
            </w:r>
          </w:p>
        </w:tc>
      </w:tr>
      <w:tr w14:paraId="7CFD0AB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331" w:hRule="atLeast"/>
          <w:jc w:val="center"/>
        </w:trPr>
        <w:tc>
          <w:tcPr>
            <w:tcW w:w="1147" w:type="dxa"/>
            <w:tcMar>
              <w:top w:w="57" w:type="dxa"/>
              <w:left w:w="57" w:type="dxa"/>
              <w:bottom w:w="57" w:type="dxa"/>
              <w:right w:w="57" w:type="dxa"/>
            </w:tcMar>
            <w:vAlign w:val="center"/>
          </w:tcPr>
          <w:p w14:paraId="7EA96195">
            <w:pPr>
              <w:wordWrap w:val="0"/>
              <w:spacing w:line="360" w:lineRule="auto"/>
              <w:jc w:val="center"/>
              <w:rPr>
                <w:rFonts w:hint="eastAsia" w:ascii="宋体" w:hAnsi="宋体"/>
                <w:sz w:val="24"/>
              </w:rPr>
            </w:pPr>
            <w:r>
              <w:rPr>
                <w:rFonts w:hint="eastAsia" w:ascii="宋体" w:hAnsi="宋体"/>
                <w:sz w:val="24"/>
              </w:rPr>
              <w:t>1</w:t>
            </w:r>
            <w:r>
              <w:rPr>
                <w:rFonts w:ascii="宋体" w:hAnsi="宋体"/>
                <w:sz w:val="24"/>
              </w:rPr>
              <w:t>.1.</w:t>
            </w:r>
            <w:r>
              <w:rPr>
                <w:rFonts w:hint="eastAsia" w:ascii="宋体" w:hAnsi="宋体"/>
                <w:sz w:val="24"/>
              </w:rPr>
              <w:t>9</w:t>
            </w:r>
          </w:p>
        </w:tc>
        <w:tc>
          <w:tcPr>
            <w:tcW w:w="2325" w:type="dxa"/>
            <w:tcMar>
              <w:top w:w="57" w:type="dxa"/>
              <w:left w:w="57" w:type="dxa"/>
              <w:bottom w:w="57" w:type="dxa"/>
              <w:right w:w="57" w:type="dxa"/>
            </w:tcMar>
            <w:vAlign w:val="center"/>
          </w:tcPr>
          <w:p w14:paraId="431182CC">
            <w:pPr>
              <w:wordWrap w:val="0"/>
              <w:spacing w:line="360" w:lineRule="auto"/>
              <w:jc w:val="center"/>
              <w:rPr>
                <w:rFonts w:hint="eastAsia" w:ascii="宋体" w:hAnsi="宋体"/>
                <w:sz w:val="24"/>
              </w:rPr>
            </w:pPr>
            <w:r>
              <w:rPr>
                <w:rFonts w:hint="eastAsia" w:ascii="宋体" w:hAnsi="宋体"/>
                <w:sz w:val="24"/>
              </w:rPr>
              <w:t>标的物所属行业</w:t>
            </w:r>
          </w:p>
        </w:tc>
        <w:tc>
          <w:tcPr>
            <w:tcW w:w="6162" w:type="dxa"/>
            <w:tcMar>
              <w:top w:w="57" w:type="dxa"/>
              <w:left w:w="57" w:type="dxa"/>
              <w:bottom w:w="57" w:type="dxa"/>
              <w:right w:w="57" w:type="dxa"/>
            </w:tcMar>
            <w:vAlign w:val="center"/>
          </w:tcPr>
          <w:p w14:paraId="11D394B8">
            <w:pPr>
              <w:wordWrap w:val="0"/>
              <w:adjustRightInd w:val="0"/>
              <w:snapToGrid w:val="0"/>
              <w:spacing w:line="360" w:lineRule="auto"/>
              <w:rPr>
                <w:rFonts w:hint="eastAsia" w:ascii="宋体" w:hAnsi="宋体"/>
                <w:sz w:val="24"/>
                <w:u w:val="single"/>
              </w:rPr>
            </w:pPr>
            <w:bookmarkStart w:id="92" w:name="OLE_LINK82"/>
            <w:bookmarkStart w:id="93" w:name="OLE_LINK83"/>
            <w:r>
              <w:rPr>
                <w:rFonts w:hint="eastAsia" w:ascii="宋体" w:hAnsi="宋体"/>
                <w:sz w:val="24"/>
              </w:rPr>
              <w:t>根据“工信部联企业〔2011〕300号</w:t>
            </w:r>
            <w:r>
              <w:rPr>
                <w:rFonts w:ascii="宋体" w:hAnsi="宋体"/>
                <w:sz w:val="24"/>
              </w:rPr>
              <w:t>”</w:t>
            </w:r>
            <w:r>
              <w:rPr>
                <w:rFonts w:hint="eastAsia" w:ascii="宋体" w:hAnsi="宋体"/>
                <w:sz w:val="24"/>
              </w:rPr>
              <w:t>文件的划型标准，本次采购标的对应的中小企业划分标准所属行业为：建筑业。</w:t>
            </w:r>
            <w:bookmarkEnd w:id="92"/>
            <w:bookmarkEnd w:id="93"/>
          </w:p>
        </w:tc>
      </w:tr>
      <w:tr w14:paraId="2A3A59A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12901CD1">
            <w:pPr>
              <w:wordWrap w:val="0"/>
              <w:spacing w:line="360" w:lineRule="auto"/>
              <w:jc w:val="center"/>
              <w:rPr>
                <w:rFonts w:hint="eastAsia" w:ascii="宋体" w:hAnsi="宋体"/>
                <w:sz w:val="24"/>
              </w:rPr>
            </w:pPr>
            <w:r>
              <w:rPr>
                <w:rFonts w:hint="eastAsia" w:ascii="宋体" w:hAnsi="宋体"/>
                <w:sz w:val="24"/>
              </w:rPr>
              <w:t>1</w:t>
            </w:r>
            <w:r>
              <w:rPr>
                <w:rFonts w:ascii="宋体" w:hAnsi="宋体"/>
                <w:sz w:val="24"/>
              </w:rPr>
              <w:t>.2.2</w:t>
            </w:r>
          </w:p>
        </w:tc>
        <w:tc>
          <w:tcPr>
            <w:tcW w:w="2325" w:type="dxa"/>
            <w:tcMar>
              <w:top w:w="57" w:type="dxa"/>
              <w:left w:w="57" w:type="dxa"/>
              <w:bottom w:w="57" w:type="dxa"/>
              <w:right w:w="57" w:type="dxa"/>
            </w:tcMar>
            <w:vAlign w:val="center"/>
          </w:tcPr>
          <w:p w14:paraId="3DAE42C9">
            <w:pPr>
              <w:wordWrap w:val="0"/>
              <w:spacing w:line="360" w:lineRule="auto"/>
              <w:jc w:val="center"/>
              <w:rPr>
                <w:rFonts w:hint="eastAsia" w:ascii="宋体" w:hAnsi="宋体"/>
                <w:sz w:val="24"/>
              </w:rPr>
            </w:pPr>
            <w:r>
              <w:rPr>
                <w:rFonts w:hint="eastAsia" w:ascii="宋体" w:hAnsi="宋体"/>
                <w:sz w:val="24"/>
              </w:rPr>
              <w:t>项目预算金额和最高限价</w:t>
            </w:r>
          </w:p>
        </w:tc>
        <w:tc>
          <w:tcPr>
            <w:tcW w:w="6162" w:type="dxa"/>
            <w:tcMar>
              <w:top w:w="57" w:type="dxa"/>
              <w:left w:w="57" w:type="dxa"/>
              <w:bottom w:w="57" w:type="dxa"/>
              <w:right w:w="57" w:type="dxa"/>
            </w:tcMar>
            <w:vAlign w:val="center"/>
          </w:tcPr>
          <w:p w14:paraId="6144F016">
            <w:pPr>
              <w:wordWrap w:val="0"/>
              <w:spacing w:line="360" w:lineRule="auto"/>
              <w:rPr>
                <w:rFonts w:hint="eastAsia" w:ascii="宋体" w:hAnsi="宋体"/>
                <w:sz w:val="24"/>
              </w:rPr>
            </w:pPr>
            <w:r>
              <w:rPr>
                <w:rFonts w:hint="eastAsia" w:ascii="宋体" w:hAnsi="宋体"/>
                <w:sz w:val="24"/>
              </w:rPr>
              <w:t>招标控制价：4978877.52元。其中包括分部分项工程项目：4263909.92元，措施项目：303867.62元，增值税：411099.98元，暂列金额：0元，专业工程暂估价：0元。</w:t>
            </w:r>
          </w:p>
          <w:p w14:paraId="2CBB5861">
            <w:pPr>
              <w:wordWrap w:val="0"/>
              <w:spacing w:line="360" w:lineRule="auto"/>
              <w:rPr>
                <w:rFonts w:hint="eastAsia" w:ascii="宋体" w:hAnsi="宋体"/>
                <w:sz w:val="24"/>
              </w:rPr>
            </w:pPr>
            <w:r>
              <w:rPr>
                <w:rFonts w:hint="eastAsia" w:ascii="宋体" w:hAnsi="宋体"/>
                <w:sz w:val="24"/>
              </w:rPr>
              <w:t>所有供应商的响应总报价不得超过4978877.52元，否则按无效响应处理。</w:t>
            </w:r>
          </w:p>
        </w:tc>
      </w:tr>
      <w:tr w14:paraId="632DBA0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1B8E4266">
            <w:pPr>
              <w:wordWrap w:val="0"/>
              <w:spacing w:line="360" w:lineRule="auto"/>
              <w:jc w:val="center"/>
              <w:rPr>
                <w:rFonts w:hint="eastAsia" w:ascii="宋体" w:hAnsi="宋体"/>
                <w:sz w:val="24"/>
              </w:rPr>
            </w:pPr>
            <w:r>
              <w:rPr>
                <w:rFonts w:hint="eastAsia" w:ascii="宋体" w:hAnsi="宋体"/>
                <w:sz w:val="24"/>
              </w:rPr>
              <w:t>1.3.1</w:t>
            </w:r>
          </w:p>
        </w:tc>
        <w:tc>
          <w:tcPr>
            <w:tcW w:w="2325" w:type="dxa"/>
            <w:tcMar>
              <w:top w:w="57" w:type="dxa"/>
              <w:left w:w="57" w:type="dxa"/>
              <w:bottom w:w="57" w:type="dxa"/>
              <w:right w:w="57" w:type="dxa"/>
            </w:tcMar>
            <w:vAlign w:val="center"/>
          </w:tcPr>
          <w:p w14:paraId="3B95F7A8">
            <w:pPr>
              <w:wordWrap w:val="0"/>
              <w:spacing w:line="360" w:lineRule="auto"/>
              <w:jc w:val="center"/>
              <w:rPr>
                <w:rFonts w:hint="eastAsia" w:ascii="宋体" w:hAnsi="宋体"/>
                <w:sz w:val="24"/>
                <w:u w:val="single"/>
              </w:rPr>
            </w:pPr>
            <w:r>
              <w:rPr>
                <w:rFonts w:hint="eastAsia" w:ascii="宋体" w:hAnsi="宋体"/>
                <w:sz w:val="24"/>
              </w:rPr>
              <w:t>采购需求、采购内容</w:t>
            </w:r>
          </w:p>
        </w:tc>
        <w:tc>
          <w:tcPr>
            <w:tcW w:w="6162" w:type="dxa"/>
            <w:tcMar>
              <w:top w:w="57" w:type="dxa"/>
              <w:left w:w="57" w:type="dxa"/>
              <w:bottom w:w="57" w:type="dxa"/>
              <w:right w:w="57" w:type="dxa"/>
            </w:tcMar>
            <w:vAlign w:val="center"/>
          </w:tcPr>
          <w:p w14:paraId="034AAF24">
            <w:pPr>
              <w:wordWrap w:val="0"/>
              <w:spacing w:line="360" w:lineRule="auto"/>
              <w:rPr>
                <w:rFonts w:hint="eastAsia" w:ascii="宋体" w:hAnsi="宋体"/>
                <w:sz w:val="24"/>
              </w:rPr>
            </w:pPr>
            <w:r>
              <w:rPr>
                <w:rFonts w:hint="eastAsia" w:ascii="宋体" w:hAnsi="宋体"/>
                <w:sz w:val="24"/>
              </w:rPr>
              <w:t>见竞争性磋商文件相关章节。</w:t>
            </w:r>
          </w:p>
        </w:tc>
      </w:tr>
      <w:tr w14:paraId="3F19BA2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6C45FF4C">
            <w:pPr>
              <w:wordWrap w:val="0"/>
              <w:spacing w:line="360" w:lineRule="auto"/>
              <w:jc w:val="center"/>
              <w:rPr>
                <w:rFonts w:hint="eastAsia" w:ascii="宋体" w:hAnsi="宋体"/>
                <w:sz w:val="24"/>
              </w:rPr>
            </w:pPr>
            <w:r>
              <w:rPr>
                <w:rFonts w:hint="eastAsia" w:ascii="宋体" w:hAnsi="宋体"/>
                <w:sz w:val="24"/>
              </w:rPr>
              <w:t>1.3.2</w:t>
            </w:r>
          </w:p>
        </w:tc>
        <w:tc>
          <w:tcPr>
            <w:tcW w:w="2325" w:type="dxa"/>
            <w:tcMar>
              <w:top w:w="57" w:type="dxa"/>
              <w:left w:w="57" w:type="dxa"/>
              <w:bottom w:w="57" w:type="dxa"/>
              <w:right w:w="57" w:type="dxa"/>
            </w:tcMar>
            <w:vAlign w:val="center"/>
          </w:tcPr>
          <w:p w14:paraId="54600144">
            <w:pPr>
              <w:wordWrap w:val="0"/>
              <w:spacing w:line="360" w:lineRule="auto"/>
              <w:jc w:val="center"/>
              <w:rPr>
                <w:rFonts w:hint="eastAsia" w:ascii="宋体" w:hAnsi="宋体"/>
                <w:sz w:val="24"/>
                <w:u w:val="single"/>
              </w:rPr>
            </w:pPr>
            <w:r>
              <w:rPr>
                <w:rFonts w:hint="eastAsia" w:ascii="宋体" w:hAnsi="宋体"/>
                <w:sz w:val="24"/>
              </w:rPr>
              <w:t>质量标准</w:t>
            </w:r>
          </w:p>
        </w:tc>
        <w:tc>
          <w:tcPr>
            <w:tcW w:w="6162" w:type="dxa"/>
            <w:tcMar>
              <w:top w:w="57" w:type="dxa"/>
              <w:left w:w="57" w:type="dxa"/>
              <w:bottom w:w="57" w:type="dxa"/>
              <w:right w:w="57" w:type="dxa"/>
            </w:tcMar>
            <w:vAlign w:val="center"/>
          </w:tcPr>
          <w:p w14:paraId="021D74E2">
            <w:pPr>
              <w:wordWrap w:val="0"/>
              <w:spacing w:line="360" w:lineRule="auto"/>
              <w:rPr>
                <w:rFonts w:hint="eastAsia" w:ascii="宋体" w:hAnsi="宋体"/>
                <w:sz w:val="24"/>
              </w:rPr>
            </w:pPr>
            <w:r>
              <w:rPr>
                <w:rFonts w:hint="eastAsia" w:ascii="宋体" w:hAnsi="宋体" w:cs="宋体"/>
                <w:sz w:val="24"/>
              </w:rPr>
              <w:t>合格，满足国家相关质量验收标准。</w:t>
            </w:r>
          </w:p>
        </w:tc>
      </w:tr>
      <w:tr w14:paraId="5CFBECF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5907188D">
            <w:pPr>
              <w:wordWrap w:val="0"/>
              <w:spacing w:line="360" w:lineRule="auto"/>
              <w:jc w:val="center"/>
              <w:rPr>
                <w:rFonts w:hint="eastAsia" w:ascii="宋体" w:hAnsi="宋体"/>
                <w:sz w:val="24"/>
              </w:rPr>
            </w:pPr>
            <w:bookmarkStart w:id="94" w:name="OLE_LINK16" w:colFirst="1" w:colLast="2"/>
            <w:bookmarkStart w:id="95" w:name="_Hlk211845214"/>
            <w:bookmarkStart w:id="96" w:name="OLE_LINK19" w:colFirst="1" w:colLast="2"/>
            <w:r>
              <w:rPr>
                <w:rFonts w:hint="eastAsia" w:ascii="宋体" w:hAnsi="宋体"/>
                <w:sz w:val="24"/>
              </w:rPr>
              <w:t>1.3.3</w:t>
            </w:r>
          </w:p>
        </w:tc>
        <w:tc>
          <w:tcPr>
            <w:tcW w:w="2325" w:type="dxa"/>
            <w:tcMar>
              <w:top w:w="57" w:type="dxa"/>
              <w:left w:w="57" w:type="dxa"/>
              <w:bottom w:w="57" w:type="dxa"/>
              <w:right w:w="57" w:type="dxa"/>
            </w:tcMar>
            <w:vAlign w:val="center"/>
          </w:tcPr>
          <w:p w14:paraId="0045B46A">
            <w:pPr>
              <w:wordWrap w:val="0"/>
              <w:spacing w:line="360" w:lineRule="auto"/>
              <w:jc w:val="center"/>
              <w:rPr>
                <w:rFonts w:hint="eastAsia" w:ascii="宋体" w:hAnsi="宋体"/>
                <w:sz w:val="24"/>
              </w:rPr>
            </w:pPr>
            <w:r>
              <w:rPr>
                <w:rFonts w:hint="eastAsia" w:ascii="宋体" w:hAnsi="宋体"/>
                <w:sz w:val="24"/>
              </w:rPr>
              <w:t>工期及实施地点</w:t>
            </w:r>
          </w:p>
        </w:tc>
        <w:tc>
          <w:tcPr>
            <w:tcW w:w="6162" w:type="dxa"/>
            <w:tcMar>
              <w:top w:w="57" w:type="dxa"/>
              <w:left w:w="57" w:type="dxa"/>
              <w:bottom w:w="57" w:type="dxa"/>
              <w:right w:w="57" w:type="dxa"/>
            </w:tcMar>
            <w:vAlign w:val="center"/>
          </w:tcPr>
          <w:p w14:paraId="0D26FC29">
            <w:pPr>
              <w:wordWrap w:val="0"/>
              <w:spacing w:line="360" w:lineRule="auto"/>
              <w:rPr>
                <w:rFonts w:hint="eastAsia" w:ascii="宋体" w:hAnsi="宋体"/>
                <w:sz w:val="24"/>
              </w:rPr>
            </w:pPr>
            <w:r>
              <w:rPr>
                <w:rFonts w:hint="eastAsia" w:ascii="宋体" w:hAnsi="宋体"/>
                <w:sz w:val="24"/>
              </w:rPr>
              <w:t>工期：</w:t>
            </w:r>
            <w:r>
              <w:rPr>
                <w:rFonts w:hint="eastAsia" w:ascii="宋体" w:hAnsi="宋体" w:cs="宋体"/>
                <w:sz w:val="24"/>
              </w:rPr>
              <w:t>150日历天</w:t>
            </w:r>
            <w:r>
              <w:rPr>
                <w:rFonts w:hint="eastAsia"/>
                <w:sz w:val="24"/>
              </w:rPr>
              <w:t>。</w:t>
            </w:r>
          </w:p>
          <w:p w14:paraId="2BA46679">
            <w:pPr>
              <w:wordWrap w:val="0"/>
              <w:spacing w:line="360" w:lineRule="auto"/>
              <w:rPr>
                <w:rStyle w:val="54"/>
                <w:rFonts w:hint="eastAsia" w:ascii="宋体" w:hAnsi="宋体"/>
                <w:color w:val="auto"/>
                <w:sz w:val="24"/>
                <w:u w:val="none"/>
              </w:rPr>
            </w:pPr>
            <w:r>
              <w:rPr>
                <w:rFonts w:hint="eastAsia" w:ascii="宋体" w:hAnsi="宋体"/>
                <w:sz w:val="24"/>
              </w:rPr>
              <w:t>实施地点：</w:t>
            </w:r>
            <w:r>
              <w:rPr>
                <w:rFonts w:hint="eastAsia" w:ascii="宋体" w:hAnsi="宋体" w:cs="宋体"/>
                <w:sz w:val="24"/>
              </w:rPr>
              <w:t>中国人民银行郑州培训学院。</w:t>
            </w:r>
          </w:p>
        </w:tc>
      </w:tr>
      <w:bookmarkEnd w:id="94"/>
      <w:bookmarkEnd w:id="95"/>
      <w:bookmarkEnd w:id="96"/>
      <w:tr w14:paraId="7217B75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47BD9E99">
            <w:pPr>
              <w:wordWrap w:val="0"/>
              <w:spacing w:line="360" w:lineRule="auto"/>
              <w:jc w:val="center"/>
              <w:rPr>
                <w:rFonts w:hint="eastAsia" w:ascii="宋体" w:hAnsi="宋体"/>
                <w:sz w:val="24"/>
              </w:rPr>
            </w:pPr>
            <w:bookmarkStart w:id="97" w:name="OLE_LINK86" w:colFirst="0" w:colLast="2"/>
            <w:bookmarkStart w:id="98" w:name="_Hlk218412128"/>
            <w:bookmarkStart w:id="99" w:name="OLE_LINK87" w:colFirst="0" w:colLast="2"/>
            <w:r>
              <w:rPr>
                <w:rFonts w:hint="eastAsia" w:ascii="宋体" w:hAnsi="宋体"/>
                <w:sz w:val="24"/>
              </w:rPr>
              <w:t>1</w:t>
            </w:r>
            <w:r>
              <w:rPr>
                <w:rFonts w:ascii="宋体" w:hAnsi="宋体"/>
                <w:sz w:val="24"/>
              </w:rPr>
              <w:t>.3.</w:t>
            </w:r>
            <w:r>
              <w:rPr>
                <w:rFonts w:hint="eastAsia" w:ascii="宋体" w:hAnsi="宋体"/>
                <w:sz w:val="24"/>
              </w:rPr>
              <w:t>4</w:t>
            </w:r>
          </w:p>
        </w:tc>
        <w:tc>
          <w:tcPr>
            <w:tcW w:w="2325" w:type="dxa"/>
            <w:tcMar>
              <w:top w:w="57" w:type="dxa"/>
              <w:left w:w="57" w:type="dxa"/>
              <w:bottom w:w="57" w:type="dxa"/>
              <w:right w:w="57" w:type="dxa"/>
            </w:tcMar>
            <w:vAlign w:val="center"/>
          </w:tcPr>
          <w:p w14:paraId="507A28DA">
            <w:pPr>
              <w:wordWrap w:val="0"/>
              <w:spacing w:line="360" w:lineRule="auto"/>
              <w:jc w:val="center"/>
              <w:rPr>
                <w:rFonts w:hint="eastAsia" w:ascii="宋体" w:hAnsi="宋体"/>
                <w:sz w:val="24"/>
                <w:u w:val="single"/>
              </w:rPr>
            </w:pPr>
            <w:r>
              <w:rPr>
                <w:rFonts w:hint="eastAsia" w:ascii="宋体" w:hAnsi="宋体"/>
                <w:sz w:val="24"/>
              </w:rPr>
              <w:t>缺陷责任期</w:t>
            </w:r>
          </w:p>
        </w:tc>
        <w:tc>
          <w:tcPr>
            <w:tcW w:w="6162" w:type="dxa"/>
            <w:tcMar>
              <w:top w:w="57" w:type="dxa"/>
              <w:left w:w="57" w:type="dxa"/>
              <w:bottom w:w="57" w:type="dxa"/>
              <w:right w:w="57" w:type="dxa"/>
            </w:tcMar>
            <w:vAlign w:val="center"/>
          </w:tcPr>
          <w:p w14:paraId="797E01CB">
            <w:pPr>
              <w:wordWrap w:val="0"/>
              <w:spacing w:line="360" w:lineRule="auto"/>
              <w:rPr>
                <w:rFonts w:hint="eastAsia" w:ascii="宋体" w:hAnsi="宋体"/>
                <w:sz w:val="24"/>
              </w:rPr>
            </w:pPr>
            <w:r>
              <w:rPr>
                <w:rFonts w:hint="eastAsia" w:ascii="宋体" w:hAnsi="宋体" w:cs="宋体"/>
                <w:bCs/>
                <w:sz w:val="24"/>
              </w:rPr>
              <w:t>自工程通过竣工验收合格之日起24个月。</w:t>
            </w:r>
          </w:p>
        </w:tc>
      </w:tr>
      <w:bookmarkEnd w:id="97"/>
      <w:bookmarkEnd w:id="98"/>
      <w:bookmarkEnd w:id="99"/>
      <w:tr w14:paraId="656B19B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12E16258">
            <w:pPr>
              <w:wordWrap w:val="0"/>
              <w:spacing w:line="360" w:lineRule="auto"/>
              <w:jc w:val="center"/>
              <w:rPr>
                <w:rFonts w:hint="eastAsia" w:ascii="宋体" w:hAnsi="宋体"/>
                <w:sz w:val="24"/>
              </w:rPr>
            </w:pPr>
            <w:r>
              <w:rPr>
                <w:rFonts w:ascii="宋体" w:hAnsi="宋体"/>
                <w:sz w:val="24"/>
              </w:rPr>
              <w:t>1.4.2.4</w:t>
            </w:r>
          </w:p>
        </w:tc>
        <w:tc>
          <w:tcPr>
            <w:tcW w:w="2325" w:type="dxa"/>
            <w:tcMar>
              <w:top w:w="57" w:type="dxa"/>
              <w:left w:w="57" w:type="dxa"/>
              <w:bottom w:w="57" w:type="dxa"/>
              <w:right w:w="57" w:type="dxa"/>
            </w:tcMar>
            <w:vAlign w:val="center"/>
          </w:tcPr>
          <w:p w14:paraId="6B86866F">
            <w:pPr>
              <w:wordWrap w:val="0"/>
              <w:spacing w:line="360" w:lineRule="auto"/>
              <w:jc w:val="center"/>
              <w:rPr>
                <w:rFonts w:hint="eastAsia" w:ascii="宋体" w:hAnsi="宋体"/>
                <w:b/>
                <w:sz w:val="24"/>
              </w:rPr>
            </w:pPr>
            <w:r>
              <w:rPr>
                <w:rFonts w:hint="eastAsia" w:ascii="宋体" w:hAnsi="宋体"/>
                <w:b/>
                <w:sz w:val="24"/>
              </w:rPr>
              <w:t>供应商应具备的资格要求</w:t>
            </w:r>
          </w:p>
        </w:tc>
        <w:tc>
          <w:tcPr>
            <w:tcW w:w="6162" w:type="dxa"/>
            <w:tcMar>
              <w:top w:w="57" w:type="dxa"/>
              <w:left w:w="57" w:type="dxa"/>
              <w:bottom w:w="57" w:type="dxa"/>
              <w:right w:w="57" w:type="dxa"/>
            </w:tcMar>
            <w:vAlign w:val="center"/>
          </w:tcPr>
          <w:p w14:paraId="22E04092">
            <w:pPr>
              <w:spacing w:line="360" w:lineRule="auto"/>
              <w:rPr>
                <w:rFonts w:hint="eastAsia" w:ascii="宋体" w:hAnsi="宋体" w:cs="宋体"/>
                <w:sz w:val="24"/>
              </w:rPr>
            </w:pPr>
            <w:r>
              <w:rPr>
                <w:rFonts w:hint="eastAsia" w:ascii="宋体" w:hAnsi="宋体" w:cs="宋体"/>
                <w:sz w:val="24"/>
              </w:rPr>
              <w:t>一、资格条件要求：</w:t>
            </w:r>
          </w:p>
          <w:p w14:paraId="1019D86A">
            <w:pPr>
              <w:spacing w:line="360" w:lineRule="auto"/>
              <w:ind w:firstLine="480" w:firstLineChars="200"/>
              <w:rPr>
                <w:rFonts w:hint="eastAsia" w:ascii="宋体" w:hAnsi="宋体" w:cs="宋体"/>
                <w:sz w:val="24"/>
              </w:rPr>
            </w:pPr>
            <w:r>
              <w:rPr>
                <w:rFonts w:hint="eastAsia" w:ascii="宋体" w:hAnsi="宋体" w:cs="宋体"/>
                <w:sz w:val="24"/>
              </w:rPr>
              <w:t>1、满足《中华人民共和国政府采购法》第二十二条规定；</w:t>
            </w:r>
          </w:p>
          <w:p w14:paraId="4A9016E6">
            <w:pPr>
              <w:spacing w:line="360" w:lineRule="auto"/>
              <w:ind w:firstLine="480" w:firstLineChars="200"/>
              <w:rPr>
                <w:rFonts w:hint="eastAsia" w:ascii="宋体" w:hAnsi="宋体" w:cs="宋体"/>
                <w:sz w:val="24"/>
              </w:rPr>
            </w:pPr>
            <w:r>
              <w:rPr>
                <w:rFonts w:hint="eastAsia" w:ascii="宋体" w:hAnsi="宋体" w:cs="宋体"/>
                <w:sz w:val="24"/>
              </w:rPr>
              <w:t>2、落实政府采购政策需满足的资格要求：本项目专门面向中小企业（监狱企业、残疾人福利性企业视同中小企业）；</w:t>
            </w:r>
          </w:p>
          <w:p w14:paraId="14CB5ED5">
            <w:pPr>
              <w:spacing w:line="360" w:lineRule="auto"/>
              <w:ind w:firstLine="480" w:firstLineChars="200"/>
              <w:rPr>
                <w:rFonts w:hint="eastAsia" w:ascii="宋体" w:hAnsi="宋体" w:cs="宋体"/>
                <w:sz w:val="24"/>
              </w:rPr>
            </w:pPr>
            <w:r>
              <w:rPr>
                <w:rFonts w:hint="eastAsia" w:ascii="宋体" w:hAnsi="宋体" w:cs="宋体"/>
                <w:sz w:val="24"/>
              </w:rPr>
              <w:t>3、本项目的特定资格要求：</w:t>
            </w:r>
          </w:p>
          <w:p w14:paraId="5901CCB9">
            <w:pPr>
              <w:spacing w:line="360" w:lineRule="auto"/>
              <w:ind w:firstLine="480" w:firstLineChars="200"/>
              <w:rPr>
                <w:rFonts w:hint="eastAsia" w:ascii="宋体" w:hAnsi="宋体" w:cs="宋体"/>
                <w:sz w:val="24"/>
              </w:rPr>
            </w:pPr>
            <w:r>
              <w:rPr>
                <w:rFonts w:hint="eastAsia" w:ascii="宋体" w:hAnsi="宋体" w:cs="宋体"/>
                <w:sz w:val="24"/>
              </w:rPr>
              <w:t>3.1供应商须具有建设行政主管部门颁发的有效期内的建筑装修装饰工程专业承包二级（含）及以上资质，具有有效的安全生产许可证。</w:t>
            </w:r>
          </w:p>
          <w:p w14:paraId="3517A9A7">
            <w:pPr>
              <w:spacing w:line="360" w:lineRule="auto"/>
              <w:ind w:firstLine="480" w:firstLineChars="200"/>
              <w:rPr>
                <w:rFonts w:hint="eastAsia" w:ascii="宋体" w:hAnsi="宋体" w:cs="宋体"/>
                <w:sz w:val="24"/>
              </w:rPr>
            </w:pPr>
            <w:r>
              <w:rPr>
                <w:rFonts w:hint="eastAsia" w:ascii="宋体" w:hAnsi="宋体" w:cs="宋体"/>
                <w:sz w:val="24"/>
              </w:rPr>
              <w:t>3.2拟派项目经理须具有在本单位注册的建筑工程专业二级及以上注册建造师资格，具备有效的安全生产考核合格证，且未担任其他在施建设工程项目的项目经理；应提供项目经理与响应供应商签订的劳动合同和响应供应商为其缴纳社会保险的证明（2026年1月1日以来任意一个月的社会保险证明）【提供建造师注册证书、安全生产考核合格证书、劳动合同扫描件、社保证明扫描件、无在建承诺函】。</w:t>
            </w:r>
          </w:p>
          <w:p w14:paraId="67D43A57">
            <w:pPr>
              <w:spacing w:line="360" w:lineRule="auto"/>
              <w:ind w:firstLine="480" w:firstLineChars="200"/>
              <w:rPr>
                <w:rFonts w:hint="eastAsia" w:ascii="宋体" w:hAnsi="宋体" w:cs="宋体"/>
                <w:sz w:val="24"/>
              </w:rPr>
            </w:pPr>
            <w:r>
              <w:rPr>
                <w:rFonts w:hint="eastAsia" w:ascii="宋体" w:hAnsi="宋体" w:cs="宋体"/>
                <w:sz w:val="24"/>
              </w:rPr>
              <w:t>4、根据《关于在政府采购活动中查询及使用信用记录有关问题的通知》(财库[2016]125 号)的规定，对列入失信被执行人、重大税收违法失信主体、政府采购严重违法失信行为记录名单的投标人，拒绝参与本项目政府采购活动。查询渠道：失信被执行人通过“信用中国”网站（http://www.creditchina.gov.cn/）“信用服务”→“失信被执行人”→跳转至“中国执行信息公开网（http://zxgk.court.gov.cn/shixin/）”查询，重大税收违法失信主体通过“信用中国”网站（http://www.creditchina.gov.cn/）“信用服务”→“重大税收违法失信主体”查询，政府采购严重违法失信行为通过“中国政府采购网”网站（www.ccgp.gov.cn）中查询“政府采购严重违法失信行为记录名单”查询；</w:t>
            </w:r>
          </w:p>
          <w:p w14:paraId="53CF112B">
            <w:pPr>
              <w:spacing w:line="360" w:lineRule="auto"/>
              <w:ind w:firstLine="480" w:firstLineChars="200"/>
              <w:rPr>
                <w:rFonts w:hint="eastAsia" w:ascii="宋体" w:hAnsi="宋体" w:cs="宋体"/>
                <w:sz w:val="24"/>
              </w:rPr>
            </w:pPr>
            <w:r>
              <w:rPr>
                <w:rFonts w:hint="eastAsia" w:ascii="宋体" w:hAnsi="宋体" w:cs="宋体"/>
                <w:sz w:val="24"/>
              </w:rPr>
              <w:t>5、根据《河南省住房和城乡建设厅关于进一步规范建设工程企业资质管理的通知》(豫建行规(2024)7号)规定，供应商参加本项目所用的资质项在全国或发证机关所在省建筑市场监管公共服务平台网站中，资质状况被标注“资质异常”或“注册人员不足”的，按无效响应处理。（如在发证机关所在省建筑市场监管公共服务平台无本企业信息，视为“未被发证机关所在省建筑市场监管公共服务平台标注为资质异常或注册人员不足”）；供应商须同时提供承诺书(格式自拟)、全国建筑市场监管公共服务平台或发证机关所在省建筑市场监管公共服务平台查询结果；以上查询结果均须显示查询日期，查询日期为公告发布之后至响应文件提交截止时间前。</w:t>
            </w:r>
          </w:p>
          <w:p w14:paraId="49D2783C">
            <w:pPr>
              <w:spacing w:line="360" w:lineRule="auto"/>
              <w:ind w:firstLine="480" w:firstLineChars="200"/>
              <w:rPr>
                <w:rFonts w:hint="eastAsia" w:ascii="宋体" w:hAnsi="宋体" w:cs="宋体"/>
                <w:sz w:val="24"/>
              </w:rPr>
            </w:pPr>
            <w:r>
              <w:rPr>
                <w:rFonts w:hint="eastAsia" w:ascii="宋体" w:hAnsi="宋体" w:cs="宋体"/>
                <w:sz w:val="24"/>
              </w:rPr>
              <w:t>6、单位负责人为同一人或者存在直接控股、管理关系的不同供应商，不得参加同一合同项下的政府采购活动。</w:t>
            </w:r>
          </w:p>
          <w:p w14:paraId="2A5B78EE">
            <w:pPr>
              <w:spacing w:line="360" w:lineRule="auto"/>
              <w:rPr>
                <w:rFonts w:hint="eastAsia" w:ascii="宋体" w:hAnsi="宋体" w:cs="宋体"/>
                <w:b/>
                <w:bCs/>
                <w:sz w:val="24"/>
              </w:rPr>
            </w:pPr>
            <w:r>
              <w:rPr>
                <w:rFonts w:hint="eastAsia" w:ascii="宋体" w:hAnsi="宋体" w:cs="宋体"/>
                <w:b/>
                <w:bCs/>
                <w:sz w:val="24"/>
              </w:rPr>
              <w:t>二、供应商应提交符合以上资格条件要求的证明材料：</w:t>
            </w:r>
          </w:p>
          <w:p w14:paraId="123B01DA">
            <w:pPr>
              <w:spacing w:line="360" w:lineRule="auto"/>
              <w:rPr>
                <w:rFonts w:hint="eastAsia" w:ascii="宋体" w:hAnsi="宋体" w:cs="宋体"/>
                <w:sz w:val="24"/>
              </w:rPr>
            </w:pPr>
            <w:r>
              <w:rPr>
                <w:rFonts w:hint="eastAsia" w:ascii="宋体" w:hAnsi="宋体" w:cs="宋体"/>
                <w:sz w:val="24"/>
              </w:rPr>
              <w:t>1.供应商响应文件中提供法人或者其他组织的营业执照或其他相关证明文件，自然人需提供身份证明。</w:t>
            </w:r>
          </w:p>
          <w:p w14:paraId="7CC2D54B">
            <w:pPr>
              <w:spacing w:line="360" w:lineRule="auto"/>
              <w:rPr>
                <w:rFonts w:hint="eastAsia" w:ascii="宋体" w:hAnsi="宋体" w:cs="宋体"/>
                <w:sz w:val="24"/>
              </w:rPr>
            </w:pPr>
            <w:r>
              <w:rPr>
                <w:rFonts w:hint="eastAsia" w:ascii="宋体" w:hAnsi="宋体" w:cs="宋体"/>
                <w:sz w:val="24"/>
              </w:rPr>
              <w:t>2.供应商响应文件中提供2025年经审计的财务报告扫描件或银行出具有效的资信证明扫描件。</w:t>
            </w:r>
          </w:p>
          <w:p w14:paraId="597D9AED">
            <w:pPr>
              <w:spacing w:line="360" w:lineRule="auto"/>
              <w:rPr>
                <w:rFonts w:hint="eastAsia" w:ascii="宋体" w:hAnsi="宋体" w:cs="宋体"/>
                <w:sz w:val="24"/>
              </w:rPr>
            </w:pPr>
            <w:r>
              <w:rPr>
                <w:rFonts w:hint="eastAsia" w:ascii="宋体" w:hAnsi="宋体" w:cs="宋体"/>
                <w:sz w:val="24"/>
              </w:rPr>
              <w:t>3.供应商响应文件中提供具有履行合同所必需的设备和专业技术能力的证明的承诺函。</w:t>
            </w:r>
          </w:p>
          <w:p w14:paraId="42AD5987">
            <w:pPr>
              <w:spacing w:line="360" w:lineRule="auto"/>
              <w:rPr>
                <w:rFonts w:hint="eastAsia" w:ascii="宋体" w:hAnsi="宋体" w:cs="宋体"/>
                <w:sz w:val="24"/>
              </w:rPr>
            </w:pPr>
            <w:r>
              <w:rPr>
                <w:rFonts w:hint="eastAsia" w:ascii="宋体" w:hAnsi="宋体" w:cs="宋体"/>
                <w:sz w:val="24"/>
              </w:rPr>
              <w:t>4.供应商响应文件中提供自2026年以来任意1个月依法缴纳税收和社会保障资金的相关证明材料扫描件；依法免税或不需要缴纳社会保障资金的供应商应提供相应证明文件的扫描件。</w:t>
            </w:r>
          </w:p>
          <w:p w14:paraId="0F506B4F">
            <w:pPr>
              <w:spacing w:line="360" w:lineRule="auto"/>
              <w:rPr>
                <w:rFonts w:hint="eastAsia" w:ascii="宋体" w:hAnsi="宋体" w:cs="宋体"/>
                <w:sz w:val="24"/>
              </w:rPr>
            </w:pPr>
            <w:r>
              <w:rPr>
                <w:rFonts w:hint="eastAsia" w:ascii="宋体" w:hAnsi="宋体" w:cs="宋体"/>
                <w:sz w:val="24"/>
              </w:rPr>
              <w:t>5.供应商响应文件中提供参加政府采购活动前三年内，在经营活动中没有重大违法记录的声明。</w:t>
            </w:r>
          </w:p>
          <w:p w14:paraId="1B317252">
            <w:pPr>
              <w:spacing w:line="360" w:lineRule="auto"/>
              <w:rPr>
                <w:rFonts w:hint="eastAsia" w:ascii="宋体" w:hAnsi="宋体" w:cs="宋体"/>
                <w:sz w:val="24"/>
              </w:rPr>
            </w:pPr>
            <w:r>
              <w:rPr>
                <w:rFonts w:hint="eastAsia" w:ascii="宋体" w:hAnsi="宋体" w:cs="宋体"/>
                <w:sz w:val="24"/>
              </w:rPr>
              <w:t>6.单位负责人为同一人或者存在直接控股、管理关系的不同供应商，不得参加同一合同项下的政府采购活动。供应商响应文件中提供承诺函。</w:t>
            </w:r>
          </w:p>
          <w:p w14:paraId="52FB653E">
            <w:pPr>
              <w:spacing w:line="360" w:lineRule="auto"/>
              <w:rPr>
                <w:rFonts w:hint="eastAsia" w:ascii="宋体" w:hAnsi="宋体" w:cs="宋体"/>
                <w:sz w:val="24"/>
              </w:rPr>
            </w:pPr>
            <w:r>
              <w:rPr>
                <w:rFonts w:hint="eastAsia" w:ascii="宋体" w:hAnsi="宋体" w:cs="宋体"/>
                <w:sz w:val="24"/>
              </w:rPr>
              <w:t>7.按照《关于在政府采购活动中查询及使用信用记录有关问题的通知》信用查询记录，查询结果均须显示查询日期，查询日期为公告发布之后至响应文件提交截止时间前。</w:t>
            </w:r>
          </w:p>
          <w:p w14:paraId="1167D0DF">
            <w:pPr>
              <w:spacing w:line="360" w:lineRule="auto"/>
              <w:rPr>
                <w:rFonts w:hint="eastAsia" w:ascii="宋体" w:hAnsi="宋体" w:cs="宋体"/>
                <w:sz w:val="24"/>
              </w:rPr>
            </w:pPr>
            <w:r>
              <w:rPr>
                <w:rFonts w:hint="eastAsia" w:ascii="宋体" w:hAnsi="宋体" w:cs="宋体"/>
                <w:sz w:val="24"/>
              </w:rPr>
              <w:t>8.按照《河南省住房和城乡建设厅关于进一步规范建设工程企业资质管理的通知》查询记录，查询结果均须显示查询日期，查询日期为公告发布之后至响应文件提交截止时间前</w:t>
            </w:r>
          </w:p>
          <w:p w14:paraId="56C4AA37">
            <w:pPr>
              <w:spacing w:line="360" w:lineRule="auto"/>
              <w:rPr>
                <w:rFonts w:hint="eastAsia" w:ascii="宋体" w:hAnsi="宋体" w:cs="宋体"/>
                <w:sz w:val="24"/>
              </w:rPr>
            </w:pPr>
            <w:r>
              <w:rPr>
                <w:rFonts w:hint="eastAsia" w:ascii="宋体" w:hAnsi="宋体" w:cs="宋体"/>
                <w:sz w:val="24"/>
              </w:rPr>
              <w:t>9.落实政府采购政策需满足的资格要求：本项目专门面向中小企业（监狱企业、残疾人福利性企业视同中小企业），需提供中小企业声明函或监狱企业声明函或残疾人福利性单位声明函；</w:t>
            </w:r>
          </w:p>
          <w:p w14:paraId="51C2EA74">
            <w:pPr>
              <w:spacing w:line="360" w:lineRule="auto"/>
              <w:rPr>
                <w:rFonts w:hint="eastAsia" w:ascii="宋体" w:hAnsi="宋体" w:cs="宋体"/>
                <w:sz w:val="24"/>
              </w:rPr>
            </w:pPr>
            <w:r>
              <w:rPr>
                <w:rFonts w:hint="eastAsia" w:ascii="宋体" w:hAnsi="宋体" w:cs="宋体"/>
                <w:sz w:val="24"/>
              </w:rPr>
              <w:t>10本项目的特定资格要求：</w:t>
            </w:r>
          </w:p>
          <w:p w14:paraId="3DA94240">
            <w:pPr>
              <w:spacing w:line="360" w:lineRule="auto"/>
              <w:rPr>
                <w:rFonts w:hint="eastAsia" w:ascii="宋体" w:hAnsi="宋体" w:cs="宋体"/>
                <w:sz w:val="24"/>
              </w:rPr>
            </w:pPr>
            <w:r>
              <w:rPr>
                <w:rFonts w:hint="eastAsia" w:ascii="宋体" w:hAnsi="宋体" w:cs="宋体"/>
                <w:sz w:val="24"/>
              </w:rPr>
              <w:t>10.1供应商须提供建筑装修装饰工程专业承包资质证书扫描件，有效的安全生产许可证扫描。</w:t>
            </w:r>
          </w:p>
          <w:p w14:paraId="215F707C">
            <w:pPr>
              <w:wordWrap w:val="0"/>
              <w:spacing w:line="360" w:lineRule="auto"/>
              <w:rPr>
                <w:rFonts w:hint="eastAsia" w:ascii="宋体" w:hAnsi="宋体" w:cs="宋体"/>
                <w:sz w:val="24"/>
              </w:rPr>
            </w:pPr>
            <w:r>
              <w:rPr>
                <w:rFonts w:hint="eastAsia" w:ascii="宋体" w:hAnsi="宋体" w:cs="宋体"/>
                <w:sz w:val="24"/>
              </w:rPr>
              <w:t>10.2提供项目经理建造师注册证书、安全生产考核合格证书、劳动合同扫描件、社保证明扫描件、无在建承诺函。</w:t>
            </w:r>
          </w:p>
        </w:tc>
      </w:tr>
      <w:tr w14:paraId="52BBCE8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58C6650F">
            <w:pPr>
              <w:wordWrap w:val="0"/>
              <w:spacing w:line="360" w:lineRule="auto"/>
              <w:jc w:val="center"/>
              <w:rPr>
                <w:rFonts w:hint="eastAsia" w:ascii="宋体" w:hAnsi="宋体"/>
                <w:sz w:val="24"/>
              </w:rPr>
            </w:pPr>
            <w:r>
              <w:rPr>
                <w:rFonts w:ascii="宋体" w:hAnsi="宋体"/>
                <w:sz w:val="24"/>
              </w:rPr>
              <w:t>1.4.2.5</w:t>
            </w:r>
          </w:p>
        </w:tc>
        <w:tc>
          <w:tcPr>
            <w:tcW w:w="2325" w:type="dxa"/>
            <w:tcMar>
              <w:top w:w="57" w:type="dxa"/>
              <w:left w:w="57" w:type="dxa"/>
              <w:bottom w:w="57" w:type="dxa"/>
              <w:right w:w="57" w:type="dxa"/>
            </w:tcMar>
            <w:vAlign w:val="center"/>
          </w:tcPr>
          <w:p w14:paraId="4E1FD9A6">
            <w:pPr>
              <w:wordWrap w:val="0"/>
              <w:spacing w:line="360" w:lineRule="auto"/>
              <w:jc w:val="center"/>
              <w:rPr>
                <w:rFonts w:hint="eastAsia" w:ascii="宋体" w:hAnsi="宋体"/>
                <w:b/>
                <w:bCs/>
                <w:sz w:val="24"/>
              </w:rPr>
            </w:pPr>
            <w:bookmarkStart w:id="100" w:name="OLE_LINK72"/>
            <w:bookmarkStart w:id="101" w:name="OLE_LINK69"/>
            <w:r>
              <w:rPr>
                <w:rFonts w:hint="eastAsia" w:ascii="宋体" w:hAnsi="宋体"/>
                <w:sz w:val="24"/>
              </w:rPr>
              <w:t>是否接受进口产品</w:t>
            </w:r>
            <w:bookmarkEnd w:id="100"/>
            <w:bookmarkEnd w:id="101"/>
          </w:p>
        </w:tc>
        <w:tc>
          <w:tcPr>
            <w:tcW w:w="6162" w:type="dxa"/>
            <w:tcMar>
              <w:top w:w="57" w:type="dxa"/>
              <w:left w:w="57" w:type="dxa"/>
              <w:bottom w:w="57" w:type="dxa"/>
              <w:right w:w="57" w:type="dxa"/>
            </w:tcMar>
            <w:vAlign w:val="center"/>
          </w:tcPr>
          <w:p w14:paraId="36ED900B">
            <w:pPr>
              <w:wordWrap w:val="0"/>
              <w:spacing w:line="360" w:lineRule="auto"/>
              <w:rPr>
                <w:rFonts w:hint="eastAsia" w:ascii="宋体" w:hAnsi="宋体"/>
                <w:sz w:val="24"/>
              </w:rPr>
            </w:pPr>
            <w:bookmarkStart w:id="102" w:name="OLE_LINK88"/>
            <w:bookmarkStart w:id="103" w:name="OLE_LINK89"/>
            <w:r>
              <w:rPr>
                <w:rFonts w:hint="eastAsia" w:ascii="宋体" w:hAnsi="宋体"/>
                <w:sz w:val="24"/>
              </w:rPr>
              <w:t>不接受</w:t>
            </w:r>
            <w:bookmarkEnd w:id="102"/>
            <w:bookmarkEnd w:id="103"/>
          </w:p>
        </w:tc>
      </w:tr>
      <w:tr w14:paraId="4159C92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09F0389E">
            <w:pPr>
              <w:wordWrap w:val="0"/>
              <w:spacing w:line="360" w:lineRule="auto"/>
              <w:jc w:val="center"/>
              <w:rPr>
                <w:rFonts w:hint="eastAsia" w:ascii="宋体" w:hAnsi="宋体"/>
                <w:sz w:val="24"/>
              </w:rPr>
            </w:pPr>
            <w:r>
              <w:rPr>
                <w:rFonts w:ascii="宋体" w:hAnsi="宋体"/>
                <w:sz w:val="24"/>
              </w:rPr>
              <w:t>1.4.2.6</w:t>
            </w:r>
          </w:p>
        </w:tc>
        <w:tc>
          <w:tcPr>
            <w:tcW w:w="2325" w:type="dxa"/>
            <w:tcMar>
              <w:top w:w="57" w:type="dxa"/>
              <w:left w:w="57" w:type="dxa"/>
              <w:bottom w:w="57" w:type="dxa"/>
              <w:right w:w="57" w:type="dxa"/>
            </w:tcMar>
            <w:vAlign w:val="center"/>
          </w:tcPr>
          <w:p w14:paraId="5FB8B1C1">
            <w:pPr>
              <w:wordWrap w:val="0"/>
              <w:spacing w:line="360" w:lineRule="auto"/>
              <w:jc w:val="center"/>
              <w:rPr>
                <w:rFonts w:hint="eastAsia" w:ascii="宋体" w:hAnsi="宋体"/>
                <w:sz w:val="24"/>
              </w:rPr>
            </w:pPr>
            <w:r>
              <w:rPr>
                <w:rFonts w:hint="eastAsia" w:ascii="宋体" w:hAnsi="宋体"/>
                <w:sz w:val="24"/>
              </w:rPr>
              <w:t>是否为专门面向</w:t>
            </w:r>
            <w:r>
              <w:rPr>
                <w:rFonts w:ascii="宋体" w:hAnsi="宋体"/>
                <w:sz w:val="24"/>
              </w:rPr>
              <w:t>中小企业采购</w:t>
            </w:r>
          </w:p>
        </w:tc>
        <w:tc>
          <w:tcPr>
            <w:tcW w:w="6162" w:type="dxa"/>
            <w:tcMar>
              <w:top w:w="57" w:type="dxa"/>
              <w:left w:w="57" w:type="dxa"/>
              <w:bottom w:w="57" w:type="dxa"/>
              <w:right w:w="57" w:type="dxa"/>
            </w:tcMar>
            <w:vAlign w:val="center"/>
          </w:tcPr>
          <w:p w14:paraId="4B882755">
            <w:pPr>
              <w:wordWrap w:val="0"/>
              <w:spacing w:line="360" w:lineRule="auto"/>
              <w:rPr>
                <w:rFonts w:hint="eastAsia" w:ascii="宋体" w:hAnsi="宋体"/>
                <w:sz w:val="24"/>
              </w:rPr>
            </w:pPr>
            <w:r>
              <w:rPr>
                <w:rFonts w:hint="eastAsia" w:ascii="宋体" w:hAnsi="宋体"/>
                <w:sz w:val="24"/>
              </w:rPr>
              <w:t>是</w:t>
            </w:r>
          </w:p>
        </w:tc>
      </w:tr>
      <w:tr w14:paraId="589AC29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1747" w:hRule="atLeast"/>
          <w:jc w:val="center"/>
        </w:trPr>
        <w:tc>
          <w:tcPr>
            <w:tcW w:w="1147" w:type="dxa"/>
            <w:tcMar>
              <w:top w:w="57" w:type="dxa"/>
              <w:left w:w="57" w:type="dxa"/>
              <w:bottom w:w="57" w:type="dxa"/>
              <w:right w:w="57" w:type="dxa"/>
            </w:tcMar>
            <w:vAlign w:val="center"/>
          </w:tcPr>
          <w:p w14:paraId="2C8614B7">
            <w:pPr>
              <w:wordWrap w:val="0"/>
              <w:spacing w:line="360" w:lineRule="auto"/>
              <w:jc w:val="center"/>
              <w:rPr>
                <w:rFonts w:hint="eastAsia" w:ascii="宋体" w:hAnsi="宋体"/>
                <w:sz w:val="24"/>
              </w:rPr>
            </w:pPr>
            <w:r>
              <w:rPr>
                <w:rFonts w:hint="eastAsia" w:ascii="宋体" w:hAnsi="宋体"/>
                <w:sz w:val="24"/>
              </w:rPr>
              <w:t>1</w:t>
            </w:r>
            <w:r>
              <w:rPr>
                <w:rFonts w:ascii="宋体" w:hAnsi="宋体"/>
                <w:sz w:val="24"/>
              </w:rPr>
              <w:t>.4.2.7</w:t>
            </w:r>
          </w:p>
        </w:tc>
        <w:tc>
          <w:tcPr>
            <w:tcW w:w="2325" w:type="dxa"/>
            <w:tcMar>
              <w:top w:w="57" w:type="dxa"/>
              <w:left w:w="57" w:type="dxa"/>
              <w:bottom w:w="57" w:type="dxa"/>
              <w:right w:w="57" w:type="dxa"/>
            </w:tcMar>
            <w:vAlign w:val="center"/>
          </w:tcPr>
          <w:p w14:paraId="2ED57185">
            <w:pPr>
              <w:wordWrap w:val="0"/>
              <w:spacing w:line="360" w:lineRule="auto"/>
              <w:jc w:val="center"/>
              <w:rPr>
                <w:rFonts w:hint="eastAsia" w:ascii="宋体" w:hAnsi="宋体"/>
                <w:sz w:val="24"/>
              </w:rPr>
            </w:pPr>
            <w:r>
              <w:rPr>
                <w:rFonts w:hint="eastAsia" w:ascii="宋体" w:hAnsi="宋体"/>
                <w:sz w:val="24"/>
              </w:rPr>
              <w:t>政府强制采购产品</w:t>
            </w:r>
          </w:p>
        </w:tc>
        <w:tc>
          <w:tcPr>
            <w:tcW w:w="6162" w:type="dxa"/>
            <w:tcMar>
              <w:top w:w="57" w:type="dxa"/>
              <w:left w:w="57" w:type="dxa"/>
              <w:bottom w:w="57" w:type="dxa"/>
              <w:right w:w="57" w:type="dxa"/>
            </w:tcMar>
            <w:vAlign w:val="center"/>
          </w:tcPr>
          <w:p w14:paraId="4D70C844">
            <w:pPr>
              <w:wordWrap w:val="0"/>
              <w:spacing w:line="360" w:lineRule="auto"/>
              <w:rPr>
                <w:rFonts w:hint="eastAsia" w:ascii="宋体" w:hAnsi="宋体"/>
                <w:sz w:val="24"/>
              </w:rPr>
            </w:pPr>
            <w:r>
              <w:rPr>
                <w:rFonts w:hint="eastAsia" w:ascii="宋体" w:hAnsi="宋体"/>
                <w:sz w:val="24"/>
              </w:rPr>
              <w:t>是否有政府强制采购的节能产品、网络关键设备和网络安全专用产品。</w:t>
            </w:r>
          </w:p>
          <w:p w14:paraId="7ABFC772">
            <w:pPr>
              <w:wordWrap w:val="0"/>
              <w:spacing w:line="360" w:lineRule="auto"/>
              <w:rPr>
                <w:rFonts w:hint="eastAsia" w:ascii="宋体" w:hAnsi="宋体"/>
                <w:sz w:val="24"/>
              </w:rPr>
            </w:pPr>
            <w:r>
              <w:rPr>
                <w:rFonts w:hint="eastAsia" w:ascii="宋体" w:hAnsi="宋体"/>
                <w:sz w:val="24"/>
              </w:rPr>
              <w:sym w:font="Wingdings 2" w:char="0052"/>
            </w:r>
            <w:r>
              <w:rPr>
                <w:rFonts w:hint="eastAsia" w:ascii="宋体" w:hAnsi="宋体"/>
                <w:sz w:val="24"/>
              </w:rPr>
              <w:t>有，具体产品为：大便器、水龙头。</w:t>
            </w:r>
          </w:p>
          <w:p w14:paraId="2A534C16">
            <w:pPr>
              <w:wordWrap w:val="0"/>
              <w:spacing w:line="360" w:lineRule="auto"/>
            </w:pPr>
            <w:r>
              <w:rPr>
                <w:rFonts w:hint="eastAsia" w:ascii="宋体" w:hAnsi="宋体"/>
                <w:sz w:val="24"/>
              </w:rPr>
              <w:t>备注：政府强制采购节能产品包括：计算机设备、激光打印机、针式打印机、液晶显示器、制冷压缩机、空调机组、专用制冷、空调设备、镇流器、空调机、电热水器、普通照明用双端荧光灯、电视设备、视频设备、便器（坐便器、蹲便器、小便器）、水嘴等。供应商拟提供产品中如含有以上货物的，必须提供国家确定的认证机构出具的、处于有效期之内的节能产品认证证书，否则响应文件将被否决。</w:t>
            </w:r>
          </w:p>
        </w:tc>
      </w:tr>
      <w:tr w14:paraId="1A11AA4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442798C2">
            <w:pPr>
              <w:wordWrap w:val="0"/>
              <w:spacing w:line="360" w:lineRule="auto"/>
              <w:jc w:val="center"/>
              <w:rPr>
                <w:rFonts w:hint="eastAsia" w:ascii="宋体" w:hAnsi="宋体"/>
                <w:sz w:val="24"/>
              </w:rPr>
            </w:pPr>
            <w:r>
              <w:rPr>
                <w:rFonts w:hint="eastAsia" w:ascii="宋体" w:hAnsi="宋体"/>
                <w:sz w:val="24"/>
              </w:rPr>
              <w:t>1.</w:t>
            </w:r>
            <w:r>
              <w:rPr>
                <w:rFonts w:ascii="宋体" w:hAnsi="宋体"/>
                <w:sz w:val="24"/>
              </w:rPr>
              <w:t>4.3</w:t>
            </w:r>
          </w:p>
        </w:tc>
        <w:tc>
          <w:tcPr>
            <w:tcW w:w="2325" w:type="dxa"/>
            <w:tcMar>
              <w:top w:w="57" w:type="dxa"/>
              <w:left w:w="57" w:type="dxa"/>
              <w:bottom w:w="57" w:type="dxa"/>
              <w:right w:w="57" w:type="dxa"/>
            </w:tcMar>
            <w:vAlign w:val="center"/>
          </w:tcPr>
          <w:p w14:paraId="3E1C2105">
            <w:pPr>
              <w:wordWrap w:val="0"/>
              <w:spacing w:line="360" w:lineRule="auto"/>
              <w:jc w:val="center"/>
              <w:rPr>
                <w:rFonts w:hint="eastAsia" w:ascii="宋体" w:hAnsi="宋体"/>
                <w:sz w:val="24"/>
              </w:rPr>
            </w:pPr>
            <w:r>
              <w:rPr>
                <w:rFonts w:hint="eastAsia" w:ascii="宋体" w:hAnsi="宋体"/>
                <w:sz w:val="24"/>
              </w:rPr>
              <w:t>是否允许联合体提交响应文件</w:t>
            </w:r>
          </w:p>
        </w:tc>
        <w:tc>
          <w:tcPr>
            <w:tcW w:w="6162" w:type="dxa"/>
            <w:tcMar>
              <w:top w:w="57" w:type="dxa"/>
              <w:left w:w="57" w:type="dxa"/>
              <w:bottom w:w="57" w:type="dxa"/>
              <w:right w:w="57" w:type="dxa"/>
            </w:tcMar>
            <w:vAlign w:val="center"/>
          </w:tcPr>
          <w:p w14:paraId="582B8EC9">
            <w:pPr>
              <w:wordWrap w:val="0"/>
              <w:spacing w:line="360" w:lineRule="auto"/>
              <w:rPr>
                <w:rFonts w:hint="eastAsia" w:ascii="宋体" w:hAnsi="宋体"/>
                <w:sz w:val="24"/>
              </w:rPr>
            </w:pPr>
            <w:r>
              <w:rPr>
                <w:rFonts w:hint="eastAsia" w:ascii="宋体" w:hAnsi="宋体" w:cs="仿宋_GB2312"/>
                <w:sz w:val="24"/>
              </w:rPr>
              <w:t>否</w:t>
            </w:r>
          </w:p>
        </w:tc>
      </w:tr>
      <w:tr w14:paraId="5C985D5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32BE7043">
            <w:pPr>
              <w:wordWrap w:val="0"/>
              <w:spacing w:line="360" w:lineRule="auto"/>
              <w:jc w:val="center"/>
              <w:rPr>
                <w:rFonts w:hint="eastAsia" w:ascii="宋体" w:hAnsi="宋体"/>
                <w:sz w:val="24"/>
              </w:rPr>
            </w:pPr>
            <w:r>
              <w:rPr>
                <w:rFonts w:hint="eastAsia" w:ascii="宋体" w:hAnsi="宋体"/>
                <w:sz w:val="24"/>
              </w:rPr>
              <w:t>2</w:t>
            </w:r>
            <w:r>
              <w:rPr>
                <w:rFonts w:ascii="宋体" w:hAnsi="宋体"/>
                <w:sz w:val="24"/>
              </w:rPr>
              <w:t>.3</w:t>
            </w:r>
          </w:p>
        </w:tc>
        <w:tc>
          <w:tcPr>
            <w:tcW w:w="2325" w:type="dxa"/>
            <w:tcMar>
              <w:top w:w="57" w:type="dxa"/>
              <w:left w:w="57" w:type="dxa"/>
              <w:bottom w:w="57" w:type="dxa"/>
              <w:right w:w="57" w:type="dxa"/>
            </w:tcMar>
            <w:vAlign w:val="center"/>
          </w:tcPr>
          <w:p w14:paraId="4EE58797">
            <w:pPr>
              <w:wordWrap w:val="0"/>
              <w:spacing w:line="360" w:lineRule="auto"/>
              <w:jc w:val="center"/>
              <w:rPr>
                <w:rFonts w:hint="eastAsia" w:ascii="宋体" w:hAnsi="宋体"/>
                <w:sz w:val="24"/>
              </w:rPr>
            </w:pPr>
            <w:r>
              <w:rPr>
                <w:rFonts w:hint="eastAsia" w:ascii="宋体" w:hAnsi="宋体" w:cs="宋体"/>
                <w:spacing w:val="8"/>
                <w:kern w:val="0"/>
                <w:sz w:val="24"/>
              </w:rPr>
              <w:t>是否执行对本国产品报价扣除政策</w:t>
            </w:r>
          </w:p>
        </w:tc>
        <w:tc>
          <w:tcPr>
            <w:tcW w:w="6162" w:type="dxa"/>
            <w:tcMar>
              <w:top w:w="57" w:type="dxa"/>
              <w:left w:w="57" w:type="dxa"/>
              <w:bottom w:w="57" w:type="dxa"/>
              <w:right w:w="57" w:type="dxa"/>
            </w:tcMar>
            <w:vAlign w:val="center"/>
          </w:tcPr>
          <w:p w14:paraId="568F901C">
            <w:pPr>
              <w:widowControl/>
              <w:shd w:val="clear" w:color="auto" w:fill="FFFFFF"/>
              <w:wordWrap w:val="0"/>
              <w:adjustRightInd w:val="0"/>
              <w:snapToGrid w:val="0"/>
              <w:spacing w:line="360" w:lineRule="auto"/>
            </w:pPr>
            <w:r>
              <w:rPr>
                <w:rFonts w:hint="eastAsia" w:ascii="宋体" w:hAnsi="宋体" w:cs="宋体"/>
                <w:spacing w:val="8"/>
                <w:kern w:val="0"/>
                <w:sz w:val="24"/>
              </w:rPr>
              <w:t>否</w:t>
            </w:r>
          </w:p>
        </w:tc>
      </w:tr>
      <w:tr w14:paraId="5554016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5C426E6F">
            <w:pPr>
              <w:wordWrap w:val="0"/>
              <w:spacing w:line="360" w:lineRule="auto"/>
              <w:jc w:val="center"/>
              <w:rPr>
                <w:rFonts w:hint="eastAsia" w:ascii="宋体" w:hAnsi="宋体"/>
                <w:sz w:val="24"/>
              </w:rPr>
            </w:pPr>
            <w:r>
              <w:rPr>
                <w:rFonts w:ascii="宋体" w:hAnsi="宋体"/>
                <w:sz w:val="24"/>
              </w:rPr>
              <w:t>1.7.</w:t>
            </w:r>
            <w:r>
              <w:rPr>
                <w:rFonts w:hint="eastAsia" w:ascii="宋体" w:hAnsi="宋体"/>
                <w:sz w:val="24"/>
              </w:rPr>
              <w:t>1</w:t>
            </w:r>
          </w:p>
        </w:tc>
        <w:tc>
          <w:tcPr>
            <w:tcW w:w="2325" w:type="dxa"/>
            <w:tcMar>
              <w:top w:w="57" w:type="dxa"/>
              <w:left w:w="57" w:type="dxa"/>
              <w:bottom w:w="57" w:type="dxa"/>
              <w:right w:w="57" w:type="dxa"/>
            </w:tcMar>
            <w:vAlign w:val="center"/>
          </w:tcPr>
          <w:p w14:paraId="7B937442">
            <w:pPr>
              <w:wordWrap w:val="0"/>
              <w:spacing w:line="360" w:lineRule="auto"/>
              <w:jc w:val="center"/>
              <w:rPr>
                <w:rFonts w:hint="eastAsia" w:ascii="宋体" w:hAnsi="宋体"/>
                <w:sz w:val="24"/>
              </w:rPr>
            </w:pPr>
            <w:r>
              <w:rPr>
                <w:rFonts w:hint="eastAsia" w:ascii="宋体" w:hAnsi="宋体"/>
                <w:sz w:val="24"/>
              </w:rPr>
              <w:t>踏勘现场</w:t>
            </w:r>
          </w:p>
        </w:tc>
        <w:tc>
          <w:tcPr>
            <w:tcW w:w="6162" w:type="dxa"/>
            <w:tcMar>
              <w:top w:w="57" w:type="dxa"/>
              <w:left w:w="57" w:type="dxa"/>
              <w:bottom w:w="57" w:type="dxa"/>
              <w:right w:w="57" w:type="dxa"/>
            </w:tcMar>
            <w:vAlign w:val="center"/>
          </w:tcPr>
          <w:p w14:paraId="62E0034F">
            <w:pPr>
              <w:wordWrap w:val="0"/>
              <w:spacing w:line="360" w:lineRule="auto"/>
              <w:jc w:val="left"/>
              <w:rPr>
                <w:rFonts w:hint="eastAsia" w:ascii="宋体" w:hAnsi="宋体" w:cs="宋体"/>
                <w:spacing w:val="8"/>
                <w:kern w:val="0"/>
                <w:sz w:val="24"/>
              </w:rPr>
            </w:pPr>
            <w:r>
              <w:rPr>
                <w:rFonts w:hint="eastAsia" w:ascii="宋体" w:hAnsi="宋体" w:cs="宋体"/>
                <w:spacing w:val="8"/>
                <w:kern w:val="0"/>
                <w:sz w:val="24"/>
              </w:rPr>
              <w:t>踏勘现场：</w:t>
            </w:r>
          </w:p>
          <w:p w14:paraId="46EBC6F0">
            <w:pPr>
              <w:wordWrap w:val="0"/>
              <w:spacing w:line="360" w:lineRule="auto"/>
              <w:jc w:val="left"/>
              <w:rPr>
                <w:rFonts w:hint="eastAsia" w:ascii="宋体" w:hAnsi="宋体" w:cs="宋体"/>
                <w:spacing w:val="8"/>
                <w:kern w:val="0"/>
                <w:sz w:val="24"/>
              </w:rPr>
            </w:pPr>
            <w:r>
              <w:rPr>
                <w:rFonts w:hint="eastAsia" w:ascii="宋体" w:hAnsi="宋体" w:cs="宋体"/>
                <w:spacing w:val="8"/>
                <w:kern w:val="0"/>
                <w:sz w:val="24"/>
              </w:rPr>
              <w:t>☑组织，统一踏勘时间：2026年10月21日下午15点00分。踏勘现场所发生的费用由供应商自己承担。</w:t>
            </w:r>
          </w:p>
          <w:p w14:paraId="5E3BCBD6">
            <w:pPr>
              <w:wordWrap w:val="0"/>
              <w:spacing w:line="360" w:lineRule="auto"/>
              <w:jc w:val="left"/>
              <w:rPr>
                <w:rFonts w:hint="eastAsia" w:ascii="宋体" w:hAnsi="宋体" w:cs="宋体"/>
                <w:spacing w:val="8"/>
                <w:kern w:val="0"/>
                <w:sz w:val="24"/>
              </w:rPr>
            </w:pPr>
            <w:r>
              <w:rPr>
                <w:rFonts w:hint="eastAsia" w:ascii="宋体" w:hAnsi="宋体" w:cs="宋体"/>
                <w:spacing w:val="8"/>
                <w:kern w:val="0"/>
                <w:sz w:val="24"/>
              </w:rPr>
              <w:t>踏勘集中地点：河南省郑州市金水区郑花路29号</w:t>
            </w:r>
          </w:p>
          <w:p w14:paraId="3707CB1A">
            <w:pPr>
              <w:wordWrap w:val="0"/>
              <w:spacing w:line="360" w:lineRule="auto"/>
              <w:jc w:val="left"/>
              <w:rPr>
                <w:rFonts w:hint="eastAsia" w:ascii="宋体" w:hAnsi="宋体" w:cs="宋体"/>
                <w:spacing w:val="8"/>
                <w:kern w:val="0"/>
                <w:sz w:val="24"/>
              </w:rPr>
            </w:pPr>
            <w:r>
              <w:rPr>
                <w:rFonts w:hint="eastAsia" w:ascii="宋体" w:hAnsi="宋体" w:cs="宋体"/>
                <w:spacing w:val="8"/>
                <w:kern w:val="0"/>
                <w:sz w:val="24"/>
              </w:rPr>
              <w:t>联系人：李宝峰</w:t>
            </w:r>
          </w:p>
          <w:p w14:paraId="41076FAC">
            <w:pPr>
              <w:wordWrap w:val="0"/>
              <w:spacing w:line="360" w:lineRule="auto"/>
              <w:jc w:val="left"/>
              <w:rPr>
                <w:rFonts w:hint="eastAsia" w:ascii="宋体" w:hAnsi="宋体"/>
                <w:sz w:val="24"/>
              </w:rPr>
            </w:pPr>
            <w:r>
              <w:rPr>
                <w:rFonts w:hint="eastAsia" w:ascii="宋体" w:hAnsi="宋体" w:cs="宋体"/>
                <w:spacing w:val="8"/>
                <w:kern w:val="0"/>
                <w:sz w:val="24"/>
              </w:rPr>
              <w:t>联系方式：0371-65648876</w:t>
            </w:r>
          </w:p>
        </w:tc>
      </w:tr>
      <w:tr w14:paraId="4AC283D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12C6F084">
            <w:pPr>
              <w:wordWrap w:val="0"/>
              <w:spacing w:line="360" w:lineRule="auto"/>
              <w:jc w:val="center"/>
              <w:rPr>
                <w:rFonts w:hint="eastAsia" w:ascii="宋体" w:hAnsi="宋体"/>
                <w:sz w:val="24"/>
              </w:rPr>
            </w:pPr>
            <w:r>
              <w:rPr>
                <w:rFonts w:ascii="宋体" w:hAnsi="宋体"/>
                <w:sz w:val="24"/>
              </w:rPr>
              <w:t>3.2.1</w:t>
            </w:r>
          </w:p>
        </w:tc>
        <w:tc>
          <w:tcPr>
            <w:tcW w:w="2325" w:type="dxa"/>
            <w:tcMar>
              <w:top w:w="57" w:type="dxa"/>
              <w:left w:w="57" w:type="dxa"/>
              <w:bottom w:w="57" w:type="dxa"/>
              <w:right w:w="57" w:type="dxa"/>
            </w:tcMar>
            <w:vAlign w:val="center"/>
          </w:tcPr>
          <w:p w14:paraId="7505A37C">
            <w:pPr>
              <w:wordWrap w:val="0"/>
              <w:spacing w:line="360" w:lineRule="auto"/>
              <w:jc w:val="center"/>
              <w:rPr>
                <w:rFonts w:hint="eastAsia" w:ascii="宋体" w:hAnsi="宋体" w:cs="宋体"/>
                <w:sz w:val="24"/>
              </w:rPr>
            </w:pPr>
            <w:r>
              <w:rPr>
                <w:rFonts w:hint="eastAsia" w:ascii="宋体" w:hAnsi="宋体" w:cs="宋体"/>
                <w:sz w:val="24"/>
              </w:rPr>
              <w:t>供应商提出质疑的截止时间</w:t>
            </w:r>
          </w:p>
        </w:tc>
        <w:tc>
          <w:tcPr>
            <w:tcW w:w="6162" w:type="dxa"/>
            <w:tcMar>
              <w:top w:w="57" w:type="dxa"/>
              <w:left w:w="57" w:type="dxa"/>
              <w:bottom w:w="57" w:type="dxa"/>
              <w:right w:w="57" w:type="dxa"/>
            </w:tcMar>
            <w:vAlign w:val="center"/>
          </w:tcPr>
          <w:p w14:paraId="745DBA57">
            <w:pPr>
              <w:wordWrap w:val="0"/>
              <w:spacing w:line="360" w:lineRule="auto"/>
              <w:rPr>
                <w:rFonts w:hint="eastAsia" w:ascii="宋体" w:hAnsi="宋体" w:cs="仿宋"/>
                <w:sz w:val="24"/>
              </w:rPr>
            </w:pPr>
            <w:r>
              <w:rPr>
                <w:rFonts w:hint="eastAsia" w:ascii="宋体" w:hAnsi="宋体" w:cs="宋体"/>
                <w:sz w:val="24"/>
              </w:rPr>
              <w:t>获取竞争性磋商文件之日或者竞争性磋商文件公告期限届满之日起七个工作日内提出，同时电话通知采购人或代理机构。</w:t>
            </w:r>
          </w:p>
        </w:tc>
      </w:tr>
      <w:tr w14:paraId="7984E5D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23484F55">
            <w:pPr>
              <w:wordWrap w:val="0"/>
              <w:spacing w:line="360" w:lineRule="auto"/>
              <w:jc w:val="center"/>
              <w:rPr>
                <w:rFonts w:hint="eastAsia" w:ascii="宋体" w:hAnsi="宋体"/>
                <w:sz w:val="24"/>
              </w:rPr>
            </w:pPr>
            <w:r>
              <w:rPr>
                <w:rFonts w:ascii="宋体" w:hAnsi="宋体"/>
                <w:sz w:val="24"/>
              </w:rPr>
              <w:t>3.2.3</w:t>
            </w:r>
          </w:p>
        </w:tc>
        <w:tc>
          <w:tcPr>
            <w:tcW w:w="2325" w:type="dxa"/>
            <w:tcMar>
              <w:top w:w="57" w:type="dxa"/>
              <w:left w:w="57" w:type="dxa"/>
              <w:bottom w:w="57" w:type="dxa"/>
              <w:right w:w="57" w:type="dxa"/>
            </w:tcMar>
            <w:vAlign w:val="center"/>
          </w:tcPr>
          <w:p w14:paraId="28183843">
            <w:pPr>
              <w:wordWrap w:val="0"/>
              <w:spacing w:line="360" w:lineRule="auto"/>
              <w:jc w:val="center"/>
              <w:rPr>
                <w:rFonts w:hint="eastAsia" w:ascii="宋体" w:hAnsi="宋体" w:cs="仿宋"/>
                <w:sz w:val="24"/>
              </w:rPr>
            </w:pPr>
            <w:r>
              <w:rPr>
                <w:rFonts w:hint="eastAsia" w:ascii="宋体" w:hAnsi="宋体" w:cs="仿宋"/>
                <w:sz w:val="24"/>
              </w:rPr>
              <w:t>竞争性磋商文件的澄清更正或修改</w:t>
            </w:r>
          </w:p>
        </w:tc>
        <w:tc>
          <w:tcPr>
            <w:tcW w:w="6162" w:type="dxa"/>
            <w:tcMar>
              <w:top w:w="57" w:type="dxa"/>
              <w:left w:w="57" w:type="dxa"/>
              <w:bottom w:w="57" w:type="dxa"/>
              <w:right w:w="57" w:type="dxa"/>
            </w:tcMar>
            <w:vAlign w:val="center"/>
          </w:tcPr>
          <w:p w14:paraId="443327A6">
            <w:pPr>
              <w:wordWrap w:val="0"/>
              <w:spacing w:line="360" w:lineRule="auto"/>
              <w:rPr>
                <w:rFonts w:hint="eastAsia" w:ascii="宋体" w:hAnsi="宋体" w:cs="仿宋"/>
                <w:sz w:val="24"/>
              </w:rPr>
            </w:pPr>
            <w:r>
              <w:rPr>
                <w:rFonts w:hint="eastAsia" w:ascii="宋体" w:hAnsi="宋体" w:cs="仿宋"/>
                <w:sz w:val="24"/>
              </w:rPr>
              <w:t>发布时间：</w:t>
            </w:r>
            <w:r>
              <w:rPr>
                <w:rFonts w:hint="eastAsia" w:ascii="宋体" w:hAnsi="宋体"/>
                <w:bCs/>
                <w:sz w:val="24"/>
              </w:rPr>
              <w:t>澄清或修改的内容可能影响响应文件编制的，采购人或者采购代理机构应当在提交响应文件截止时间至少5日前发出，不足5日的，采购人或者采购代理机构应当顺延提交响应文件截止时间。</w:t>
            </w:r>
          </w:p>
        </w:tc>
      </w:tr>
      <w:tr w14:paraId="2716211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7A716CF2">
            <w:pPr>
              <w:wordWrap w:val="0"/>
              <w:jc w:val="center"/>
              <w:rPr>
                <w:rFonts w:hint="eastAsia" w:ascii="宋体" w:hAnsi="宋体"/>
                <w:sz w:val="24"/>
              </w:rPr>
            </w:pPr>
            <w:r>
              <w:rPr>
                <w:rFonts w:ascii="宋体" w:hAnsi="宋体"/>
                <w:sz w:val="24"/>
              </w:rPr>
              <w:t>4.4</w:t>
            </w:r>
          </w:p>
        </w:tc>
        <w:tc>
          <w:tcPr>
            <w:tcW w:w="2325" w:type="dxa"/>
            <w:tcMar>
              <w:top w:w="57" w:type="dxa"/>
              <w:left w:w="57" w:type="dxa"/>
              <w:bottom w:w="57" w:type="dxa"/>
              <w:right w:w="57" w:type="dxa"/>
            </w:tcMar>
            <w:vAlign w:val="center"/>
          </w:tcPr>
          <w:p w14:paraId="6C6D8103">
            <w:pPr>
              <w:wordWrap w:val="0"/>
              <w:jc w:val="center"/>
              <w:rPr>
                <w:rFonts w:hint="eastAsia" w:ascii="宋体" w:hAnsi="宋体"/>
                <w:sz w:val="24"/>
              </w:rPr>
            </w:pPr>
            <w:r>
              <w:rPr>
                <w:rFonts w:hint="eastAsia" w:ascii="宋体" w:hAnsi="宋体"/>
                <w:sz w:val="24"/>
              </w:rPr>
              <w:t>提交响应文件报价</w:t>
            </w:r>
          </w:p>
        </w:tc>
        <w:tc>
          <w:tcPr>
            <w:tcW w:w="6162" w:type="dxa"/>
            <w:tcMar>
              <w:top w:w="57" w:type="dxa"/>
              <w:left w:w="57" w:type="dxa"/>
              <w:bottom w:w="57" w:type="dxa"/>
              <w:right w:w="57" w:type="dxa"/>
            </w:tcMar>
            <w:vAlign w:val="center"/>
          </w:tcPr>
          <w:p w14:paraId="3FFB4F18">
            <w:pPr>
              <w:wordWrap w:val="0"/>
              <w:rPr>
                <w:rFonts w:hint="eastAsia" w:ascii="宋体" w:hAnsi="宋体"/>
                <w:sz w:val="24"/>
              </w:rPr>
            </w:pPr>
            <w:r>
              <w:rPr>
                <w:rFonts w:hint="eastAsia" w:ascii="宋体" w:hAnsi="宋体"/>
                <w:sz w:val="24"/>
              </w:rPr>
              <w:t>供应商应按竞争性磋商文件中的相关要求进行报价。</w:t>
            </w:r>
          </w:p>
        </w:tc>
      </w:tr>
      <w:tr w14:paraId="4633074E">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16FF3862">
            <w:pPr>
              <w:wordWrap w:val="0"/>
              <w:jc w:val="center"/>
              <w:rPr>
                <w:rFonts w:hint="eastAsia" w:ascii="宋体" w:hAnsi="宋体"/>
                <w:sz w:val="24"/>
              </w:rPr>
            </w:pPr>
            <w:r>
              <w:rPr>
                <w:rFonts w:ascii="宋体" w:hAnsi="宋体"/>
                <w:sz w:val="24"/>
              </w:rPr>
              <w:t>4.6.1</w:t>
            </w:r>
          </w:p>
        </w:tc>
        <w:tc>
          <w:tcPr>
            <w:tcW w:w="2325" w:type="dxa"/>
            <w:tcMar>
              <w:top w:w="57" w:type="dxa"/>
              <w:left w:w="57" w:type="dxa"/>
              <w:bottom w:w="57" w:type="dxa"/>
              <w:right w:w="57" w:type="dxa"/>
            </w:tcMar>
            <w:vAlign w:val="center"/>
          </w:tcPr>
          <w:p w14:paraId="5822CBB6">
            <w:pPr>
              <w:wordWrap w:val="0"/>
              <w:jc w:val="center"/>
              <w:rPr>
                <w:rFonts w:hint="eastAsia" w:ascii="宋体" w:hAnsi="宋体"/>
                <w:sz w:val="24"/>
              </w:rPr>
            </w:pPr>
            <w:r>
              <w:rPr>
                <w:rFonts w:hint="eastAsia" w:ascii="宋体" w:hAnsi="宋体"/>
                <w:sz w:val="24"/>
              </w:rPr>
              <w:t>提交响应文件保证金</w:t>
            </w:r>
          </w:p>
        </w:tc>
        <w:tc>
          <w:tcPr>
            <w:tcW w:w="6162" w:type="dxa"/>
            <w:tcMar>
              <w:top w:w="57" w:type="dxa"/>
              <w:left w:w="57" w:type="dxa"/>
              <w:bottom w:w="57" w:type="dxa"/>
              <w:right w:w="57" w:type="dxa"/>
            </w:tcMar>
            <w:vAlign w:val="center"/>
          </w:tcPr>
          <w:p w14:paraId="49EDE33A">
            <w:pPr>
              <w:wordWrap w:val="0"/>
              <w:rPr>
                <w:rFonts w:hint="eastAsia" w:ascii="宋体" w:hAnsi="宋体"/>
                <w:sz w:val="24"/>
              </w:rPr>
            </w:pPr>
            <w:r>
              <w:rPr>
                <w:rFonts w:hint="eastAsia" w:ascii="宋体" w:hAnsi="宋体"/>
                <w:sz w:val="24"/>
              </w:rPr>
              <w:t>本项目不收取提交响应文件保证金。</w:t>
            </w:r>
          </w:p>
        </w:tc>
      </w:tr>
      <w:tr w14:paraId="5C9A2F7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2EAC1002">
            <w:pPr>
              <w:wordWrap w:val="0"/>
              <w:jc w:val="center"/>
              <w:rPr>
                <w:rFonts w:hint="eastAsia" w:ascii="宋体" w:hAnsi="宋体"/>
                <w:sz w:val="24"/>
              </w:rPr>
            </w:pPr>
            <w:r>
              <w:rPr>
                <w:rFonts w:ascii="宋体" w:hAnsi="宋体"/>
                <w:sz w:val="24"/>
              </w:rPr>
              <w:t>4.7.1</w:t>
            </w:r>
          </w:p>
        </w:tc>
        <w:tc>
          <w:tcPr>
            <w:tcW w:w="2325" w:type="dxa"/>
            <w:tcMar>
              <w:top w:w="57" w:type="dxa"/>
              <w:left w:w="57" w:type="dxa"/>
              <w:bottom w:w="57" w:type="dxa"/>
              <w:right w:w="57" w:type="dxa"/>
            </w:tcMar>
            <w:vAlign w:val="center"/>
          </w:tcPr>
          <w:p w14:paraId="19EED9F2">
            <w:pPr>
              <w:wordWrap w:val="0"/>
              <w:jc w:val="center"/>
              <w:rPr>
                <w:rFonts w:hint="eastAsia" w:ascii="宋体" w:hAnsi="宋体"/>
                <w:sz w:val="24"/>
              </w:rPr>
            </w:pPr>
            <w:r>
              <w:rPr>
                <w:rFonts w:hint="eastAsia" w:ascii="宋体" w:hAnsi="宋体"/>
                <w:sz w:val="24"/>
              </w:rPr>
              <w:t>提交响应文件有效期</w:t>
            </w:r>
          </w:p>
        </w:tc>
        <w:tc>
          <w:tcPr>
            <w:tcW w:w="6162" w:type="dxa"/>
            <w:tcMar>
              <w:top w:w="57" w:type="dxa"/>
              <w:left w:w="57" w:type="dxa"/>
              <w:bottom w:w="57" w:type="dxa"/>
              <w:right w:w="57" w:type="dxa"/>
            </w:tcMar>
            <w:vAlign w:val="center"/>
          </w:tcPr>
          <w:p w14:paraId="7B2BDBBF">
            <w:pPr>
              <w:wordWrap w:val="0"/>
              <w:rPr>
                <w:rFonts w:hint="eastAsia" w:ascii="宋体" w:hAnsi="宋体"/>
                <w:sz w:val="24"/>
                <w:u w:val="single"/>
              </w:rPr>
            </w:pPr>
            <w:r>
              <w:rPr>
                <w:rFonts w:hint="eastAsia" w:ascii="宋体" w:hAnsi="宋体"/>
                <w:sz w:val="24"/>
              </w:rPr>
              <w:t>提交响应文件截止之日起</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90  </w:t>
            </w:r>
            <w:r>
              <w:rPr>
                <w:rFonts w:hint="eastAsia" w:ascii="宋体" w:hAnsi="宋体"/>
                <w:sz w:val="24"/>
              </w:rPr>
              <w:t>日历日。</w:t>
            </w:r>
          </w:p>
        </w:tc>
      </w:tr>
      <w:tr w14:paraId="4705BFD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221CA70D">
            <w:pPr>
              <w:wordWrap w:val="0"/>
              <w:jc w:val="center"/>
              <w:rPr>
                <w:rFonts w:hint="eastAsia" w:ascii="宋体" w:hAnsi="宋体"/>
                <w:sz w:val="24"/>
              </w:rPr>
            </w:pPr>
            <w:r>
              <w:rPr>
                <w:rFonts w:hint="eastAsia" w:ascii="宋体" w:hAnsi="宋体"/>
                <w:sz w:val="24"/>
              </w:rPr>
              <w:t>5.1.1</w:t>
            </w:r>
          </w:p>
        </w:tc>
        <w:tc>
          <w:tcPr>
            <w:tcW w:w="2325" w:type="dxa"/>
            <w:tcMar>
              <w:top w:w="57" w:type="dxa"/>
              <w:left w:w="57" w:type="dxa"/>
              <w:bottom w:w="57" w:type="dxa"/>
              <w:right w:w="57" w:type="dxa"/>
            </w:tcMar>
            <w:vAlign w:val="center"/>
          </w:tcPr>
          <w:p w14:paraId="404172FE">
            <w:pPr>
              <w:wordWrap w:val="0"/>
              <w:jc w:val="center"/>
              <w:rPr>
                <w:rFonts w:hint="eastAsia" w:ascii="宋体" w:hAnsi="宋体"/>
                <w:sz w:val="24"/>
              </w:rPr>
            </w:pPr>
            <w:r>
              <w:rPr>
                <w:rFonts w:hint="eastAsia" w:ascii="宋体" w:hAnsi="宋体"/>
                <w:sz w:val="24"/>
              </w:rPr>
              <w:t>文件的密封和标记</w:t>
            </w:r>
          </w:p>
        </w:tc>
        <w:tc>
          <w:tcPr>
            <w:tcW w:w="6162" w:type="dxa"/>
            <w:tcMar>
              <w:top w:w="57" w:type="dxa"/>
              <w:left w:w="57" w:type="dxa"/>
              <w:bottom w:w="57" w:type="dxa"/>
              <w:right w:w="57" w:type="dxa"/>
            </w:tcMar>
            <w:vAlign w:val="center"/>
          </w:tcPr>
          <w:p w14:paraId="29E548E0">
            <w:pPr>
              <w:wordWrap w:val="0"/>
              <w:spacing w:line="360" w:lineRule="auto"/>
              <w:rPr>
                <w:rFonts w:hint="eastAsia" w:ascii="宋体" w:hAnsi="宋体" w:cs="仿宋"/>
                <w:sz w:val="24"/>
              </w:rPr>
            </w:pPr>
            <w:r>
              <w:rPr>
                <w:rFonts w:hint="eastAsia" w:ascii="宋体" w:hAnsi="宋体" w:cs="仿宋"/>
                <w:sz w:val="24"/>
              </w:rPr>
              <w:t>1.密封要求：文件的正本、副本、电子版应用不透明的纸密封包装，并在封套的封口处加盖供应商单位公章。</w:t>
            </w:r>
          </w:p>
          <w:p w14:paraId="5C29819B">
            <w:pPr>
              <w:wordWrap w:val="0"/>
              <w:spacing w:line="360" w:lineRule="auto"/>
              <w:rPr>
                <w:rFonts w:hint="eastAsia" w:ascii="宋体" w:hAnsi="宋体" w:cs="仿宋"/>
                <w:sz w:val="24"/>
              </w:rPr>
            </w:pPr>
            <w:r>
              <w:rPr>
                <w:rFonts w:hint="eastAsia" w:ascii="宋体" w:hAnsi="宋体" w:cs="仿宋"/>
                <w:sz w:val="24"/>
              </w:rPr>
              <w:t>2.封套上应写明的内容如下：</w:t>
            </w:r>
          </w:p>
          <w:p w14:paraId="3F5DF50B">
            <w:pPr>
              <w:wordWrap w:val="0"/>
              <w:spacing w:line="360" w:lineRule="auto"/>
              <w:rPr>
                <w:rFonts w:hint="eastAsia" w:ascii="宋体" w:hAnsi="宋体" w:cs="仿宋"/>
                <w:sz w:val="24"/>
              </w:rPr>
            </w:pPr>
            <w:r>
              <w:rPr>
                <w:rFonts w:hint="eastAsia" w:ascii="宋体" w:hAnsi="宋体" w:cs="仿宋"/>
                <w:sz w:val="24"/>
              </w:rPr>
              <w:t>采购人名称：（填写采购人名称）</w:t>
            </w:r>
          </w:p>
          <w:p w14:paraId="128E89C1">
            <w:pPr>
              <w:wordWrap w:val="0"/>
              <w:spacing w:line="360" w:lineRule="auto"/>
              <w:rPr>
                <w:rFonts w:hint="eastAsia" w:ascii="宋体" w:hAnsi="宋体" w:cs="仿宋"/>
                <w:sz w:val="24"/>
              </w:rPr>
            </w:pPr>
            <w:r>
              <w:rPr>
                <w:rFonts w:hint="eastAsia" w:ascii="宋体" w:hAnsi="宋体" w:cs="仿宋"/>
                <w:sz w:val="24"/>
              </w:rPr>
              <w:t>供应商名称：（填写供应商名称）</w:t>
            </w:r>
          </w:p>
          <w:p w14:paraId="01477407">
            <w:pPr>
              <w:wordWrap w:val="0"/>
              <w:spacing w:line="360" w:lineRule="auto"/>
              <w:rPr>
                <w:rFonts w:hint="eastAsia" w:ascii="宋体" w:hAnsi="宋体" w:cs="仿宋"/>
                <w:sz w:val="24"/>
              </w:rPr>
            </w:pPr>
            <w:r>
              <w:rPr>
                <w:rFonts w:hint="eastAsia" w:ascii="宋体" w:hAnsi="宋体" w:cs="仿宋"/>
                <w:sz w:val="24"/>
              </w:rPr>
              <w:t>项目名称：（填写项目名称）</w:t>
            </w:r>
          </w:p>
          <w:p w14:paraId="2D3AEBE3">
            <w:pPr>
              <w:wordWrap w:val="0"/>
              <w:spacing w:line="360" w:lineRule="auto"/>
              <w:rPr>
                <w:rFonts w:hint="eastAsia" w:ascii="宋体" w:hAnsi="宋体" w:cs="仿宋"/>
                <w:sz w:val="24"/>
              </w:rPr>
            </w:pPr>
            <w:r>
              <w:rPr>
                <w:rFonts w:hint="eastAsia" w:ascii="宋体" w:hAnsi="宋体" w:cs="仿宋"/>
                <w:sz w:val="24"/>
              </w:rPr>
              <w:t>包号（标段号）及包（标段）名称：（如采购项目划分为两个及以上包或标段的，此处填写包号或标段号与包名称或标段名称。如采购项目未划分不同的包或标段的，则不需要填写该项内容）</w:t>
            </w:r>
          </w:p>
          <w:p w14:paraId="487837E9">
            <w:pPr>
              <w:wordWrap w:val="0"/>
              <w:spacing w:line="360" w:lineRule="auto"/>
              <w:rPr>
                <w:rFonts w:hint="eastAsia" w:ascii="宋体" w:hAnsi="宋体"/>
                <w:sz w:val="24"/>
              </w:rPr>
            </w:pPr>
            <w:r>
              <w:rPr>
                <w:rFonts w:hint="eastAsia" w:ascii="宋体" w:hAnsi="宋体" w:cs="仿宋"/>
                <w:sz w:val="24"/>
              </w:rPr>
              <w:t>在  年  月  日  时  分前不得开启</w:t>
            </w:r>
          </w:p>
        </w:tc>
      </w:tr>
      <w:tr w14:paraId="3B110C4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429CB919">
            <w:pPr>
              <w:spacing w:line="360" w:lineRule="auto"/>
              <w:jc w:val="center"/>
              <w:rPr>
                <w:rFonts w:hint="eastAsia" w:ascii="宋体" w:hAnsi="宋体"/>
                <w:sz w:val="24"/>
              </w:rPr>
            </w:pPr>
            <w:r>
              <w:rPr>
                <w:rFonts w:hint="eastAsia" w:ascii="宋体" w:hAnsi="宋体"/>
                <w:sz w:val="24"/>
              </w:rPr>
              <w:t>5.1.2</w:t>
            </w:r>
          </w:p>
        </w:tc>
        <w:tc>
          <w:tcPr>
            <w:tcW w:w="2325" w:type="dxa"/>
            <w:tcMar>
              <w:top w:w="57" w:type="dxa"/>
              <w:left w:w="57" w:type="dxa"/>
              <w:bottom w:w="57" w:type="dxa"/>
              <w:right w:w="57" w:type="dxa"/>
            </w:tcMar>
            <w:vAlign w:val="center"/>
          </w:tcPr>
          <w:p w14:paraId="1175DDCF">
            <w:pPr>
              <w:spacing w:line="360" w:lineRule="auto"/>
              <w:jc w:val="center"/>
              <w:rPr>
                <w:rFonts w:hint="eastAsia" w:ascii="宋体" w:hAnsi="宋体"/>
                <w:sz w:val="24"/>
              </w:rPr>
            </w:pPr>
            <w:r>
              <w:rPr>
                <w:rFonts w:hint="eastAsia" w:ascii="宋体" w:hAnsi="宋体" w:cs="Microsoft JhengHei"/>
                <w:sz w:val="24"/>
              </w:rPr>
              <w:t>响应文件</w:t>
            </w:r>
            <w:r>
              <w:rPr>
                <w:rFonts w:hint="eastAsia" w:ascii="宋体" w:hAnsi="宋体" w:cs="Microsoft JhengHei"/>
                <w:spacing w:val="-3"/>
                <w:sz w:val="24"/>
              </w:rPr>
              <w:t>份</w:t>
            </w:r>
            <w:r>
              <w:rPr>
                <w:rFonts w:hint="eastAsia" w:ascii="宋体" w:hAnsi="宋体" w:cs="Microsoft JhengHei"/>
                <w:sz w:val="24"/>
              </w:rPr>
              <w:t>数</w:t>
            </w:r>
            <w:r>
              <w:rPr>
                <w:rFonts w:hint="eastAsia" w:ascii="宋体" w:hAnsi="宋体" w:cs="Microsoft JhengHei"/>
                <w:spacing w:val="-3"/>
                <w:sz w:val="24"/>
              </w:rPr>
              <w:t>及</w:t>
            </w:r>
            <w:r>
              <w:rPr>
                <w:rFonts w:hint="eastAsia" w:ascii="宋体" w:hAnsi="宋体" w:cs="Microsoft JhengHei"/>
                <w:sz w:val="24"/>
              </w:rPr>
              <w:t>其</w:t>
            </w:r>
            <w:r>
              <w:rPr>
                <w:rFonts w:hint="eastAsia" w:ascii="宋体" w:hAnsi="宋体" w:cs="Microsoft JhengHei"/>
                <w:spacing w:val="-3"/>
                <w:sz w:val="24"/>
              </w:rPr>
              <w:t>他</w:t>
            </w:r>
            <w:r>
              <w:rPr>
                <w:rFonts w:hint="eastAsia" w:ascii="宋体" w:hAnsi="宋体" w:cs="Microsoft JhengHei"/>
                <w:sz w:val="24"/>
              </w:rPr>
              <w:t>要求</w:t>
            </w:r>
          </w:p>
        </w:tc>
        <w:tc>
          <w:tcPr>
            <w:tcW w:w="6162" w:type="dxa"/>
            <w:tcMar>
              <w:top w:w="57" w:type="dxa"/>
              <w:left w:w="57" w:type="dxa"/>
              <w:bottom w:w="57" w:type="dxa"/>
              <w:right w:w="57" w:type="dxa"/>
            </w:tcMar>
            <w:vAlign w:val="center"/>
          </w:tcPr>
          <w:p w14:paraId="71CB0CFD">
            <w:pPr>
              <w:pStyle w:val="275"/>
              <w:kinsoku w:val="0"/>
              <w:overflowPunct w:val="0"/>
              <w:spacing w:before="44" w:line="360" w:lineRule="auto"/>
              <w:ind w:right="9"/>
              <w:rPr>
                <w:rFonts w:hint="eastAsia" w:cs="Microsoft JhengHei"/>
                <w:spacing w:val="-3"/>
                <w:sz w:val="24"/>
                <w:lang w:eastAsia="zh-CN"/>
              </w:rPr>
            </w:pPr>
            <w:r>
              <w:rPr>
                <w:rFonts w:hint="eastAsia" w:cs="Microsoft JhengHei"/>
                <w:sz w:val="24"/>
                <w:lang w:eastAsia="zh-CN"/>
              </w:rPr>
              <w:t>响应文件正本壹份，副本贰份</w:t>
            </w:r>
            <w:r>
              <w:rPr>
                <w:rFonts w:hint="eastAsia" w:cs="Microsoft JhengHei"/>
                <w:spacing w:val="-3"/>
                <w:sz w:val="24"/>
                <w:lang w:eastAsia="zh-CN"/>
              </w:rPr>
              <w:t>；</w:t>
            </w:r>
          </w:p>
          <w:p w14:paraId="15BE27FF">
            <w:pPr>
              <w:pStyle w:val="275"/>
              <w:kinsoku w:val="0"/>
              <w:overflowPunct w:val="0"/>
              <w:spacing w:before="44" w:line="360" w:lineRule="auto"/>
              <w:ind w:right="9"/>
              <w:rPr>
                <w:rFonts w:hint="eastAsia" w:cs="仿宋"/>
                <w:sz w:val="24"/>
                <w:lang w:eastAsia="zh-CN"/>
              </w:rPr>
            </w:pPr>
            <w:r>
              <w:rPr>
                <w:rFonts w:hint="eastAsia" w:cs="Microsoft JhengHei"/>
                <w:spacing w:val="-3"/>
                <w:sz w:val="24"/>
                <w:lang w:eastAsia="zh-CN"/>
              </w:rPr>
              <w:t>响应文件电子版：壹份，单独密封提交（载体为可读取的U盘或光盘，文件格式为响应文件正本签字盖章后的完整PDF扫描件，文件以供应商全称命名）。</w:t>
            </w:r>
          </w:p>
        </w:tc>
      </w:tr>
      <w:tr w14:paraId="14C1F0D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18109A78">
            <w:pPr>
              <w:wordWrap w:val="0"/>
              <w:jc w:val="center"/>
              <w:rPr>
                <w:rFonts w:hint="eastAsia" w:ascii="宋体" w:hAnsi="宋体"/>
                <w:sz w:val="24"/>
              </w:rPr>
            </w:pPr>
            <w:r>
              <w:rPr>
                <w:rFonts w:ascii="宋体" w:hAnsi="宋体"/>
                <w:sz w:val="24"/>
              </w:rPr>
              <w:t>5.2.1</w:t>
            </w:r>
          </w:p>
        </w:tc>
        <w:tc>
          <w:tcPr>
            <w:tcW w:w="2325" w:type="dxa"/>
            <w:tcMar>
              <w:top w:w="57" w:type="dxa"/>
              <w:left w:w="57" w:type="dxa"/>
              <w:bottom w:w="57" w:type="dxa"/>
              <w:right w:w="57" w:type="dxa"/>
            </w:tcMar>
            <w:vAlign w:val="center"/>
          </w:tcPr>
          <w:p w14:paraId="5002BA8B">
            <w:pPr>
              <w:wordWrap w:val="0"/>
              <w:jc w:val="center"/>
              <w:rPr>
                <w:rFonts w:hint="eastAsia" w:ascii="宋体" w:hAnsi="宋体"/>
                <w:b/>
                <w:bCs/>
                <w:sz w:val="24"/>
              </w:rPr>
            </w:pPr>
            <w:r>
              <w:rPr>
                <w:rFonts w:hint="eastAsia" w:ascii="宋体" w:hAnsi="宋体"/>
                <w:b/>
                <w:bCs/>
                <w:sz w:val="24"/>
              </w:rPr>
              <w:t>提交响应文件截止时间</w:t>
            </w:r>
          </w:p>
        </w:tc>
        <w:tc>
          <w:tcPr>
            <w:tcW w:w="6162" w:type="dxa"/>
            <w:tcMar>
              <w:top w:w="57" w:type="dxa"/>
              <w:left w:w="57" w:type="dxa"/>
              <w:bottom w:w="57" w:type="dxa"/>
              <w:right w:w="57" w:type="dxa"/>
            </w:tcMar>
            <w:vAlign w:val="center"/>
          </w:tcPr>
          <w:p w14:paraId="13BB553E">
            <w:pPr>
              <w:wordWrap w:val="0"/>
              <w:rPr>
                <w:rFonts w:hint="eastAsia" w:ascii="宋体" w:hAnsi="宋体"/>
                <w:b/>
                <w:bCs/>
                <w:sz w:val="24"/>
              </w:rPr>
            </w:pPr>
            <w:r>
              <w:rPr>
                <w:rFonts w:hint="eastAsia" w:ascii="宋体" w:hAnsi="宋体" w:cs="宋体"/>
                <w:b/>
                <w:bCs/>
                <w:sz w:val="24"/>
              </w:rPr>
              <w:t>2026年10月26日9</w:t>
            </w:r>
            <w:r>
              <w:rPr>
                <w:rFonts w:ascii="宋体" w:hAnsi="宋体" w:cs="宋体"/>
                <w:b/>
                <w:bCs/>
                <w:sz w:val="24"/>
              </w:rPr>
              <w:t>时</w:t>
            </w:r>
            <w:r>
              <w:rPr>
                <w:rFonts w:hint="eastAsia" w:ascii="宋体" w:hAnsi="宋体" w:cs="宋体"/>
                <w:b/>
                <w:bCs/>
                <w:sz w:val="24"/>
              </w:rPr>
              <w:t>30分。</w:t>
            </w:r>
          </w:p>
        </w:tc>
      </w:tr>
      <w:tr w14:paraId="43F405A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6F40F5E4">
            <w:pPr>
              <w:wordWrap w:val="0"/>
              <w:spacing w:line="360" w:lineRule="auto"/>
              <w:jc w:val="center"/>
              <w:rPr>
                <w:rFonts w:hint="eastAsia" w:ascii="宋体" w:hAnsi="宋体"/>
                <w:sz w:val="24"/>
              </w:rPr>
            </w:pPr>
            <w:r>
              <w:rPr>
                <w:rFonts w:ascii="宋体" w:hAnsi="宋体"/>
                <w:sz w:val="24"/>
              </w:rPr>
              <w:t>6.1.1</w:t>
            </w:r>
          </w:p>
        </w:tc>
        <w:tc>
          <w:tcPr>
            <w:tcW w:w="2325" w:type="dxa"/>
            <w:tcMar>
              <w:top w:w="57" w:type="dxa"/>
              <w:left w:w="57" w:type="dxa"/>
              <w:bottom w:w="57" w:type="dxa"/>
              <w:right w:w="57" w:type="dxa"/>
            </w:tcMar>
            <w:vAlign w:val="center"/>
          </w:tcPr>
          <w:p w14:paraId="2A2615DA">
            <w:pPr>
              <w:wordWrap w:val="0"/>
              <w:spacing w:line="360" w:lineRule="auto"/>
              <w:jc w:val="center"/>
              <w:rPr>
                <w:rFonts w:hint="eastAsia" w:ascii="宋体" w:hAnsi="宋体"/>
                <w:b/>
                <w:bCs/>
                <w:sz w:val="24"/>
              </w:rPr>
            </w:pPr>
            <w:r>
              <w:rPr>
                <w:rFonts w:hint="eastAsia" w:ascii="宋体" w:hAnsi="宋体"/>
                <w:b/>
                <w:bCs/>
                <w:sz w:val="24"/>
              </w:rPr>
              <w:t>磋商开始时间及地点</w:t>
            </w:r>
          </w:p>
        </w:tc>
        <w:tc>
          <w:tcPr>
            <w:tcW w:w="6162" w:type="dxa"/>
            <w:tcMar>
              <w:top w:w="57" w:type="dxa"/>
              <w:left w:w="57" w:type="dxa"/>
              <w:bottom w:w="57" w:type="dxa"/>
              <w:right w:w="57" w:type="dxa"/>
            </w:tcMar>
            <w:vAlign w:val="center"/>
          </w:tcPr>
          <w:p w14:paraId="122126F0">
            <w:pPr>
              <w:wordWrap w:val="0"/>
              <w:spacing w:line="360" w:lineRule="auto"/>
              <w:rPr>
                <w:rFonts w:hint="eastAsia" w:ascii="宋体" w:hAnsi="宋体"/>
                <w:sz w:val="24"/>
                <w:u w:val="single"/>
              </w:rPr>
            </w:pPr>
            <w:r>
              <w:rPr>
                <w:rFonts w:hint="eastAsia" w:ascii="宋体" w:hAnsi="宋体"/>
                <w:sz w:val="24"/>
              </w:rPr>
              <w:t>时间：</w:t>
            </w:r>
            <w:r>
              <w:rPr>
                <w:rFonts w:hint="eastAsia" w:ascii="宋体" w:hAnsi="宋体"/>
                <w:b/>
                <w:sz w:val="24"/>
              </w:rPr>
              <w:t>同提交响应文件截止时间。</w:t>
            </w:r>
          </w:p>
          <w:p w14:paraId="1CDF7764">
            <w:pPr>
              <w:wordWrap w:val="0"/>
              <w:spacing w:line="360" w:lineRule="auto"/>
              <w:rPr>
                <w:rFonts w:hint="eastAsia" w:ascii="宋体" w:hAnsi="宋体"/>
                <w:sz w:val="24"/>
              </w:rPr>
            </w:pPr>
            <w:r>
              <w:rPr>
                <w:rFonts w:hint="eastAsia" w:ascii="宋体" w:hAnsi="宋体"/>
                <w:sz w:val="24"/>
              </w:rPr>
              <w:t>地点：河南招标采购服务有限公司会议室（郑州市金水区纬四路13号）。</w:t>
            </w:r>
          </w:p>
        </w:tc>
      </w:tr>
      <w:tr w14:paraId="0F53D4C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0388C437">
            <w:pPr>
              <w:wordWrap w:val="0"/>
              <w:spacing w:line="360" w:lineRule="auto"/>
              <w:jc w:val="center"/>
              <w:rPr>
                <w:rFonts w:hint="eastAsia" w:ascii="宋体" w:hAnsi="宋体"/>
                <w:sz w:val="24"/>
              </w:rPr>
            </w:pPr>
            <w:r>
              <w:rPr>
                <w:rFonts w:ascii="宋体" w:hAnsi="宋体"/>
                <w:sz w:val="24"/>
              </w:rPr>
              <w:t>6.</w:t>
            </w:r>
            <w:r>
              <w:rPr>
                <w:rFonts w:hint="eastAsia" w:ascii="宋体" w:hAnsi="宋体"/>
                <w:sz w:val="24"/>
              </w:rPr>
              <w:t>2</w:t>
            </w:r>
            <w:r>
              <w:rPr>
                <w:rFonts w:ascii="宋体" w:hAnsi="宋体"/>
                <w:sz w:val="24"/>
              </w:rPr>
              <w:t>.2</w:t>
            </w:r>
          </w:p>
        </w:tc>
        <w:tc>
          <w:tcPr>
            <w:tcW w:w="2325" w:type="dxa"/>
            <w:tcMar>
              <w:top w:w="57" w:type="dxa"/>
              <w:left w:w="57" w:type="dxa"/>
              <w:bottom w:w="57" w:type="dxa"/>
              <w:right w:w="57" w:type="dxa"/>
            </w:tcMar>
            <w:vAlign w:val="center"/>
          </w:tcPr>
          <w:p w14:paraId="30DC137A">
            <w:pPr>
              <w:wordWrap w:val="0"/>
              <w:adjustRightInd w:val="0"/>
              <w:snapToGrid w:val="0"/>
              <w:spacing w:line="360" w:lineRule="auto"/>
              <w:jc w:val="center"/>
              <w:rPr>
                <w:rFonts w:hint="eastAsia" w:ascii="宋体" w:hAnsi="宋体"/>
                <w:sz w:val="24"/>
              </w:rPr>
            </w:pPr>
            <w:r>
              <w:rPr>
                <w:rFonts w:hint="eastAsia" w:ascii="宋体" w:hAnsi="宋体" w:cs="宋体"/>
                <w:sz w:val="24"/>
              </w:rPr>
              <w:t>文件的密封性检查</w:t>
            </w:r>
          </w:p>
        </w:tc>
        <w:tc>
          <w:tcPr>
            <w:tcW w:w="6162" w:type="dxa"/>
            <w:tcMar>
              <w:top w:w="57" w:type="dxa"/>
              <w:left w:w="57" w:type="dxa"/>
              <w:bottom w:w="57" w:type="dxa"/>
              <w:right w:w="57" w:type="dxa"/>
            </w:tcMar>
            <w:vAlign w:val="center"/>
          </w:tcPr>
          <w:p w14:paraId="05E3EA38">
            <w:pPr>
              <w:wordWrap w:val="0"/>
              <w:spacing w:line="360" w:lineRule="auto"/>
              <w:rPr>
                <w:rFonts w:hint="eastAsia" w:ascii="宋体" w:hAnsi="宋体"/>
                <w:sz w:val="24"/>
              </w:rPr>
            </w:pPr>
            <w:r>
              <w:rPr>
                <w:rFonts w:hint="eastAsia" w:ascii="宋体" w:hAnsi="宋体"/>
                <w:sz w:val="24"/>
              </w:rPr>
              <w:sym w:font="Wingdings 2" w:char="00A3"/>
            </w:r>
            <w:r>
              <w:rPr>
                <w:rFonts w:hint="eastAsia" w:ascii="宋体" w:hAnsi="宋体"/>
                <w:sz w:val="24"/>
              </w:rPr>
              <w:t>无</w:t>
            </w:r>
          </w:p>
          <w:p w14:paraId="139D10FB">
            <w:pPr>
              <w:wordWrap w:val="0"/>
              <w:adjustRightInd w:val="0"/>
              <w:snapToGrid w:val="0"/>
              <w:spacing w:line="360" w:lineRule="auto"/>
              <w:rPr>
                <w:rFonts w:hint="eastAsia" w:ascii="宋体" w:hAnsi="宋体"/>
                <w:sz w:val="24"/>
              </w:rPr>
            </w:pPr>
            <w:r>
              <w:rPr>
                <w:rFonts w:hint="eastAsia" w:ascii="宋体" w:hAnsi="宋体"/>
                <w:sz w:val="24"/>
              </w:rPr>
              <w:sym w:font="Wingdings 2" w:char="0052"/>
            </w:r>
            <w:r>
              <w:rPr>
                <w:rFonts w:hint="eastAsia" w:ascii="宋体" w:hAnsi="宋体"/>
                <w:sz w:val="24"/>
              </w:rPr>
              <w:t>有，具体内容如下：</w:t>
            </w:r>
          </w:p>
          <w:p w14:paraId="0BA12E3A">
            <w:pPr>
              <w:wordWrap w:val="0"/>
              <w:adjustRightInd w:val="0"/>
              <w:snapToGrid w:val="0"/>
              <w:spacing w:line="360" w:lineRule="auto"/>
              <w:rPr>
                <w:rFonts w:hint="eastAsia" w:ascii="宋体" w:hAnsi="宋体" w:cs="宋体"/>
                <w:sz w:val="24"/>
              </w:rPr>
            </w:pPr>
            <w:r>
              <w:rPr>
                <w:rFonts w:hint="eastAsia" w:ascii="宋体" w:hAnsi="宋体" w:cs="宋体"/>
                <w:sz w:val="24"/>
              </w:rPr>
              <w:t>①由供应商检查响应标文件的密封情况；</w:t>
            </w:r>
          </w:p>
          <w:p w14:paraId="41770DA9">
            <w:pPr>
              <w:wordWrap w:val="0"/>
              <w:adjustRightInd w:val="0"/>
              <w:snapToGrid w:val="0"/>
              <w:spacing w:line="360" w:lineRule="auto"/>
              <w:rPr>
                <w:rFonts w:hint="eastAsia" w:ascii="宋体" w:hAnsi="宋体"/>
                <w:sz w:val="24"/>
              </w:rPr>
            </w:pPr>
            <w:r>
              <w:rPr>
                <w:rFonts w:hint="eastAsia" w:ascii="宋体" w:hAnsi="宋体" w:cs="宋体"/>
                <w:sz w:val="24"/>
              </w:rPr>
              <w:t>②检查密封性的供应商为所有递交响应文件的供应商。</w:t>
            </w:r>
          </w:p>
        </w:tc>
      </w:tr>
      <w:tr w14:paraId="7ED1455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1E169B9B">
            <w:pPr>
              <w:wordWrap w:val="0"/>
              <w:spacing w:line="360" w:lineRule="auto"/>
              <w:jc w:val="center"/>
              <w:rPr>
                <w:rFonts w:hint="eastAsia" w:ascii="宋体" w:hAnsi="宋体"/>
                <w:sz w:val="24"/>
              </w:rPr>
            </w:pPr>
            <w:r>
              <w:rPr>
                <w:rFonts w:ascii="宋体" w:hAnsi="宋体" w:cs="仿宋"/>
                <w:sz w:val="24"/>
              </w:rPr>
              <w:t>6.3.2</w:t>
            </w:r>
          </w:p>
        </w:tc>
        <w:tc>
          <w:tcPr>
            <w:tcW w:w="2325" w:type="dxa"/>
            <w:tcMar>
              <w:top w:w="57" w:type="dxa"/>
              <w:left w:w="57" w:type="dxa"/>
              <w:bottom w:w="57" w:type="dxa"/>
              <w:right w:w="57" w:type="dxa"/>
            </w:tcMar>
            <w:vAlign w:val="center"/>
          </w:tcPr>
          <w:p w14:paraId="645C3D75">
            <w:pPr>
              <w:tabs>
                <w:tab w:val="left" w:pos="720"/>
              </w:tabs>
              <w:wordWrap w:val="0"/>
              <w:spacing w:line="360" w:lineRule="auto"/>
              <w:ind w:left="840" w:hanging="840" w:hangingChars="350"/>
              <w:jc w:val="center"/>
              <w:rPr>
                <w:rFonts w:hint="eastAsia" w:ascii="宋体" w:hAnsi="宋体" w:cs="仿宋"/>
                <w:sz w:val="24"/>
              </w:rPr>
            </w:pPr>
            <w:r>
              <w:rPr>
                <w:rFonts w:hint="eastAsia" w:ascii="宋体" w:hAnsi="宋体" w:cs="仿宋"/>
                <w:sz w:val="24"/>
              </w:rPr>
              <w:t>磋商小组的组成</w:t>
            </w:r>
          </w:p>
        </w:tc>
        <w:tc>
          <w:tcPr>
            <w:tcW w:w="6162" w:type="dxa"/>
            <w:tcMar>
              <w:top w:w="57" w:type="dxa"/>
              <w:left w:w="57" w:type="dxa"/>
              <w:bottom w:w="57" w:type="dxa"/>
              <w:right w:w="57" w:type="dxa"/>
            </w:tcMar>
            <w:vAlign w:val="center"/>
          </w:tcPr>
          <w:p w14:paraId="41AE9B87">
            <w:pPr>
              <w:tabs>
                <w:tab w:val="left" w:pos="720"/>
              </w:tabs>
              <w:wordWrap w:val="0"/>
              <w:spacing w:line="360" w:lineRule="auto"/>
              <w:ind w:left="840" w:hanging="840" w:hangingChars="350"/>
              <w:rPr>
                <w:rFonts w:hint="eastAsia" w:ascii="宋体" w:hAnsi="宋体" w:cs="仿宋"/>
                <w:sz w:val="24"/>
              </w:rPr>
            </w:pPr>
            <w:r>
              <w:rPr>
                <w:rFonts w:hint="eastAsia" w:ascii="宋体" w:hAnsi="宋体" w:cs="仿宋"/>
                <w:sz w:val="24"/>
              </w:rPr>
              <w:t>磋商小组成员人数：3人。</w:t>
            </w:r>
          </w:p>
          <w:p w14:paraId="629164B4">
            <w:pPr>
              <w:wordWrap w:val="0"/>
              <w:spacing w:line="360" w:lineRule="auto"/>
              <w:rPr>
                <w:rFonts w:hint="eastAsia" w:ascii="宋体" w:hAnsi="宋体"/>
                <w:sz w:val="24"/>
              </w:rPr>
            </w:pPr>
            <w:r>
              <w:rPr>
                <w:rFonts w:hint="eastAsia" w:ascii="宋体" w:hAnsi="宋体" w:cs="仿宋"/>
                <w:sz w:val="24"/>
              </w:rPr>
              <w:t>磋商小组由采购人代表和评审专家组成。</w:t>
            </w:r>
            <w:r>
              <w:rPr>
                <w:rFonts w:hint="eastAsia" w:ascii="宋体" w:hAnsi="宋体"/>
                <w:bCs/>
                <w:sz w:val="24"/>
              </w:rPr>
              <w:t>其中：采购人代表1人，</w:t>
            </w:r>
            <w:r>
              <w:rPr>
                <w:rFonts w:hint="eastAsia" w:ascii="宋体" w:hAnsi="宋体" w:cs="仿宋"/>
                <w:sz w:val="24"/>
              </w:rPr>
              <w:t>评审专家2人</w:t>
            </w:r>
            <w:r>
              <w:rPr>
                <w:rFonts w:hint="eastAsia" w:ascii="宋体" w:hAnsi="宋体"/>
                <w:sz w:val="24"/>
              </w:rPr>
              <w:t>。评审专家产生方式：</w:t>
            </w:r>
            <w:r>
              <w:rPr>
                <w:rFonts w:hint="eastAsia" w:ascii="宋体" w:hAnsi="宋体"/>
                <w:bCs/>
                <w:sz w:val="24"/>
              </w:rPr>
              <w:t>从</w:t>
            </w:r>
            <w:r>
              <w:rPr>
                <w:rFonts w:hint="eastAsia" w:ascii="宋体" w:hAnsi="宋体"/>
                <w:bCs/>
                <w:color w:val="000000"/>
                <w:sz w:val="24"/>
              </w:rPr>
              <w:t>财政部门的政府采购</w:t>
            </w:r>
            <w:r>
              <w:rPr>
                <w:rFonts w:hint="eastAsia" w:ascii="宋体" w:hAnsi="宋体"/>
                <w:bCs/>
                <w:sz w:val="24"/>
              </w:rPr>
              <w:t>专家库中随机抽取。</w:t>
            </w:r>
          </w:p>
        </w:tc>
      </w:tr>
      <w:tr w14:paraId="2A5F6AF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3D5E601E">
            <w:pPr>
              <w:wordWrap w:val="0"/>
              <w:spacing w:line="360" w:lineRule="auto"/>
              <w:jc w:val="center"/>
              <w:rPr>
                <w:rFonts w:hint="eastAsia" w:ascii="宋体" w:hAnsi="宋体"/>
                <w:sz w:val="24"/>
              </w:rPr>
            </w:pPr>
            <w:r>
              <w:rPr>
                <w:rFonts w:hint="eastAsia" w:ascii="宋体" w:hAnsi="宋体" w:cs="仿宋"/>
                <w:sz w:val="24"/>
              </w:rPr>
              <w:t>6.4</w:t>
            </w:r>
          </w:p>
        </w:tc>
        <w:tc>
          <w:tcPr>
            <w:tcW w:w="2325" w:type="dxa"/>
            <w:tcMar>
              <w:top w:w="57" w:type="dxa"/>
              <w:left w:w="57" w:type="dxa"/>
              <w:bottom w:w="57" w:type="dxa"/>
              <w:right w:w="57" w:type="dxa"/>
            </w:tcMar>
            <w:vAlign w:val="center"/>
          </w:tcPr>
          <w:p w14:paraId="689A313E">
            <w:pPr>
              <w:wordWrap w:val="0"/>
              <w:spacing w:line="360" w:lineRule="auto"/>
              <w:jc w:val="center"/>
              <w:rPr>
                <w:rFonts w:hint="eastAsia" w:ascii="宋体" w:hAnsi="宋体"/>
                <w:sz w:val="24"/>
              </w:rPr>
            </w:pPr>
            <w:r>
              <w:rPr>
                <w:rFonts w:hint="eastAsia" w:ascii="宋体" w:hAnsi="宋体"/>
                <w:sz w:val="24"/>
              </w:rPr>
              <w:t>评审方法</w:t>
            </w:r>
          </w:p>
        </w:tc>
        <w:tc>
          <w:tcPr>
            <w:tcW w:w="6162" w:type="dxa"/>
            <w:tcMar>
              <w:top w:w="57" w:type="dxa"/>
              <w:left w:w="57" w:type="dxa"/>
              <w:bottom w:w="57" w:type="dxa"/>
              <w:right w:w="57" w:type="dxa"/>
            </w:tcMar>
            <w:vAlign w:val="center"/>
          </w:tcPr>
          <w:p w14:paraId="7E600943">
            <w:pPr>
              <w:wordWrap w:val="0"/>
              <w:spacing w:line="360" w:lineRule="auto"/>
              <w:rPr>
                <w:rFonts w:hint="eastAsia" w:ascii="宋体" w:hAnsi="宋体"/>
                <w:sz w:val="24"/>
              </w:rPr>
            </w:pPr>
            <w:r>
              <w:rPr>
                <w:rFonts w:hint="eastAsia" w:ascii="宋体" w:hAnsi="宋体"/>
                <w:sz w:val="24"/>
              </w:rPr>
              <w:t xml:space="preserve">1.采用综合评分法 </w:t>
            </w:r>
          </w:p>
          <w:p w14:paraId="45504534">
            <w:pPr>
              <w:wordWrap w:val="0"/>
              <w:spacing w:line="360" w:lineRule="auto"/>
              <w:rPr>
                <w:rFonts w:hint="eastAsia" w:ascii="宋体" w:hAnsi="宋体"/>
                <w:sz w:val="24"/>
              </w:rPr>
            </w:pPr>
            <w:r>
              <w:rPr>
                <w:rFonts w:hint="eastAsia" w:ascii="宋体" w:hAnsi="宋体"/>
                <w:sz w:val="24"/>
              </w:rPr>
              <w:t>2.供应商报价轮次为：2轮次；其中第一轮报价为在响应文件中初始报价，第二轮报价为最终报价；供应商须在规定时间内完成两轮报价，逾期未提交第二轮报价的视为自动放弃；报价为人民币含税价。</w:t>
            </w:r>
          </w:p>
          <w:p w14:paraId="337BAB17">
            <w:pPr>
              <w:wordWrap w:val="0"/>
              <w:spacing w:line="360" w:lineRule="auto"/>
              <w:rPr>
                <w:rFonts w:hint="eastAsia" w:ascii="宋体" w:hAnsi="宋体"/>
                <w:sz w:val="24"/>
              </w:rPr>
            </w:pPr>
            <w:r>
              <w:rPr>
                <w:rFonts w:hint="eastAsia" w:ascii="宋体" w:hAnsi="宋体"/>
                <w:sz w:val="24"/>
              </w:rPr>
              <w:t>3.对于含有分项报价的项目，需要在签订合同前，以成交价为基准，将其细化至各分项报价，可作为合同附件。</w:t>
            </w:r>
          </w:p>
        </w:tc>
      </w:tr>
      <w:tr w14:paraId="37B96A6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29978F3A">
            <w:pPr>
              <w:wordWrap w:val="0"/>
              <w:spacing w:line="360" w:lineRule="auto"/>
              <w:jc w:val="center"/>
              <w:rPr>
                <w:rFonts w:hint="eastAsia" w:ascii="宋体" w:hAnsi="宋体"/>
                <w:sz w:val="24"/>
              </w:rPr>
            </w:pPr>
            <w:r>
              <w:rPr>
                <w:rFonts w:ascii="宋体" w:hAnsi="宋体"/>
                <w:sz w:val="24"/>
              </w:rPr>
              <w:t>7.1</w:t>
            </w:r>
          </w:p>
        </w:tc>
        <w:tc>
          <w:tcPr>
            <w:tcW w:w="2325" w:type="dxa"/>
            <w:tcMar>
              <w:top w:w="57" w:type="dxa"/>
              <w:left w:w="57" w:type="dxa"/>
              <w:bottom w:w="57" w:type="dxa"/>
              <w:right w:w="57" w:type="dxa"/>
            </w:tcMar>
            <w:vAlign w:val="center"/>
          </w:tcPr>
          <w:p w14:paraId="365E6376">
            <w:pPr>
              <w:wordWrap w:val="0"/>
              <w:spacing w:line="360" w:lineRule="auto"/>
              <w:jc w:val="center"/>
              <w:rPr>
                <w:rFonts w:hint="eastAsia" w:ascii="宋体" w:hAnsi="宋体"/>
                <w:sz w:val="24"/>
              </w:rPr>
            </w:pPr>
            <w:r>
              <w:rPr>
                <w:rFonts w:hint="eastAsia" w:ascii="宋体" w:hAnsi="宋体"/>
                <w:sz w:val="24"/>
              </w:rPr>
              <w:t>推荐成交</w:t>
            </w:r>
            <w:r>
              <w:rPr>
                <w:rFonts w:ascii="宋体" w:hAnsi="宋体"/>
                <w:sz w:val="24"/>
              </w:rPr>
              <w:t>候选</w:t>
            </w:r>
            <w:r>
              <w:rPr>
                <w:rFonts w:hint="eastAsia" w:ascii="宋体" w:hAnsi="宋体"/>
                <w:sz w:val="24"/>
              </w:rPr>
              <w:t>人</w:t>
            </w:r>
          </w:p>
        </w:tc>
        <w:tc>
          <w:tcPr>
            <w:tcW w:w="6162" w:type="dxa"/>
            <w:tcMar>
              <w:top w:w="57" w:type="dxa"/>
              <w:left w:w="57" w:type="dxa"/>
              <w:bottom w:w="57" w:type="dxa"/>
              <w:right w:w="57" w:type="dxa"/>
            </w:tcMar>
            <w:vAlign w:val="center"/>
          </w:tcPr>
          <w:p w14:paraId="5E1A72F8">
            <w:pPr>
              <w:wordWrap w:val="0"/>
              <w:spacing w:line="360" w:lineRule="auto"/>
              <w:rPr>
                <w:rFonts w:hint="eastAsia" w:ascii="宋体" w:hAnsi="宋体"/>
                <w:sz w:val="24"/>
              </w:rPr>
            </w:pPr>
            <w:r>
              <w:rPr>
                <w:rFonts w:hint="eastAsia" w:ascii="宋体" w:hAnsi="宋体"/>
                <w:sz w:val="24"/>
              </w:rPr>
              <w:t>推荐成交</w:t>
            </w:r>
            <w:r>
              <w:rPr>
                <w:rFonts w:ascii="宋体" w:hAnsi="宋体"/>
                <w:sz w:val="24"/>
              </w:rPr>
              <w:t>候选</w:t>
            </w:r>
            <w:r>
              <w:rPr>
                <w:rFonts w:hint="eastAsia" w:ascii="宋体" w:hAnsi="宋体"/>
                <w:sz w:val="24"/>
              </w:rPr>
              <w:t>人</w:t>
            </w:r>
            <w:r>
              <w:rPr>
                <w:rFonts w:ascii="宋体" w:hAnsi="宋体"/>
                <w:sz w:val="24"/>
              </w:rPr>
              <w:t>的数量：</w:t>
            </w:r>
            <w:r>
              <w:rPr>
                <w:rFonts w:hint="eastAsia" w:ascii="宋体" w:hAnsi="宋体"/>
                <w:bCs/>
                <w:sz w:val="24"/>
              </w:rPr>
              <w:t xml:space="preserve">三名。  </w:t>
            </w:r>
          </w:p>
        </w:tc>
      </w:tr>
      <w:tr w14:paraId="3D70D69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5F342193">
            <w:pPr>
              <w:wordWrap w:val="0"/>
              <w:spacing w:line="360" w:lineRule="auto"/>
              <w:jc w:val="center"/>
              <w:rPr>
                <w:rFonts w:hint="eastAsia" w:ascii="宋体" w:hAnsi="宋体"/>
                <w:sz w:val="24"/>
              </w:rPr>
            </w:pPr>
            <w:r>
              <w:rPr>
                <w:rFonts w:ascii="宋体" w:hAnsi="宋体"/>
                <w:sz w:val="24"/>
              </w:rPr>
              <w:t>7.1</w:t>
            </w:r>
          </w:p>
        </w:tc>
        <w:tc>
          <w:tcPr>
            <w:tcW w:w="2325" w:type="dxa"/>
            <w:tcMar>
              <w:top w:w="57" w:type="dxa"/>
              <w:left w:w="57" w:type="dxa"/>
              <w:bottom w:w="57" w:type="dxa"/>
              <w:right w:w="57" w:type="dxa"/>
            </w:tcMar>
            <w:vAlign w:val="center"/>
          </w:tcPr>
          <w:p w14:paraId="6DF8DFAA">
            <w:pPr>
              <w:wordWrap w:val="0"/>
              <w:spacing w:line="360" w:lineRule="auto"/>
              <w:jc w:val="center"/>
              <w:rPr>
                <w:rFonts w:hint="eastAsia" w:ascii="宋体" w:hAnsi="宋体"/>
                <w:sz w:val="24"/>
              </w:rPr>
            </w:pPr>
            <w:r>
              <w:rPr>
                <w:rFonts w:hint="eastAsia" w:ascii="宋体" w:hAnsi="宋体"/>
                <w:sz w:val="24"/>
              </w:rPr>
              <w:t>确定成交人</w:t>
            </w:r>
          </w:p>
        </w:tc>
        <w:tc>
          <w:tcPr>
            <w:tcW w:w="6162" w:type="dxa"/>
            <w:tcMar>
              <w:top w:w="57" w:type="dxa"/>
              <w:left w:w="57" w:type="dxa"/>
              <w:bottom w:w="57" w:type="dxa"/>
              <w:right w:w="57" w:type="dxa"/>
            </w:tcMar>
            <w:vAlign w:val="center"/>
          </w:tcPr>
          <w:p w14:paraId="7FA95FBC">
            <w:pPr>
              <w:wordWrap w:val="0"/>
              <w:spacing w:line="360" w:lineRule="auto"/>
              <w:rPr>
                <w:rFonts w:hint="eastAsia" w:ascii="宋体" w:hAnsi="宋体"/>
                <w:sz w:val="24"/>
              </w:rPr>
            </w:pPr>
            <w:r>
              <w:rPr>
                <w:rFonts w:hint="eastAsia" w:ascii="宋体" w:hAnsi="宋体"/>
                <w:sz w:val="24"/>
              </w:rPr>
              <w:t>采购人确定成交人：是；</w:t>
            </w:r>
          </w:p>
          <w:p w14:paraId="1FCAAD8E">
            <w:pPr>
              <w:wordWrap w:val="0"/>
              <w:spacing w:line="360" w:lineRule="auto"/>
              <w:rPr>
                <w:rFonts w:hint="eastAsia" w:ascii="宋体" w:hAnsi="宋体"/>
                <w:sz w:val="24"/>
              </w:rPr>
            </w:pPr>
            <w:r>
              <w:rPr>
                <w:rFonts w:hint="eastAsia" w:ascii="宋体" w:hAnsi="宋体"/>
                <w:sz w:val="24"/>
              </w:rPr>
              <w:t>采购人委托磋商小组直接确定成交人：否。</w:t>
            </w:r>
          </w:p>
        </w:tc>
      </w:tr>
      <w:tr w14:paraId="6B00EAA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2CE5F717">
            <w:pPr>
              <w:wordWrap w:val="0"/>
              <w:spacing w:line="360" w:lineRule="auto"/>
              <w:jc w:val="center"/>
              <w:rPr>
                <w:rFonts w:hint="eastAsia" w:ascii="宋体" w:hAnsi="宋体"/>
                <w:sz w:val="24"/>
              </w:rPr>
            </w:pPr>
            <w:r>
              <w:rPr>
                <w:rFonts w:hint="eastAsia" w:ascii="宋体" w:hAnsi="宋体"/>
                <w:sz w:val="24"/>
              </w:rPr>
              <w:t>1</w:t>
            </w:r>
            <w:r>
              <w:rPr>
                <w:rFonts w:ascii="宋体" w:hAnsi="宋体"/>
                <w:sz w:val="24"/>
              </w:rPr>
              <w:t>2.6</w:t>
            </w:r>
          </w:p>
        </w:tc>
        <w:tc>
          <w:tcPr>
            <w:tcW w:w="2325" w:type="dxa"/>
            <w:tcMar>
              <w:top w:w="57" w:type="dxa"/>
              <w:left w:w="57" w:type="dxa"/>
              <w:bottom w:w="57" w:type="dxa"/>
              <w:right w:w="57" w:type="dxa"/>
            </w:tcMar>
            <w:vAlign w:val="center"/>
          </w:tcPr>
          <w:p w14:paraId="0D44EDB9">
            <w:pPr>
              <w:wordWrap w:val="0"/>
              <w:spacing w:line="360" w:lineRule="auto"/>
              <w:jc w:val="center"/>
              <w:rPr>
                <w:rFonts w:hint="eastAsia" w:ascii="宋体" w:hAnsi="宋体"/>
                <w:sz w:val="24"/>
              </w:rPr>
            </w:pPr>
            <w:r>
              <w:rPr>
                <w:rFonts w:hint="eastAsia" w:ascii="宋体" w:hAnsi="宋体"/>
                <w:sz w:val="24"/>
              </w:rPr>
              <w:t>是否允许分包</w:t>
            </w:r>
          </w:p>
        </w:tc>
        <w:tc>
          <w:tcPr>
            <w:tcW w:w="6162" w:type="dxa"/>
            <w:tcMar>
              <w:top w:w="57" w:type="dxa"/>
              <w:left w:w="57" w:type="dxa"/>
              <w:bottom w:w="57" w:type="dxa"/>
              <w:right w:w="57" w:type="dxa"/>
            </w:tcMar>
            <w:vAlign w:val="center"/>
          </w:tcPr>
          <w:p w14:paraId="286086CF">
            <w:pPr>
              <w:wordWrap w:val="0"/>
              <w:adjustRightInd w:val="0"/>
              <w:snapToGrid w:val="0"/>
              <w:spacing w:line="360" w:lineRule="auto"/>
              <w:rPr>
                <w:rFonts w:hint="eastAsia" w:ascii="宋体" w:hAnsi="宋体"/>
                <w:sz w:val="24"/>
              </w:rPr>
            </w:pPr>
            <w:r>
              <w:rPr>
                <w:rFonts w:ascii="宋体" w:hAnsi="宋体"/>
                <w:sz w:val="24"/>
              </w:rPr>
              <w:t>本项目的非主体、非关键性工作是否允许分包：</w:t>
            </w:r>
          </w:p>
          <w:p w14:paraId="1A207A4F">
            <w:pPr>
              <w:wordWrap w:val="0"/>
              <w:adjustRightInd w:val="0"/>
              <w:snapToGrid w:val="0"/>
              <w:spacing w:line="360" w:lineRule="auto"/>
              <w:rPr>
                <w:rFonts w:hint="eastAsia" w:ascii="宋体" w:hAnsi="宋体"/>
              </w:rPr>
            </w:pPr>
            <w:r>
              <w:rPr>
                <w:rFonts w:ascii="宋体" w:hAnsi="宋体"/>
                <w:sz w:val="24"/>
              </w:rPr>
              <w:t>不允许</w:t>
            </w:r>
            <w:r>
              <w:rPr>
                <w:rFonts w:hint="eastAsia" w:ascii="宋体" w:hAnsi="宋体"/>
                <w:sz w:val="24"/>
              </w:rPr>
              <w:t>（劳务除外）</w:t>
            </w:r>
          </w:p>
        </w:tc>
      </w:tr>
      <w:tr w14:paraId="1646F28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1D364310">
            <w:pPr>
              <w:wordWrap w:val="0"/>
              <w:spacing w:line="360" w:lineRule="auto"/>
              <w:jc w:val="center"/>
              <w:rPr>
                <w:rFonts w:hint="eastAsia" w:ascii="宋体" w:hAnsi="宋体"/>
                <w:sz w:val="24"/>
              </w:rPr>
            </w:pPr>
            <w:r>
              <w:rPr>
                <w:rFonts w:ascii="宋体" w:hAnsi="宋体"/>
                <w:sz w:val="24"/>
              </w:rPr>
              <w:t>13.1</w:t>
            </w:r>
          </w:p>
        </w:tc>
        <w:tc>
          <w:tcPr>
            <w:tcW w:w="2325" w:type="dxa"/>
            <w:tcMar>
              <w:top w:w="57" w:type="dxa"/>
              <w:left w:w="57" w:type="dxa"/>
              <w:bottom w:w="57" w:type="dxa"/>
              <w:right w:w="57" w:type="dxa"/>
            </w:tcMar>
            <w:vAlign w:val="center"/>
          </w:tcPr>
          <w:p w14:paraId="45B77A2E">
            <w:pPr>
              <w:wordWrap w:val="0"/>
              <w:spacing w:line="360" w:lineRule="auto"/>
              <w:jc w:val="center"/>
              <w:rPr>
                <w:rFonts w:hint="eastAsia" w:ascii="宋体" w:hAnsi="宋体"/>
                <w:sz w:val="24"/>
              </w:rPr>
            </w:pPr>
            <w:r>
              <w:rPr>
                <w:rFonts w:hint="eastAsia" w:ascii="宋体" w:hAnsi="宋体"/>
                <w:sz w:val="24"/>
              </w:rPr>
              <w:t>履约保证金</w:t>
            </w:r>
          </w:p>
        </w:tc>
        <w:tc>
          <w:tcPr>
            <w:tcW w:w="6162" w:type="dxa"/>
            <w:tcMar>
              <w:top w:w="57" w:type="dxa"/>
              <w:left w:w="57" w:type="dxa"/>
              <w:bottom w:w="57" w:type="dxa"/>
              <w:right w:w="57" w:type="dxa"/>
            </w:tcMar>
            <w:vAlign w:val="center"/>
          </w:tcPr>
          <w:p w14:paraId="2AD7077C">
            <w:pPr>
              <w:wordWrap w:val="0"/>
              <w:adjustRightInd w:val="0"/>
              <w:snapToGrid w:val="0"/>
              <w:spacing w:line="360" w:lineRule="auto"/>
              <w:jc w:val="left"/>
            </w:pPr>
            <w:r>
              <w:rPr>
                <w:rFonts w:hint="eastAsia" w:ascii="宋体" w:hAnsi="宋体"/>
                <w:sz w:val="24"/>
              </w:rPr>
              <w:t>本项目收取履约保证金，具体详见合同内容。</w:t>
            </w:r>
          </w:p>
        </w:tc>
      </w:tr>
      <w:tr w14:paraId="01122F5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3AD397D0">
            <w:pPr>
              <w:wordWrap w:val="0"/>
              <w:spacing w:line="360" w:lineRule="auto"/>
              <w:jc w:val="center"/>
              <w:rPr>
                <w:rFonts w:hint="eastAsia" w:ascii="宋体" w:hAnsi="宋体"/>
                <w:sz w:val="24"/>
              </w:rPr>
            </w:pPr>
            <w:r>
              <w:rPr>
                <w:rFonts w:ascii="宋体" w:hAnsi="宋体"/>
                <w:sz w:val="24"/>
              </w:rPr>
              <w:t>14.1</w:t>
            </w:r>
          </w:p>
        </w:tc>
        <w:tc>
          <w:tcPr>
            <w:tcW w:w="2325" w:type="dxa"/>
            <w:tcMar>
              <w:top w:w="57" w:type="dxa"/>
              <w:left w:w="57" w:type="dxa"/>
              <w:bottom w:w="57" w:type="dxa"/>
              <w:right w:w="57" w:type="dxa"/>
            </w:tcMar>
            <w:vAlign w:val="center"/>
          </w:tcPr>
          <w:p w14:paraId="6273CDD1">
            <w:pPr>
              <w:jc w:val="center"/>
            </w:pPr>
            <w:r>
              <w:rPr>
                <w:rFonts w:hint="eastAsia" w:ascii="宋体" w:hAnsi="宋体"/>
                <w:sz w:val="24"/>
              </w:rPr>
              <w:t>付款方式</w:t>
            </w:r>
          </w:p>
        </w:tc>
        <w:tc>
          <w:tcPr>
            <w:tcW w:w="6162" w:type="dxa"/>
            <w:tcMar>
              <w:top w:w="57" w:type="dxa"/>
              <w:left w:w="57" w:type="dxa"/>
              <w:bottom w:w="57" w:type="dxa"/>
              <w:right w:w="57" w:type="dxa"/>
            </w:tcMar>
            <w:vAlign w:val="center"/>
          </w:tcPr>
          <w:p w14:paraId="0FABC12A">
            <w:pPr>
              <w:wordWrap w:val="0"/>
              <w:spacing w:line="360" w:lineRule="auto"/>
              <w:rPr>
                <w:rFonts w:hint="eastAsia" w:ascii="宋体" w:hAnsi="宋体"/>
                <w:sz w:val="24"/>
              </w:rPr>
            </w:pPr>
            <w:r>
              <w:rPr>
                <w:rFonts w:ascii="宋体" w:hAnsi="宋体"/>
                <w:sz w:val="24"/>
              </w:rPr>
              <w:t>付款方式：</w:t>
            </w:r>
          </w:p>
          <w:p w14:paraId="4B1E33DC">
            <w:pPr>
              <w:wordWrap w:val="0"/>
              <w:spacing w:line="360" w:lineRule="auto"/>
              <w:rPr>
                <w:rFonts w:hint="eastAsia" w:ascii="宋体" w:hAnsi="宋体"/>
                <w:sz w:val="24"/>
              </w:rPr>
            </w:pPr>
            <w:r>
              <w:rPr>
                <w:rFonts w:ascii="宋体" w:hAnsi="宋体"/>
                <w:sz w:val="24"/>
              </w:rPr>
              <w:t>1.第一次付款：合同生效且本项目开工后七个工作日内，付款</w:t>
            </w:r>
            <w:r>
              <w:rPr>
                <w:rFonts w:hint="eastAsia" w:ascii="宋体" w:hAnsi="宋体"/>
                <w:sz w:val="24"/>
              </w:rPr>
              <w:t>至</w:t>
            </w:r>
            <w:r>
              <w:rPr>
                <w:rFonts w:ascii="宋体" w:hAnsi="宋体"/>
                <w:sz w:val="24"/>
              </w:rPr>
              <w:t>合同总价款的10%；</w:t>
            </w:r>
          </w:p>
          <w:p w14:paraId="60B86353">
            <w:pPr>
              <w:wordWrap w:val="0"/>
              <w:spacing w:line="360" w:lineRule="auto"/>
              <w:rPr>
                <w:rFonts w:hint="eastAsia" w:ascii="宋体" w:hAnsi="宋体"/>
                <w:sz w:val="24"/>
              </w:rPr>
            </w:pPr>
            <w:r>
              <w:rPr>
                <w:rFonts w:ascii="宋体" w:hAnsi="宋体"/>
                <w:sz w:val="24"/>
              </w:rPr>
              <w:t>2.第二次付款：工程量完成50%，并经监理确认，</w:t>
            </w:r>
            <w:r>
              <w:rPr>
                <w:rFonts w:hint="eastAsia" w:ascii="宋体" w:hAnsi="宋体"/>
                <w:sz w:val="24"/>
              </w:rPr>
              <w:t>付款至</w:t>
            </w:r>
            <w:r>
              <w:rPr>
                <w:rFonts w:ascii="宋体" w:hAnsi="宋体"/>
                <w:sz w:val="24"/>
              </w:rPr>
              <w:t>合同总价款的50%；</w:t>
            </w:r>
          </w:p>
          <w:p w14:paraId="1CC75047">
            <w:pPr>
              <w:wordWrap w:val="0"/>
              <w:spacing w:line="360" w:lineRule="auto"/>
              <w:rPr>
                <w:rFonts w:hint="eastAsia" w:ascii="宋体" w:hAnsi="宋体"/>
                <w:sz w:val="24"/>
              </w:rPr>
            </w:pPr>
            <w:r>
              <w:rPr>
                <w:rFonts w:ascii="宋体" w:hAnsi="宋体"/>
                <w:sz w:val="24"/>
              </w:rPr>
              <w:t>3.第三次付款：工程量完成80%，并经监理确认，</w:t>
            </w:r>
            <w:r>
              <w:rPr>
                <w:rFonts w:hint="eastAsia" w:ascii="宋体" w:hAnsi="宋体"/>
                <w:sz w:val="24"/>
              </w:rPr>
              <w:t>付款至</w:t>
            </w:r>
            <w:r>
              <w:rPr>
                <w:rFonts w:ascii="宋体" w:hAnsi="宋体"/>
                <w:sz w:val="24"/>
              </w:rPr>
              <w:t>合同总价款的80%；</w:t>
            </w:r>
          </w:p>
          <w:p w14:paraId="255F8791">
            <w:pPr>
              <w:wordWrap w:val="0"/>
              <w:spacing w:line="360" w:lineRule="auto"/>
              <w:rPr>
                <w:rFonts w:hint="eastAsia" w:ascii="宋体" w:hAnsi="宋体"/>
                <w:sz w:val="24"/>
              </w:rPr>
            </w:pPr>
            <w:r>
              <w:rPr>
                <w:rFonts w:ascii="宋体" w:hAnsi="宋体"/>
                <w:sz w:val="24"/>
              </w:rPr>
              <w:t>4.第四次付款：竣工验收合格，工程结算审核完成（签订工程结算造价定案表）后的十个工作日内，</w:t>
            </w:r>
            <w:r>
              <w:rPr>
                <w:rFonts w:hint="eastAsia" w:ascii="宋体" w:hAnsi="宋体"/>
                <w:sz w:val="24"/>
              </w:rPr>
              <w:t>付款至</w:t>
            </w:r>
            <w:r>
              <w:rPr>
                <w:rFonts w:ascii="宋体" w:hAnsi="宋体"/>
                <w:sz w:val="24"/>
              </w:rPr>
              <w:t>审定价的97%；</w:t>
            </w:r>
          </w:p>
          <w:p w14:paraId="5CE07BFF">
            <w:pPr>
              <w:wordWrap w:val="0"/>
              <w:spacing w:line="360" w:lineRule="auto"/>
              <w:rPr>
                <w:rFonts w:hint="eastAsia" w:ascii="宋体" w:hAnsi="宋体"/>
                <w:sz w:val="24"/>
              </w:rPr>
            </w:pPr>
            <w:r>
              <w:rPr>
                <w:rFonts w:ascii="宋体" w:hAnsi="宋体"/>
                <w:sz w:val="24"/>
              </w:rPr>
              <w:t>5.第五次付款：质保期满，</w:t>
            </w:r>
            <w:r>
              <w:rPr>
                <w:rFonts w:hint="eastAsia" w:ascii="宋体" w:hAnsi="宋体"/>
                <w:sz w:val="24"/>
              </w:rPr>
              <w:t>付款至</w:t>
            </w:r>
            <w:r>
              <w:rPr>
                <w:rFonts w:ascii="宋体" w:hAnsi="宋体"/>
                <w:sz w:val="24"/>
              </w:rPr>
              <w:t>审定价的100%；</w:t>
            </w:r>
          </w:p>
          <w:p w14:paraId="2B01D9ED">
            <w:pPr>
              <w:wordWrap w:val="0"/>
              <w:spacing w:line="360" w:lineRule="auto"/>
              <w:rPr>
                <w:rFonts w:hint="eastAsia" w:ascii="宋体" w:hAnsi="宋体"/>
                <w:sz w:val="24"/>
              </w:rPr>
            </w:pPr>
            <w:r>
              <w:rPr>
                <w:rFonts w:ascii="宋体" w:hAnsi="宋体"/>
                <w:sz w:val="24"/>
              </w:rPr>
              <w:t>支付方式：银行转账</w:t>
            </w:r>
          </w:p>
        </w:tc>
      </w:tr>
      <w:tr w14:paraId="5CA891D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31AEF911">
            <w:pPr>
              <w:wordWrap w:val="0"/>
              <w:spacing w:line="360" w:lineRule="auto"/>
              <w:jc w:val="center"/>
              <w:rPr>
                <w:rFonts w:hint="eastAsia" w:ascii="宋体" w:hAnsi="宋体"/>
                <w:sz w:val="24"/>
              </w:rPr>
            </w:pPr>
            <w:r>
              <w:rPr>
                <w:rFonts w:ascii="宋体" w:hAnsi="宋体"/>
                <w:sz w:val="24"/>
              </w:rPr>
              <w:t>1</w:t>
            </w:r>
            <w:r>
              <w:rPr>
                <w:rFonts w:hint="eastAsia" w:ascii="宋体" w:hAnsi="宋体"/>
                <w:sz w:val="24"/>
              </w:rPr>
              <w:t>6</w:t>
            </w:r>
            <w:r>
              <w:rPr>
                <w:rFonts w:ascii="宋体" w:hAnsi="宋体"/>
                <w:sz w:val="24"/>
              </w:rPr>
              <w:t>.7</w:t>
            </w:r>
          </w:p>
        </w:tc>
        <w:tc>
          <w:tcPr>
            <w:tcW w:w="2325" w:type="dxa"/>
            <w:tcMar>
              <w:top w:w="57" w:type="dxa"/>
              <w:left w:w="57" w:type="dxa"/>
              <w:bottom w:w="57" w:type="dxa"/>
              <w:right w:w="57" w:type="dxa"/>
            </w:tcMar>
            <w:vAlign w:val="center"/>
          </w:tcPr>
          <w:p w14:paraId="2095E090">
            <w:pPr>
              <w:wordWrap w:val="0"/>
              <w:spacing w:line="360" w:lineRule="auto"/>
              <w:ind w:left="710" w:leftChars="-23" w:hanging="758" w:hangingChars="316"/>
              <w:jc w:val="center"/>
              <w:rPr>
                <w:rFonts w:hint="eastAsia" w:ascii="宋体" w:hAnsi="宋体"/>
                <w:sz w:val="24"/>
              </w:rPr>
            </w:pPr>
            <w:r>
              <w:rPr>
                <w:rFonts w:hint="eastAsia" w:ascii="宋体" w:hAnsi="宋体"/>
                <w:sz w:val="24"/>
              </w:rPr>
              <w:t>质疑函接收</w:t>
            </w:r>
          </w:p>
        </w:tc>
        <w:tc>
          <w:tcPr>
            <w:tcW w:w="6162" w:type="dxa"/>
            <w:tcMar>
              <w:top w:w="57" w:type="dxa"/>
              <w:left w:w="57" w:type="dxa"/>
              <w:bottom w:w="57" w:type="dxa"/>
              <w:right w:w="57" w:type="dxa"/>
            </w:tcMar>
            <w:vAlign w:val="center"/>
          </w:tcPr>
          <w:p w14:paraId="30D4BC0F">
            <w:pPr>
              <w:spacing w:line="360" w:lineRule="auto"/>
              <w:rPr>
                <w:rFonts w:hint="eastAsia" w:ascii="宋体" w:hAnsi="宋体" w:cs="宋体"/>
                <w:spacing w:val="-6"/>
                <w:sz w:val="24"/>
              </w:rPr>
            </w:pPr>
            <w:r>
              <w:rPr>
                <w:rFonts w:hint="eastAsia" w:ascii="宋体" w:hAnsi="宋体" w:cs="宋体"/>
                <w:spacing w:val="-6"/>
                <w:sz w:val="24"/>
              </w:rPr>
              <w:t>联系单位：河南招标采购服务有限公司</w:t>
            </w:r>
          </w:p>
          <w:p w14:paraId="6C3F4F12">
            <w:pPr>
              <w:spacing w:line="360" w:lineRule="auto"/>
              <w:rPr>
                <w:rFonts w:hint="eastAsia" w:ascii="宋体" w:hAnsi="宋体" w:cs="宋体"/>
                <w:sz w:val="24"/>
                <w:lang w:bidi="en-US"/>
              </w:rPr>
            </w:pPr>
            <w:r>
              <w:rPr>
                <w:rFonts w:hint="eastAsia" w:ascii="宋体" w:hAnsi="宋体" w:cs="宋体"/>
                <w:sz w:val="24"/>
                <w:lang w:bidi="en-US"/>
              </w:rPr>
              <w:t>联系人：闫合涛、张广夙</w:t>
            </w:r>
          </w:p>
          <w:p w14:paraId="53C94FE6">
            <w:pPr>
              <w:spacing w:line="360" w:lineRule="auto"/>
              <w:rPr>
                <w:rFonts w:hint="eastAsia" w:ascii="宋体" w:hAnsi="宋体" w:cs="宋体"/>
                <w:sz w:val="24"/>
                <w:lang w:bidi="en-US"/>
              </w:rPr>
            </w:pPr>
            <w:r>
              <w:rPr>
                <w:rFonts w:hint="eastAsia" w:ascii="宋体" w:hAnsi="宋体" w:cs="宋体"/>
                <w:sz w:val="24"/>
                <w:lang w:bidi="en-US"/>
              </w:rPr>
              <w:t>联系电话：0371-65990020</w:t>
            </w:r>
          </w:p>
          <w:p w14:paraId="6D0B116E">
            <w:pPr>
              <w:wordWrap w:val="0"/>
              <w:spacing w:line="360" w:lineRule="auto"/>
              <w:rPr>
                <w:rFonts w:hint="eastAsia" w:ascii="宋体" w:hAnsi="宋体"/>
                <w:sz w:val="24"/>
              </w:rPr>
            </w:pPr>
            <w:r>
              <w:rPr>
                <w:rFonts w:hint="eastAsia" w:ascii="宋体" w:hAnsi="宋体" w:cs="宋体"/>
                <w:spacing w:val="-6"/>
                <w:sz w:val="24"/>
              </w:rPr>
              <w:t>通讯地址：郑州市金水区纬四路13号</w:t>
            </w:r>
          </w:p>
        </w:tc>
      </w:tr>
      <w:tr w14:paraId="320C20F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49F08A26">
            <w:pPr>
              <w:wordWrap w:val="0"/>
              <w:spacing w:line="360" w:lineRule="auto"/>
              <w:jc w:val="center"/>
              <w:rPr>
                <w:rFonts w:hint="eastAsia" w:ascii="宋体" w:hAnsi="宋体"/>
                <w:sz w:val="24"/>
              </w:rPr>
            </w:pPr>
            <w:r>
              <w:rPr>
                <w:rFonts w:hint="eastAsia" w:ascii="宋体" w:hAnsi="宋体"/>
                <w:sz w:val="24"/>
              </w:rPr>
              <w:t>17</w:t>
            </w:r>
            <w:r>
              <w:rPr>
                <w:rFonts w:ascii="宋体" w:hAnsi="宋体"/>
                <w:sz w:val="24"/>
              </w:rPr>
              <w:t>.3</w:t>
            </w:r>
          </w:p>
        </w:tc>
        <w:tc>
          <w:tcPr>
            <w:tcW w:w="2325" w:type="dxa"/>
            <w:tcMar>
              <w:top w:w="57" w:type="dxa"/>
              <w:left w:w="57" w:type="dxa"/>
              <w:bottom w:w="57" w:type="dxa"/>
              <w:right w:w="57" w:type="dxa"/>
            </w:tcMar>
            <w:vAlign w:val="center"/>
          </w:tcPr>
          <w:p w14:paraId="2BF0BCDB">
            <w:pPr>
              <w:wordWrap w:val="0"/>
              <w:spacing w:line="360" w:lineRule="auto"/>
              <w:ind w:left="707" w:leftChars="1" w:hanging="705" w:hangingChars="294"/>
              <w:jc w:val="center"/>
              <w:rPr>
                <w:rFonts w:hint="eastAsia" w:ascii="宋体" w:hAnsi="宋体"/>
                <w:sz w:val="24"/>
              </w:rPr>
            </w:pPr>
            <w:r>
              <w:rPr>
                <w:rFonts w:hint="eastAsia" w:ascii="宋体" w:hAnsi="宋体"/>
                <w:sz w:val="24"/>
              </w:rPr>
              <w:t>代理机构内部监督</w:t>
            </w:r>
          </w:p>
        </w:tc>
        <w:tc>
          <w:tcPr>
            <w:tcW w:w="6162" w:type="dxa"/>
            <w:tcMar>
              <w:top w:w="57" w:type="dxa"/>
              <w:left w:w="57" w:type="dxa"/>
              <w:bottom w:w="57" w:type="dxa"/>
              <w:right w:w="57" w:type="dxa"/>
            </w:tcMar>
            <w:vAlign w:val="center"/>
          </w:tcPr>
          <w:p w14:paraId="4D89EA5C">
            <w:pPr>
              <w:wordWrap w:val="0"/>
              <w:spacing w:line="360" w:lineRule="auto"/>
              <w:ind w:left="707" w:leftChars="1" w:hanging="705" w:hangingChars="294"/>
              <w:rPr>
                <w:rFonts w:hint="eastAsia" w:ascii="宋体" w:hAnsi="宋体"/>
                <w:sz w:val="24"/>
              </w:rPr>
            </w:pPr>
            <w:r>
              <w:rPr>
                <w:rFonts w:hint="eastAsia" w:ascii="宋体" w:hAnsi="宋体"/>
                <w:sz w:val="24"/>
              </w:rPr>
              <w:t>采购代理机构反腐倡廉监督电话：0371—6596 2573</w:t>
            </w:r>
          </w:p>
          <w:p w14:paraId="3EF0AC3B">
            <w:pPr>
              <w:wordWrap w:val="0"/>
              <w:spacing w:line="360" w:lineRule="auto"/>
              <w:ind w:left="707" w:leftChars="1" w:hanging="705" w:hangingChars="294"/>
              <w:rPr>
                <w:rFonts w:hint="eastAsia" w:ascii="宋体" w:hAnsi="宋体"/>
                <w:sz w:val="24"/>
              </w:rPr>
            </w:pPr>
            <w:r>
              <w:rPr>
                <w:rFonts w:hint="eastAsia" w:ascii="宋体" w:hAnsi="宋体"/>
                <w:sz w:val="24"/>
              </w:rPr>
              <w:t>邮 箱：</w:t>
            </w:r>
            <w:r>
              <w:rPr>
                <w:rFonts w:ascii="宋体" w:hAnsi="宋体"/>
                <w:sz w:val="24"/>
              </w:rPr>
              <w:t>hnzbcggs2000@126.com</w:t>
            </w:r>
          </w:p>
        </w:tc>
      </w:tr>
      <w:tr w14:paraId="2645EA63">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165A3D50">
            <w:pPr>
              <w:wordWrap w:val="0"/>
              <w:spacing w:line="360" w:lineRule="auto"/>
              <w:jc w:val="center"/>
              <w:rPr>
                <w:rFonts w:hint="eastAsia" w:ascii="宋体" w:hAnsi="宋体"/>
                <w:sz w:val="24"/>
              </w:rPr>
            </w:pPr>
            <w:r>
              <w:rPr>
                <w:rFonts w:hint="eastAsia" w:ascii="宋体" w:hAnsi="宋体"/>
                <w:sz w:val="24"/>
              </w:rPr>
              <w:t>21</w:t>
            </w:r>
            <w:r>
              <w:rPr>
                <w:rFonts w:ascii="宋体" w:hAnsi="宋体"/>
                <w:sz w:val="24"/>
              </w:rPr>
              <w:t>.1</w:t>
            </w:r>
          </w:p>
        </w:tc>
        <w:tc>
          <w:tcPr>
            <w:tcW w:w="2325" w:type="dxa"/>
            <w:tcMar>
              <w:top w:w="57" w:type="dxa"/>
              <w:left w:w="57" w:type="dxa"/>
              <w:bottom w:w="57" w:type="dxa"/>
              <w:right w:w="57" w:type="dxa"/>
            </w:tcMar>
            <w:vAlign w:val="center"/>
          </w:tcPr>
          <w:p w14:paraId="1EEEF0C5">
            <w:pPr>
              <w:wordWrap w:val="0"/>
              <w:spacing w:line="360" w:lineRule="auto"/>
              <w:jc w:val="center"/>
              <w:rPr>
                <w:rFonts w:hint="eastAsia" w:ascii="宋体" w:hAnsi="宋体"/>
                <w:sz w:val="24"/>
              </w:rPr>
            </w:pPr>
            <w:r>
              <w:rPr>
                <w:rFonts w:hint="eastAsia" w:ascii="宋体" w:hAnsi="宋体"/>
                <w:sz w:val="24"/>
              </w:rPr>
              <w:t>招标代理服务费</w:t>
            </w:r>
          </w:p>
        </w:tc>
        <w:tc>
          <w:tcPr>
            <w:tcW w:w="6162" w:type="dxa"/>
            <w:tcMar>
              <w:top w:w="57" w:type="dxa"/>
              <w:left w:w="57" w:type="dxa"/>
              <w:bottom w:w="57" w:type="dxa"/>
              <w:right w:w="57" w:type="dxa"/>
            </w:tcMar>
            <w:vAlign w:val="center"/>
          </w:tcPr>
          <w:p w14:paraId="4F976CB7">
            <w:pPr>
              <w:wordWrap w:val="0"/>
              <w:spacing w:line="360" w:lineRule="auto"/>
              <w:rPr>
                <w:rFonts w:hint="eastAsia" w:ascii="宋体" w:hAnsi="宋体" w:cs="宋体"/>
                <w:spacing w:val="-6"/>
                <w:sz w:val="24"/>
              </w:rPr>
            </w:pPr>
            <w:r>
              <w:rPr>
                <w:rFonts w:hint="eastAsia" w:ascii="宋体" w:hAnsi="宋体"/>
                <w:sz w:val="24"/>
              </w:rPr>
              <w:t>招标</w:t>
            </w:r>
            <w:r>
              <w:rPr>
                <w:rFonts w:hint="eastAsia" w:ascii="宋体" w:hAnsi="宋体" w:cs="宋体"/>
                <w:spacing w:val="-6"/>
                <w:sz w:val="24"/>
              </w:rPr>
              <w:t>代理服务费收费标准为：根据《河南省招标代理服务收费指导意见》（豫招协[2023]002号）规定的收费标准*70%收取，成交人</w:t>
            </w:r>
            <w:r>
              <w:rPr>
                <w:rFonts w:ascii="Segoe UI" w:hAnsi="Segoe UI" w:eastAsia="Segoe UI" w:cs="Segoe UI"/>
                <w:color w:val="0F1115"/>
                <w:sz w:val="24"/>
                <w:shd w:val="clear" w:color="auto" w:fill="FFFFFF"/>
              </w:rPr>
              <w:t>在收到成交通知书时</w:t>
            </w:r>
            <w:r>
              <w:rPr>
                <w:rFonts w:hint="eastAsia" w:ascii="Segoe UI" w:hAnsi="Segoe UI" w:cs="Segoe UI"/>
                <w:color w:val="0F1115"/>
                <w:sz w:val="24"/>
                <w:shd w:val="clear" w:color="auto" w:fill="FFFFFF"/>
              </w:rPr>
              <w:t>向代理机构</w:t>
            </w:r>
            <w:r>
              <w:rPr>
                <w:rFonts w:ascii="Segoe UI" w:hAnsi="Segoe UI" w:eastAsia="Segoe UI" w:cs="Segoe UI"/>
                <w:color w:val="0F1115"/>
                <w:sz w:val="24"/>
                <w:shd w:val="clear" w:color="auto" w:fill="FFFFFF"/>
              </w:rPr>
              <w:t>一次性支付</w:t>
            </w:r>
            <w:r>
              <w:rPr>
                <w:rFonts w:hint="eastAsia" w:ascii="Segoe UI" w:hAnsi="Segoe UI" w:cs="Segoe UI"/>
                <w:color w:val="0F1115"/>
                <w:sz w:val="24"/>
                <w:shd w:val="clear" w:color="auto" w:fill="FFFFFF"/>
              </w:rPr>
              <w:t>。</w:t>
            </w:r>
          </w:p>
          <w:p w14:paraId="7F327654">
            <w:pPr>
              <w:wordWrap w:val="0"/>
              <w:spacing w:line="360" w:lineRule="auto"/>
              <w:rPr>
                <w:rFonts w:hint="eastAsia" w:ascii="宋体" w:hAnsi="宋体" w:cs="宋体"/>
                <w:spacing w:val="-6"/>
                <w:sz w:val="24"/>
              </w:rPr>
            </w:pPr>
            <w:r>
              <w:rPr>
                <w:rFonts w:hint="eastAsia" w:ascii="宋体" w:hAnsi="宋体" w:cs="宋体"/>
                <w:spacing w:val="-6"/>
                <w:sz w:val="24"/>
              </w:rPr>
              <w:t>采购代理服务费收取信息：</w:t>
            </w:r>
          </w:p>
          <w:p w14:paraId="4DF26A27">
            <w:pPr>
              <w:wordWrap w:val="0"/>
              <w:spacing w:line="360" w:lineRule="auto"/>
              <w:rPr>
                <w:rFonts w:hint="eastAsia" w:ascii="宋体" w:hAnsi="宋体" w:cs="宋体"/>
                <w:spacing w:val="-6"/>
                <w:sz w:val="24"/>
              </w:rPr>
            </w:pPr>
            <w:r>
              <w:rPr>
                <w:rFonts w:hint="eastAsia" w:ascii="宋体" w:hAnsi="宋体" w:cs="宋体"/>
                <w:spacing w:val="-6"/>
                <w:sz w:val="24"/>
              </w:rPr>
              <w:t>单  位：河南招标采购服务有限公司</w:t>
            </w:r>
          </w:p>
          <w:p w14:paraId="67DF3AE6">
            <w:pPr>
              <w:wordWrap w:val="0"/>
              <w:spacing w:line="360" w:lineRule="auto"/>
              <w:rPr>
                <w:rFonts w:hint="eastAsia" w:ascii="宋体" w:hAnsi="宋体" w:cs="宋体"/>
                <w:spacing w:val="-6"/>
                <w:sz w:val="24"/>
              </w:rPr>
            </w:pPr>
            <w:r>
              <w:rPr>
                <w:rFonts w:hint="eastAsia" w:ascii="宋体" w:hAnsi="宋体" w:cs="宋体"/>
                <w:spacing w:val="-6"/>
                <w:sz w:val="24"/>
              </w:rPr>
              <w:t>开户行：广发银行股份有限公司郑州金水路支行</w:t>
            </w:r>
          </w:p>
          <w:p w14:paraId="79E3767F">
            <w:pPr>
              <w:wordWrap w:val="0"/>
              <w:spacing w:line="360" w:lineRule="auto"/>
              <w:rPr>
                <w:rFonts w:hint="eastAsia" w:ascii="宋体" w:hAnsi="宋体"/>
                <w:sz w:val="24"/>
              </w:rPr>
            </w:pPr>
            <w:r>
              <w:rPr>
                <w:rFonts w:hint="eastAsia" w:ascii="宋体" w:hAnsi="宋体" w:cs="宋体"/>
                <w:spacing w:val="-6"/>
                <w:sz w:val="24"/>
              </w:rPr>
              <w:t>账  号：131022516010005452</w:t>
            </w:r>
          </w:p>
        </w:tc>
      </w:tr>
      <w:tr w14:paraId="3F93082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633DA25E">
            <w:pPr>
              <w:wordWrap w:val="0"/>
              <w:spacing w:line="360" w:lineRule="auto"/>
              <w:jc w:val="center"/>
              <w:rPr>
                <w:rFonts w:hint="eastAsia" w:ascii="宋体" w:hAnsi="宋体"/>
                <w:sz w:val="24"/>
              </w:rPr>
            </w:pPr>
            <w:r>
              <w:rPr>
                <w:rFonts w:ascii="宋体" w:hAnsi="宋体"/>
                <w:sz w:val="24"/>
              </w:rPr>
              <w:t>22</w:t>
            </w:r>
          </w:p>
        </w:tc>
        <w:tc>
          <w:tcPr>
            <w:tcW w:w="8487" w:type="dxa"/>
            <w:gridSpan w:val="2"/>
            <w:tcMar>
              <w:top w:w="57" w:type="dxa"/>
              <w:left w:w="57" w:type="dxa"/>
              <w:bottom w:w="57" w:type="dxa"/>
              <w:right w:w="57" w:type="dxa"/>
            </w:tcMar>
            <w:vAlign w:val="center"/>
          </w:tcPr>
          <w:p w14:paraId="4E8AD826">
            <w:pPr>
              <w:wordWrap w:val="0"/>
              <w:spacing w:line="360" w:lineRule="auto"/>
              <w:rPr>
                <w:rFonts w:hint="eastAsia" w:ascii="宋体" w:hAnsi="宋体"/>
                <w:b/>
                <w:bCs/>
                <w:sz w:val="24"/>
              </w:rPr>
            </w:pPr>
            <w:r>
              <w:rPr>
                <w:rFonts w:hint="eastAsia" w:ascii="宋体" w:hAnsi="宋体"/>
                <w:b/>
                <w:bCs/>
                <w:sz w:val="24"/>
              </w:rPr>
              <w:t>需要补充的其他内容</w:t>
            </w:r>
          </w:p>
        </w:tc>
      </w:tr>
      <w:tr w14:paraId="71C701F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06AC1ADC">
            <w:pPr>
              <w:wordWrap w:val="0"/>
              <w:spacing w:line="360" w:lineRule="auto"/>
              <w:jc w:val="center"/>
              <w:rPr>
                <w:rFonts w:hint="eastAsia" w:ascii="宋体" w:hAnsi="宋体"/>
                <w:sz w:val="24"/>
              </w:rPr>
            </w:pPr>
            <w:r>
              <w:rPr>
                <w:rFonts w:hint="eastAsia" w:ascii="宋体" w:hAnsi="宋体"/>
                <w:sz w:val="24"/>
              </w:rPr>
              <w:t>2</w:t>
            </w:r>
            <w:r>
              <w:rPr>
                <w:rFonts w:ascii="宋体" w:hAnsi="宋体"/>
                <w:sz w:val="24"/>
              </w:rPr>
              <w:t>2.1</w:t>
            </w:r>
          </w:p>
        </w:tc>
        <w:tc>
          <w:tcPr>
            <w:tcW w:w="8487" w:type="dxa"/>
            <w:gridSpan w:val="2"/>
            <w:tcMar>
              <w:top w:w="57" w:type="dxa"/>
              <w:left w:w="57" w:type="dxa"/>
              <w:bottom w:w="57" w:type="dxa"/>
              <w:right w:w="57" w:type="dxa"/>
            </w:tcMar>
            <w:vAlign w:val="center"/>
          </w:tcPr>
          <w:p w14:paraId="138F0BDE">
            <w:pPr>
              <w:wordWrap w:val="0"/>
              <w:spacing w:line="360" w:lineRule="auto"/>
              <w:rPr>
                <w:rFonts w:hint="eastAsia" w:ascii="宋体" w:hAnsi="宋体"/>
                <w:sz w:val="24"/>
              </w:rPr>
            </w:pPr>
            <w:r>
              <w:rPr>
                <w:rFonts w:hint="eastAsia" w:ascii="宋体" w:hAnsi="宋体"/>
                <w:sz w:val="24"/>
              </w:rPr>
              <w:t>邀请供应商准时参加磋商活动，如果未参加磋商活动，将承担不利后果。</w:t>
            </w:r>
          </w:p>
        </w:tc>
      </w:tr>
      <w:tr w14:paraId="5B48DD2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7AA4258B">
            <w:pPr>
              <w:wordWrap w:val="0"/>
              <w:spacing w:line="360" w:lineRule="auto"/>
              <w:jc w:val="center"/>
              <w:rPr>
                <w:rFonts w:hint="eastAsia" w:ascii="宋体" w:hAnsi="宋体"/>
                <w:sz w:val="24"/>
              </w:rPr>
            </w:pPr>
            <w:r>
              <w:rPr>
                <w:rFonts w:hint="eastAsia" w:ascii="宋体" w:hAnsi="宋体"/>
                <w:sz w:val="24"/>
              </w:rPr>
              <w:t>2</w:t>
            </w:r>
            <w:r>
              <w:rPr>
                <w:rFonts w:ascii="宋体" w:hAnsi="宋体"/>
                <w:sz w:val="24"/>
              </w:rPr>
              <w:t>2.2</w:t>
            </w:r>
          </w:p>
        </w:tc>
        <w:tc>
          <w:tcPr>
            <w:tcW w:w="8487" w:type="dxa"/>
            <w:gridSpan w:val="2"/>
            <w:tcMar>
              <w:top w:w="57" w:type="dxa"/>
              <w:left w:w="57" w:type="dxa"/>
              <w:bottom w:w="57" w:type="dxa"/>
              <w:right w:w="57" w:type="dxa"/>
            </w:tcMar>
            <w:vAlign w:val="center"/>
          </w:tcPr>
          <w:p w14:paraId="06412F39">
            <w:pPr>
              <w:wordWrap w:val="0"/>
              <w:spacing w:line="360" w:lineRule="auto"/>
              <w:rPr>
                <w:rFonts w:hint="eastAsia" w:ascii="宋体" w:hAnsi="宋体"/>
                <w:sz w:val="24"/>
              </w:rPr>
            </w:pPr>
            <w:r>
              <w:rPr>
                <w:rFonts w:hint="eastAsia" w:ascii="宋体" w:hAnsi="宋体"/>
                <w:sz w:val="24"/>
              </w:rPr>
              <w:t>信用信息截止时间点：评审结束之前；</w:t>
            </w:r>
          </w:p>
          <w:p w14:paraId="0DBD5C93">
            <w:pPr>
              <w:wordWrap w:val="0"/>
              <w:spacing w:line="360" w:lineRule="auto"/>
              <w:rPr>
                <w:rFonts w:hint="eastAsia" w:ascii="宋体" w:hAnsi="宋体"/>
                <w:sz w:val="24"/>
              </w:rPr>
            </w:pPr>
            <w:r>
              <w:rPr>
                <w:rFonts w:hint="eastAsia" w:ascii="宋体" w:hAnsi="宋体"/>
                <w:sz w:val="24"/>
              </w:rPr>
              <w:t>信用查询时间：在提交响应文件截止时间至评审结束之前进行查询。</w:t>
            </w:r>
          </w:p>
          <w:p w14:paraId="34953617">
            <w:pPr>
              <w:wordWrap w:val="0"/>
              <w:spacing w:line="360" w:lineRule="auto"/>
              <w:rPr>
                <w:rFonts w:hint="eastAsia" w:ascii="宋体" w:hAnsi="宋体"/>
                <w:sz w:val="24"/>
              </w:rPr>
            </w:pPr>
            <w:r>
              <w:rPr>
                <w:rFonts w:hint="eastAsia" w:ascii="宋体" w:hAnsi="宋体"/>
                <w:sz w:val="24"/>
              </w:rPr>
              <w:t>信用查询记录方式：采购人</w:t>
            </w:r>
            <w:r>
              <w:rPr>
                <w:rFonts w:ascii="宋体" w:hAnsi="宋体"/>
                <w:sz w:val="24"/>
              </w:rPr>
              <w:t>或采购代理机构</w:t>
            </w:r>
            <w:r>
              <w:rPr>
                <w:rFonts w:hint="eastAsia" w:ascii="宋体" w:hAnsi="宋体"/>
                <w:sz w:val="24"/>
              </w:rPr>
              <w:t>将根据要求进行查询，供应商不良信用记录以采购人</w:t>
            </w:r>
            <w:r>
              <w:rPr>
                <w:rFonts w:ascii="宋体" w:hAnsi="宋体"/>
                <w:sz w:val="24"/>
              </w:rPr>
              <w:t>或采购代理机构</w:t>
            </w:r>
            <w:r>
              <w:rPr>
                <w:rFonts w:hint="eastAsia" w:ascii="宋体" w:hAnsi="宋体"/>
                <w:sz w:val="24"/>
              </w:rPr>
              <w:t>查询结果为准。供应商自行提供的与网站信息不一致的其他证明材料亦不作为资格审查依据。</w:t>
            </w:r>
          </w:p>
        </w:tc>
      </w:tr>
      <w:tr w14:paraId="36E85B4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15592857">
            <w:pPr>
              <w:wordWrap w:val="0"/>
              <w:spacing w:line="360" w:lineRule="auto"/>
              <w:jc w:val="center"/>
              <w:rPr>
                <w:rFonts w:hint="eastAsia" w:ascii="宋体" w:hAnsi="宋体"/>
                <w:sz w:val="24"/>
              </w:rPr>
            </w:pPr>
            <w:r>
              <w:rPr>
                <w:rFonts w:hint="eastAsia" w:ascii="宋体" w:hAnsi="宋体"/>
                <w:sz w:val="24"/>
              </w:rPr>
              <w:t>2</w:t>
            </w:r>
            <w:r>
              <w:rPr>
                <w:rFonts w:ascii="宋体" w:hAnsi="宋体"/>
                <w:sz w:val="24"/>
              </w:rPr>
              <w:t>2.</w:t>
            </w:r>
            <w:r>
              <w:rPr>
                <w:rFonts w:hint="eastAsia" w:ascii="宋体" w:hAnsi="宋体"/>
                <w:sz w:val="24"/>
              </w:rPr>
              <w:t>3</w:t>
            </w:r>
          </w:p>
        </w:tc>
        <w:tc>
          <w:tcPr>
            <w:tcW w:w="8487" w:type="dxa"/>
            <w:gridSpan w:val="2"/>
            <w:tcMar>
              <w:top w:w="57" w:type="dxa"/>
              <w:left w:w="57" w:type="dxa"/>
              <w:bottom w:w="57" w:type="dxa"/>
              <w:right w:w="57" w:type="dxa"/>
            </w:tcMar>
            <w:vAlign w:val="center"/>
          </w:tcPr>
          <w:p w14:paraId="186D5F29">
            <w:pPr>
              <w:wordWrap w:val="0"/>
              <w:spacing w:line="360" w:lineRule="auto"/>
              <w:rPr>
                <w:rFonts w:hint="eastAsia" w:ascii="宋体" w:hAnsi="宋体"/>
                <w:sz w:val="24"/>
              </w:rPr>
            </w:pPr>
            <w:r>
              <w:rPr>
                <w:rFonts w:hint="eastAsia" w:ascii="宋体" w:hAnsi="宋体"/>
                <w:sz w:val="24"/>
              </w:rPr>
              <w:t>项目进入评审程序后，通常情况下评审工作将会连续进行，不受正常上下班时间的限制，直至项目评审结束，请各供应商保持手机的畅通。</w:t>
            </w:r>
          </w:p>
        </w:tc>
      </w:tr>
      <w:tr w14:paraId="3019EC4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28" w:type="dxa"/>
            <w:bottom w:w="0" w:type="dxa"/>
            <w:right w:w="28" w:type="dxa"/>
          </w:tblCellMar>
        </w:tblPrEx>
        <w:trPr>
          <w:trHeight w:val="567" w:hRule="atLeast"/>
          <w:jc w:val="center"/>
        </w:trPr>
        <w:tc>
          <w:tcPr>
            <w:tcW w:w="1147" w:type="dxa"/>
            <w:tcMar>
              <w:top w:w="57" w:type="dxa"/>
              <w:left w:w="57" w:type="dxa"/>
              <w:bottom w:w="57" w:type="dxa"/>
              <w:right w:w="57" w:type="dxa"/>
            </w:tcMar>
            <w:vAlign w:val="center"/>
          </w:tcPr>
          <w:p w14:paraId="0B033D51">
            <w:pPr>
              <w:wordWrap w:val="0"/>
              <w:spacing w:line="360" w:lineRule="auto"/>
              <w:jc w:val="center"/>
              <w:rPr>
                <w:rFonts w:hint="eastAsia" w:ascii="宋体" w:hAnsi="宋体"/>
                <w:sz w:val="24"/>
              </w:rPr>
            </w:pPr>
            <w:r>
              <w:rPr>
                <w:rFonts w:hint="eastAsia" w:ascii="宋体" w:hAnsi="宋体"/>
                <w:sz w:val="24"/>
              </w:rPr>
              <w:t>22.4</w:t>
            </w:r>
          </w:p>
        </w:tc>
        <w:tc>
          <w:tcPr>
            <w:tcW w:w="8487" w:type="dxa"/>
            <w:gridSpan w:val="2"/>
            <w:tcMar>
              <w:top w:w="57" w:type="dxa"/>
              <w:left w:w="57" w:type="dxa"/>
              <w:bottom w:w="57" w:type="dxa"/>
              <w:right w:w="57" w:type="dxa"/>
            </w:tcMar>
            <w:vAlign w:val="center"/>
          </w:tcPr>
          <w:p w14:paraId="16540393">
            <w:pPr>
              <w:wordWrap w:val="0"/>
              <w:spacing w:line="360" w:lineRule="auto"/>
              <w:rPr>
                <w:rFonts w:hint="eastAsia" w:ascii="宋体" w:hAnsi="宋体"/>
                <w:sz w:val="24"/>
              </w:rPr>
            </w:pPr>
            <w:r>
              <w:rPr>
                <w:rFonts w:hint="eastAsia" w:ascii="宋体" w:hAnsi="宋体"/>
                <w:sz w:val="24"/>
              </w:rPr>
              <w:t>解释顺序：竞争性磋商文件</w:t>
            </w:r>
            <w:r>
              <w:rPr>
                <w:rFonts w:ascii="宋体" w:hAnsi="宋体"/>
                <w:sz w:val="24"/>
              </w:rPr>
              <w:t>中有不一致</w:t>
            </w:r>
            <w:r>
              <w:rPr>
                <w:rFonts w:hint="eastAsia" w:ascii="宋体" w:hAnsi="宋体"/>
                <w:sz w:val="24"/>
              </w:rPr>
              <w:t>（或矛盾）</w:t>
            </w:r>
            <w:r>
              <w:rPr>
                <w:rFonts w:ascii="宋体" w:hAnsi="宋体"/>
                <w:sz w:val="24"/>
              </w:rPr>
              <w:t>的，有</w:t>
            </w:r>
            <w:r>
              <w:rPr>
                <w:rFonts w:hint="eastAsia" w:ascii="宋体" w:hAnsi="宋体"/>
                <w:sz w:val="24"/>
              </w:rPr>
              <w:t>变更</w:t>
            </w:r>
            <w:r>
              <w:rPr>
                <w:rFonts w:ascii="宋体" w:hAnsi="宋体"/>
                <w:sz w:val="24"/>
              </w:rPr>
              <w:t>的部分</w:t>
            </w:r>
            <w:r>
              <w:rPr>
                <w:rFonts w:hint="eastAsia" w:ascii="宋体" w:hAnsi="宋体"/>
                <w:sz w:val="24"/>
              </w:rPr>
              <w:t>以</w:t>
            </w:r>
            <w:r>
              <w:rPr>
                <w:rFonts w:ascii="宋体" w:hAnsi="宋体"/>
                <w:sz w:val="24"/>
              </w:rPr>
              <w:t>最终的</w:t>
            </w:r>
            <w:r>
              <w:rPr>
                <w:rFonts w:hint="eastAsia" w:ascii="宋体" w:hAnsi="宋体"/>
                <w:sz w:val="24"/>
              </w:rPr>
              <w:t>变更</w:t>
            </w:r>
            <w:r>
              <w:rPr>
                <w:rFonts w:ascii="宋体" w:hAnsi="宋体"/>
                <w:sz w:val="24"/>
              </w:rPr>
              <w:t>内容为准</w:t>
            </w:r>
            <w:r>
              <w:rPr>
                <w:rFonts w:hint="eastAsia" w:ascii="宋体" w:hAnsi="宋体"/>
                <w:sz w:val="24"/>
              </w:rPr>
              <w:t>；未变更的，按照竞争性磋商公告、</w:t>
            </w:r>
            <w:r>
              <w:rPr>
                <w:rFonts w:hint="eastAsia"/>
                <w:sz w:val="24"/>
              </w:rPr>
              <w:t>评审办法</w:t>
            </w:r>
            <w:r>
              <w:rPr>
                <w:rFonts w:hint="eastAsia" w:ascii="宋体" w:hAnsi="宋体"/>
                <w:sz w:val="24"/>
              </w:rPr>
              <w:t>、采购需求、供应商须知、采购合同、响应文件格式的顺序进行解释，排名在前的具有优先解释权，同一章节的内容</w:t>
            </w:r>
            <w:r>
              <w:rPr>
                <w:rFonts w:ascii="宋体" w:hAnsi="宋体"/>
                <w:sz w:val="24"/>
              </w:rPr>
              <w:t>有不一致</w:t>
            </w:r>
            <w:r>
              <w:rPr>
                <w:rFonts w:hint="eastAsia" w:ascii="宋体" w:hAnsi="宋体"/>
                <w:sz w:val="24"/>
              </w:rPr>
              <w:t>（或矛盾）</w:t>
            </w:r>
            <w:r>
              <w:rPr>
                <w:rFonts w:ascii="宋体" w:hAnsi="宋体"/>
                <w:sz w:val="24"/>
              </w:rPr>
              <w:t>的以</w:t>
            </w:r>
            <w:r>
              <w:rPr>
                <w:rFonts w:hint="eastAsia" w:ascii="宋体" w:hAnsi="宋体"/>
                <w:sz w:val="24"/>
              </w:rPr>
              <w:t>排序在前的</w:t>
            </w:r>
            <w:r>
              <w:rPr>
                <w:rFonts w:ascii="宋体" w:hAnsi="宋体"/>
                <w:sz w:val="24"/>
              </w:rPr>
              <w:t>为准</w:t>
            </w:r>
            <w:r>
              <w:rPr>
                <w:rFonts w:hint="eastAsia" w:ascii="宋体" w:hAnsi="宋体"/>
                <w:sz w:val="24"/>
              </w:rPr>
              <w:t>。</w:t>
            </w:r>
          </w:p>
        </w:tc>
      </w:tr>
    </w:tbl>
    <w:p w14:paraId="6D8948E3">
      <w:pPr>
        <w:wordWrap w:val="0"/>
        <w:spacing w:line="360" w:lineRule="auto"/>
        <w:rPr>
          <w:rFonts w:hint="eastAsia" w:ascii="宋体" w:hAnsi="宋体"/>
          <w:sz w:val="24"/>
        </w:rPr>
      </w:pPr>
    </w:p>
    <w:p w14:paraId="46BE0D0C">
      <w:pPr>
        <w:rPr>
          <w:rFonts w:hint="eastAsia" w:ascii="宋体" w:hAnsi="宋体"/>
          <w:sz w:val="24"/>
        </w:rPr>
      </w:pPr>
      <w:r>
        <w:rPr>
          <w:rFonts w:hint="eastAsia" w:ascii="宋体" w:hAnsi="宋体"/>
          <w:sz w:val="24"/>
        </w:rPr>
        <w:br w:type="page"/>
      </w:r>
    </w:p>
    <w:p w14:paraId="04076473">
      <w:pPr>
        <w:wordWrap w:val="0"/>
        <w:rPr>
          <w:rFonts w:hint="eastAsia" w:ascii="宋体" w:hAnsi="宋体"/>
          <w:sz w:val="24"/>
        </w:rPr>
      </w:pPr>
    </w:p>
    <w:p w14:paraId="2AA53026">
      <w:pPr>
        <w:pStyle w:val="7"/>
        <w:numPr>
          <w:ilvl w:val="0"/>
          <w:numId w:val="1"/>
        </w:numPr>
        <w:wordWrap w:val="0"/>
        <w:spacing w:before="0" w:after="0" w:line="360" w:lineRule="auto"/>
        <w:jc w:val="center"/>
        <w:rPr>
          <w:rFonts w:hint="eastAsia" w:ascii="黑体" w:hAnsi="黑体"/>
          <w:b w:val="0"/>
          <w:bCs w:val="0"/>
          <w:sz w:val="28"/>
        </w:rPr>
      </w:pPr>
      <w:bookmarkStart w:id="104" w:name="_Toc22352"/>
      <w:bookmarkStart w:id="105" w:name="_Toc2770"/>
      <w:bookmarkStart w:id="106" w:name="_Toc26200"/>
      <w:bookmarkStart w:id="107" w:name="_Toc532473450"/>
      <w:bookmarkStart w:id="108" w:name="_Toc32623"/>
      <w:bookmarkStart w:id="109" w:name="_Toc32189"/>
      <w:bookmarkStart w:id="110" w:name="_Toc15048289"/>
      <w:bookmarkStart w:id="111" w:name="_Toc520356144"/>
      <w:bookmarkStart w:id="112" w:name="_Toc515647758"/>
      <w:r>
        <w:rPr>
          <w:rFonts w:hint="eastAsia" w:ascii="黑体" w:hAnsi="黑体"/>
          <w:b w:val="0"/>
          <w:bCs w:val="0"/>
          <w:sz w:val="28"/>
        </w:rPr>
        <w:t>供应商须知总则</w:t>
      </w:r>
      <w:bookmarkEnd w:id="104"/>
      <w:bookmarkEnd w:id="105"/>
      <w:bookmarkEnd w:id="106"/>
    </w:p>
    <w:p w14:paraId="1E34E744">
      <w:pPr>
        <w:pStyle w:val="7"/>
        <w:wordWrap w:val="0"/>
        <w:spacing w:before="0" w:after="0" w:line="360" w:lineRule="auto"/>
        <w:rPr>
          <w:rFonts w:hint="eastAsia" w:ascii="黑体" w:hAnsi="黑体"/>
          <w:b w:val="0"/>
          <w:bCs w:val="0"/>
          <w:sz w:val="24"/>
        </w:rPr>
      </w:pPr>
      <w:bookmarkStart w:id="113" w:name="_Toc13293"/>
      <w:bookmarkStart w:id="114" w:name="_Toc5266"/>
      <w:bookmarkStart w:id="115" w:name="_Toc4744"/>
      <w:bookmarkStart w:id="116" w:name="_Toc32512"/>
      <w:bookmarkStart w:id="117" w:name="_Toc57211935"/>
      <w:r>
        <w:rPr>
          <w:rFonts w:hint="eastAsia" w:ascii="黑体" w:hAnsi="黑体"/>
          <w:b w:val="0"/>
          <w:bCs w:val="0"/>
          <w:sz w:val="24"/>
        </w:rPr>
        <w:t>1.基本内容</w:t>
      </w:r>
      <w:bookmarkEnd w:id="113"/>
      <w:bookmarkEnd w:id="114"/>
      <w:bookmarkEnd w:id="115"/>
    </w:p>
    <w:p w14:paraId="6E98DDCA">
      <w:pPr>
        <w:pStyle w:val="8"/>
        <w:wordWrap w:val="0"/>
        <w:spacing w:before="0" w:after="0" w:line="360" w:lineRule="auto"/>
        <w:rPr>
          <w:rFonts w:hint="eastAsia" w:ascii="黑体" w:hAnsi="黑体" w:eastAsia="黑体"/>
          <w:b w:val="0"/>
          <w:bCs w:val="0"/>
          <w:sz w:val="24"/>
          <w:szCs w:val="24"/>
        </w:rPr>
      </w:pPr>
      <w:r>
        <w:rPr>
          <w:rFonts w:hint="eastAsia" w:ascii="黑体" w:hAnsi="黑体" w:eastAsia="黑体"/>
          <w:b w:val="0"/>
          <w:bCs w:val="0"/>
          <w:sz w:val="24"/>
          <w:szCs w:val="24"/>
        </w:rPr>
        <w:t>1.1 项目概况</w:t>
      </w:r>
      <w:bookmarkEnd w:id="116"/>
      <w:bookmarkEnd w:id="117"/>
    </w:p>
    <w:p w14:paraId="79817029">
      <w:pPr>
        <w:tabs>
          <w:tab w:val="left" w:pos="0"/>
        </w:tabs>
        <w:wordWrap w:val="0"/>
        <w:spacing w:line="360" w:lineRule="auto"/>
        <w:rPr>
          <w:rFonts w:hint="eastAsia" w:ascii="宋体" w:hAnsi="宋体"/>
          <w:sz w:val="24"/>
        </w:rPr>
      </w:pPr>
      <w:r>
        <w:rPr>
          <w:rFonts w:hint="eastAsia" w:ascii="宋体" w:hAnsi="宋体"/>
          <w:sz w:val="24"/>
        </w:rPr>
        <w:t>1.1.1 采购人：是指依法进行政府采购的国家机关、事业单位、团体组织。</w:t>
      </w:r>
    </w:p>
    <w:p w14:paraId="75B8D6BE">
      <w:pPr>
        <w:tabs>
          <w:tab w:val="left" w:pos="0"/>
        </w:tabs>
        <w:wordWrap w:val="0"/>
        <w:spacing w:line="360" w:lineRule="auto"/>
        <w:ind w:firstLine="720" w:firstLineChars="300"/>
        <w:rPr>
          <w:rFonts w:hint="eastAsia" w:ascii="宋体" w:hAnsi="宋体"/>
          <w:sz w:val="24"/>
        </w:rPr>
      </w:pPr>
      <w:r>
        <w:rPr>
          <w:rFonts w:hint="eastAsia" w:ascii="宋体" w:hAnsi="宋体"/>
          <w:sz w:val="24"/>
        </w:rPr>
        <w:t>本项目的采购人详见：</w:t>
      </w:r>
      <w:r>
        <w:rPr>
          <w:rFonts w:hint="eastAsia" w:ascii="宋体" w:hAnsi="宋体"/>
          <w:b/>
          <w:sz w:val="24"/>
          <w:u w:val="single"/>
        </w:rPr>
        <w:t>供应商须知前附表</w:t>
      </w:r>
      <w:r>
        <w:rPr>
          <w:rFonts w:hint="eastAsia" w:ascii="宋体" w:hAnsi="宋体"/>
          <w:sz w:val="24"/>
        </w:rPr>
        <w:t>。</w:t>
      </w:r>
    </w:p>
    <w:p w14:paraId="4F132EFC">
      <w:pPr>
        <w:tabs>
          <w:tab w:val="left" w:pos="142"/>
        </w:tabs>
        <w:wordWrap w:val="0"/>
        <w:spacing w:line="360" w:lineRule="auto"/>
        <w:rPr>
          <w:rFonts w:hint="eastAsia" w:ascii="宋体" w:hAnsi="宋体"/>
          <w:b/>
          <w:sz w:val="24"/>
        </w:rPr>
      </w:pPr>
      <w:r>
        <w:rPr>
          <w:rFonts w:hint="eastAsia" w:ascii="宋体" w:hAnsi="宋体"/>
          <w:sz w:val="24"/>
        </w:rPr>
        <w:t>1.</w:t>
      </w:r>
      <w:r>
        <w:rPr>
          <w:rFonts w:ascii="宋体" w:hAnsi="宋体"/>
          <w:sz w:val="24"/>
        </w:rPr>
        <w:t>1.2</w:t>
      </w:r>
      <w:r>
        <w:rPr>
          <w:rFonts w:hint="eastAsia" w:ascii="宋体" w:hAnsi="宋体"/>
          <w:sz w:val="24"/>
        </w:rPr>
        <w:t xml:space="preserve"> 采购代理机构是指：</w:t>
      </w:r>
      <w:r>
        <w:rPr>
          <w:rFonts w:hint="eastAsia" w:ascii="宋体" w:hAnsi="宋体"/>
          <w:b/>
          <w:sz w:val="24"/>
          <w:u w:val="single"/>
        </w:rPr>
        <w:t>河南招标采购服务有限公司</w:t>
      </w:r>
      <w:r>
        <w:rPr>
          <w:rFonts w:hint="eastAsia" w:ascii="宋体" w:hAnsi="宋体"/>
          <w:b/>
          <w:sz w:val="24"/>
        </w:rPr>
        <w:t>。</w:t>
      </w:r>
    </w:p>
    <w:p w14:paraId="2DFE4C0B">
      <w:pPr>
        <w:tabs>
          <w:tab w:val="left" w:pos="142"/>
        </w:tabs>
        <w:wordWrap w:val="0"/>
        <w:spacing w:line="360" w:lineRule="auto"/>
        <w:rPr>
          <w:rFonts w:hint="eastAsia" w:ascii="宋体" w:hAnsi="宋体"/>
          <w:bCs/>
          <w:sz w:val="24"/>
        </w:rPr>
      </w:pPr>
      <w:r>
        <w:rPr>
          <w:rFonts w:hint="eastAsia" w:ascii="宋体" w:hAnsi="宋体"/>
          <w:bCs/>
          <w:sz w:val="24"/>
        </w:rPr>
        <w:t>1</w:t>
      </w:r>
      <w:r>
        <w:rPr>
          <w:rFonts w:ascii="宋体" w:hAnsi="宋体"/>
          <w:bCs/>
          <w:sz w:val="24"/>
        </w:rPr>
        <w:t xml:space="preserve">.1.3 </w:t>
      </w:r>
      <w:r>
        <w:rPr>
          <w:rFonts w:hint="eastAsia" w:ascii="宋体" w:hAnsi="宋体"/>
          <w:bCs/>
          <w:sz w:val="24"/>
        </w:rPr>
        <w:t>电子交易平台：</w:t>
      </w:r>
      <w:r>
        <w:rPr>
          <w:rFonts w:hint="eastAsia" w:ascii="宋体" w:hAnsi="宋体"/>
          <w:b/>
          <w:sz w:val="24"/>
          <w:u w:val="single"/>
        </w:rPr>
        <w:t>见供应商须知前附表</w:t>
      </w:r>
      <w:r>
        <w:rPr>
          <w:rFonts w:hint="eastAsia" w:ascii="宋体" w:hAnsi="宋体"/>
          <w:sz w:val="24"/>
        </w:rPr>
        <w:t>。</w:t>
      </w:r>
    </w:p>
    <w:p w14:paraId="0FB81B50">
      <w:pPr>
        <w:tabs>
          <w:tab w:val="left" w:pos="142"/>
        </w:tabs>
        <w:wordWrap w:val="0"/>
        <w:spacing w:line="360" w:lineRule="auto"/>
        <w:rPr>
          <w:rFonts w:hint="eastAsia" w:ascii="宋体" w:hAnsi="宋体"/>
          <w:sz w:val="24"/>
        </w:rPr>
      </w:pPr>
      <w:r>
        <w:rPr>
          <w:rFonts w:hint="eastAsia" w:ascii="宋体" w:hAnsi="宋体"/>
          <w:sz w:val="24"/>
        </w:rPr>
        <w:t>1.1.</w:t>
      </w:r>
      <w:r>
        <w:rPr>
          <w:rFonts w:ascii="宋体" w:hAnsi="宋体"/>
          <w:sz w:val="24"/>
        </w:rPr>
        <w:t xml:space="preserve">4 </w:t>
      </w:r>
      <w:r>
        <w:rPr>
          <w:rFonts w:hint="eastAsia" w:ascii="宋体" w:hAnsi="宋体"/>
          <w:sz w:val="24"/>
        </w:rPr>
        <w:t>采购项目名称：</w:t>
      </w:r>
      <w:r>
        <w:rPr>
          <w:rFonts w:hint="eastAsia" w:ascii="宋体" w:hAnsi="宋体"/>
          <w:b/>
          <w:sz w:val="24"/>
          <w:u w:val="single"/>
        </w:rPr>
        <w:t>见供应商须知前附表</w:t>
      </w:r>
      <w:r>
        <w:rPr>
          <w:rFonts w:hint="eastAsia" w:ascii="宋体" w:hAnsi="宋体"/>
          <w:sz w:val="24"/>
        </w:rPr>
        <w:t>。</w:t>
      </w:r>
    </w:p>
    <w:p w14:paraId="24FC9352">
      <w:pPr>
        <w:tabs>
          <w:tab w:val="left" w:pos="142"/>
        </w:tabs>
        <w:wordWrap w:val="0"/>
        <w:spacing w:line="360" w:lineRule="auto"/>
        <w:rPr>
          <w:rFonts w:hint="eastAsia" w:ascii="宋体" w:hAnsi="宋体"/>
          <w:sz w:val="24"/>
        </w:rPr>
      </w:pPr>
      <w:r>
        <w:rPr>
          <w:rFonts w:hint="eastAsia" w:ascii="宋体" w:hAnsi="宋体"/>
          <w:sz w:val="24"/>
        </w:rPr>
        <w:t>1.1.</w:t>
      </w:r>
      <w:r>
        <w:rPr>
          <w:rFonts w:ascii="宋体" w:hAnsi="宋体"/>
          <w:sz w:val="24"/>
        </w:rPr>
        <w:t>5</w:t>
      </w:r>
      <w:r>
        <w:rPr>
          <w:rFonts w:hint="eastAsia" w:ascii="宋体" w:hAnsi="宋体"/>
          <w:sz w:val="24"/>
        </w:rPr>
        <w:t xml:space="preserve"> 采购项目实施地点：</w:t>
      </w:r>
      <w:r>
        <w:rPr>
          <w:rFonts w:hint="eastAsia" w:ascii="宋体" w:hAnsi="宋体"/>
          <w:b/>
          <w:sz w:val="24"/>
          <w:u w:val="single"/>
        </w:rPr>
        <w:t>见供应商须知前附表</w:t>
      </w:r>
      <w:r>
        <w:rPr>
          <w:rFonts w:hint="eastAsia" w:ascii="宋体" w:hAnsi="宋体"/>
          <w:sz w:val="24"/>
        </w:rPr>
        <w:t>。</w:t>
      </w:r>
    </w:p>
    <w:p w14:paraId="08AC80AB">
      <w:pPr>
        <w:wordWrap w:val="0"/>
        <w:spacing w:line="360" w:lineRule="auto"/>
        <w:rPr>
          <w:rFonts w:hint="eastAsia" w:ascii="宋体" w:hAnsi="宋体"/>
          <w:b/>
          <w:sz w:val="24"/>
        </w:rPr>
      </w:pPr>
      <w:r>
        <w:rPr>
          <w:rFonts w:hint="eastAsia" w:ascii="宋体" w:hAnsi="宋体"/>
          <w:sz w:val="24"/>
        </w:rPr>
        <w:t>1.1.</w:t>
      </w:r>
      <w:r>
        <w:rPr>
          <w:rFonts w:ascii="宋体" w:hAnsi="宋体"/>
          <w:sz w:val="24"/>
        </w:rPr>
        <w:t>6</w:t>
      </w:r>
      <w:r>
        <w:rPr>
          <w:rFonts w:hint="eastAsia" w:ascii="宋体" w:hAnsi="宋体"/>
          <w:sz w:val="24"/>
        </w:rPr>
        <w:t xml:space="preserve"> 采购方式：</w:t>
      </w:r>
      <w:r>
        <w:rPr>
          <w:rFonts w:hint="eastAsia" w:ascii="宋体" w:hAnsi="宋体"/>
          <w:b/>
          <w:sz w:val="24"/>
          <w:u w:val="single"/>
        </w:rPr>
        <w:t>见供应商须知前附表</w:t>
      </w:r>
      <w:r>
        <w:rPr>
          <w:rFonts w:hint="eastAsia" w:ascii="宋体" w:hAnsi="宋体"/>
          <w:sz w:val="24"/>
        </w:rPr>
        <w:t>。</w:t>
      </w:r>
    </w:p>
    <w:p w14:paraId="5CD0C55C">
      <w:pPr>
        <w:wordWrap w:val="0"/>
        <w:spacing w:line="360" w:lineRule="auto"/>
        <w:rPr>
          <w:rFonts w:hint="eastAsia" w:ascii="宋体" w:hAnsi="宋体"/>
          <w:sz w:val="24"/>
        </w:rPr>
      </w:pPr>
      <w:bookmarkStart w:id="118" w:name="_Toc57211936"/>
      <w:r>
        <w:rPr>
          <w:rFonts w:hint="eastAsia" w:ascii="宋体" w:hAnsi="宋体"/>
          <w:sz w:val="24"/>
        </w:rPr>
        <w:t>1.1.7 采购标段（包）划分：</w:t>
      </w:r>
      <w:r>
        <w:rPr>
          <w:rFonts w:hint="eastAsia" w:ascii="宋体" w:hAnsi="宋体"/>
          <w:b/>
          <w:sz w:val="24"/>
          <w:u w:val="single"/>
        </w:rPr>
        <w:t>见供应商须知前附表</w:t>
      </w:r>
      <w:r>
        <w:rPr>
          <w:rFonts w:hint="eastAsia" w:ascii="宋体" w:hAnsi="宋体"/>
          <w:sz w:val="24"/>
        </w:rPr>
        <w:t>。</w:t>
      </w:r>
    </w:p>
    <w:p w14:paraId="50303ED3">
      <w:pPr>
        <w:wordWrap w:val="0"/>
        <w:spacing w:line="360" w:lineRule="auto"/>
        <w:rPr>
          <w:rFonts w:hint="eastAsia" w:ascii="宋体" w:hAnsi="宋体"/>
          <w:sz w:val="24"/>
        </w:rPr>
      </w:pPr>
      <w:r>
        <w:rPr>
          <w:rFonts w:hint="eastAsia" w:ascii="宋体" w:hAnsi="宋体"/>
          <w:sz w:val="24"/>
        </w:rPr>
        <w:t>1</w:t>
      </w:r>
      <w:r>
        <w:rPr>
          <w:rFonts w:ascii="宋体" w:hAnsi="宋体"/>
          <w:sz w:val="24"/>
        </w:rPr>
        <w:t>.1.</w:t>
      </w:r>
      <w:r>
        <w:rPr>
          <w:rFonts w:hint="eastAsia" w:ascii="宋体" w:hAnsi="宋体"/>
          <w:sz w:val="24"/>
        </w:rPr>
        <w:t>8</w:t>
      </w:r>
      <w:r>
        <w:rPr>
          <w:rFonts w:ascii="宋体" w:hAnsi="宋体"/>
          <w:sz w:val="24"/>
        </w:rPr>
        <w:t xml:space="preserve"> </w:t>
      </w:r>
      <w:r>
        <w:rPr>
          <w:rFonts w:hint="eastAsia" w:ascii="宋体" w:hAnsi="宋体"/>
          <w:sz w:val="24"/>
        </w:rPr>
        <w:t>采购项目属性：</w:t>
      </w:r>
      <w:r>
        <w:rPr>
          <w:rFonts w:hint="eastAsia" w:ascii="宋体" w:hAnsi="宋体"/>
          <w:b/>
          <w:sz w:val="24"/>
          <w:u w:val="single"/>
        </w:rPr>
        <w:t>见供应商须知前附表</w:t>
      </w:r>
      <w:r>
        <w:rPr>
          <w:rFonts w:hint="eastAsia" w:ascii="宋体" w:hAnsi="宋体"/>
          <w:sz w:val="24"/>
        </w:rPr>
        <w:t>。</w:t>
      </w:r>
    </w:p>
    <w:p w14:paraId="65E70DC6">
      <w:pPr>
        <w:wordWrap w:val="0"/>
        <w:spacing w:line="360" w:lineRule="auto"/>
        <w:rPr>
          <w:rFonts w:hint="eastAsia" w:ascii="宋体" w:hAnsi="宋体"/>
          <w:sz w:val="24"/>
        </w:rPr>
      </w:pPr>
      <w:r>
        <w:rPr>
          <w:rFonts w:hint="eastAsia" w:ascii="宋体" w:hAnsi="宋体"/>
          <w:sz w:val="24"/>
        </w:rPr>
        <w:t>1</w:t>
      </w:r>
      <w:r>
        <w:rPr>
          <w:rFonts w:ascii="宋体" w:hAnsi="宋体"/>
          <w:sz w:val="24"/>
        </w:rPr>
        <w:t>.1.</w:t>
      </w:r>
      <w:r>
        <w:rPr>
          <w:rFonts w:hint="eastAsia" w:ascii="宋体" w:hAnsi="宋体"/>
          <w:sz w:val="24"/>
        </w:rPr>
        <w:t>9</w:t>
      </w:r>
      <w:r>
        <w:rPr>
          <w:rFonts w:ascii="宋体" w:hAnsi="宋体"/>
          <w:sz w:val="24"/>
        </w:rPr>
        <w:t xml:space="preserve"> </w:t>
      </w:r>
      <w:r>
        <w:rPr>
          <w:rFonts w:hint="eastAsia" w:ascii="宋体" w:hAnsi="宋体"/>
          <w:sz w:val="24"/>
        </w:rPr>
        <w:t>标的物所属行业：</w:t>
      </w:r>
      <w:r>
        <w:rPr>
          <w:rFonts w:hint="eastAsia" w:ascii="宋体" w:hAnsi="宋体"/>
          <w:b/>
          <w:sz w:val="24"/>
          <w:u w:val="single"/>
        </w:rPr>
        <w:t>见供应商须知前附表</w:t>
      </w:r>
      <w:r>
        <w:rPr>
          <w:rFonts w:hint="eastAsia" w:ascii="宋体" w:hAnsi="宋体"/>
          <w:sz w:val="24"/>
        </w:rPr>
        <w:t>。</w:t>
      </w:r>
    </w:p>
    <w:p w14:paraId="6C085F0F">
      <w:pPr>
        <w:pStyle w:val="8"/>
        <w:wordWrap w:val="0"/>
        <w:spacing w:before="0" w:after="0" w:line="360" w:lineRule="auto"/>
        <w:rPr>
          <w:rFonts w:hint="eastAsia" w:ascii="黑体" w:hAnsi="黑体" w:eastAsia="黑体"/>
          <w:b w:val="0"/>
          <w:bCs w:val="0"/>
          <w:sz w:val="24"/>
          <w:szCs w:val="24"/>
        </w:rPr>
      </w:pPr>
      <w:bookmarkStart w:id="119" w:name="_Toc2076"/>
      <w:r>
        <w:rPr>
          <w:rFonts w:hint="eastAsia" w:ascii="黑体" w:hAnsi="黑体" w:eastAsia="黑体"/>
          <w:b w:val="0"/>
          <w:bCs w:val="0"/>
          <w:sz w:val="24"/>
          <w:szCs w:val="24"/>
        </w:rPr>
        <w:t>1.2 资金来源</w:t>
      </w:r>
      <w:bookmarkEnd w:id="118"/>
      <w:bookmarkEnd w:id="119"/>
    </w:p>
    <w:p w14:paraId="1833C580">
      <w:pPr>
        <w:wordWrap w:val="0"/>
        <w:spacing w:line="360" w:lineRule="auto"/>
        <w:ind w:left="720" w:hanging="720" w:hangingChars="300"/>
        <w:rPr>
          <w:rFonts w:hint="eastAsia" w:ascii="宋体" w:hAnsi="宋体"/>
          <w:sz w:val="24"/>
        </w:rPr>
      </w:pPr>
      <w:r>
        <w:rPr>
          <w:rFonts w:hint="eastAsia" w:ascii="宋体" w:hAnsi="宋体"/>
          <w:sz w:val="24"/>
        </w:rPr>
        <w:t>1.2.1 本项目的采购人已获得足以支付本次采购后所签订合同项下的资金。</w:t>
      </w:r>
    </w:p>
    <w:p w14:paraId="152C8D81">
      <w:pPr>
        <w:wordWrap w:val="0"/>
        <w:spacing w:line="360" w:lineRule="auto"/>
        <w:rPr>
          <w:rFonts w:hint="eastAsia" w:ascii="宋体" w:hAnsi="宋体"/>
          <w:sz w:val="24"/>
        </w:rPr>
      </w:pPr>
      <w:r>
        <w:rPr>
          <w:rFonts w:hint="eastAsia" w:ascii="宋体" w:hAnsi="宋体"/>
          <w:sz w:val="24"/>
        </w:rPr>
        <w:t>1.2.2 项目预算金额和最高限价（如有</w:t>
      </w:r>
      <w:r>
        <w:rPr>
          <w:rFonts w:ascii="宋体" w:hAnsi="宋体"/>
          <w:sz w:val="24"/>
        </w:rPr>
        <w:t>）</w:t>
      </w:r>
      <w:r>
        <w:rPr>
          <w:rFonts w:hint="eastAsia" w:ascii="宋体" w:hAnsi="宋体"/>
          <w:sz w:val="24"/>
        </w:rPr>
        <w:t>见：</w:t>
      </w:r>
      <w:r>
        <w:rPr>
          <w:rFonts w:hint="eastAsia" w:ascii="宋体" w:hAnsi="宋体"/>
          <w:b/>
          <w:sz w:val="24"/>
          <w:u w:val="single"/>
        </w:rPr>
        <w:t>供应商须知前附表</w:t>
      </w:r>
      <w:r>
        <w:rPr>
          <w:rFonts w:hint="eastAsia" w:ascii="宋体" w:hAnsi="宋体"/>
          <w:sz w:val="24"/>
        </w:rPr>
        <w:t>。</w:t>
      </w:r>
    </w:p>
    <w:p w14:paraId="693D44B5">
      <w:pPr>
        <w:wordWrap w:val="0"/>
        <w:spacing w:line="360" w:lineRule="auto"/>
        <w:ind w:left="720" w:hanging="720" w:hangingChars="300"/>
        <w:rPr>
          <w:rFonts w:hint="eastAsia" w:ascii="宋体" w:hAnsi="宋体"/>
          <w:sz w:val="24"/>
        </w:rPr>
      </w:pPr>
      <w:r>
        <w:rPr>
          <w:rFonts w:hint="eastAsia" w:ascii="宋体" w:hAnsi="宋体"/>
          <w:sz w:val="24"/>
        </w:rPr>
        <w:t xml:space="preserve">1.2.3 </w:t>
      </w:r>
      <w:r>
        <w:rPr>
          <w:rFonts w:hint="eastAsia" w:ascii="宋体" w:hAnsi="宋体"/>
          <w:b/>
          <w:bCs/>
          <w:sz w:val="24"/>
        </w:rPr>
        <w:t>供应商报价超过竞争性磋商文件规定的预算金额或者最高限价的，其响应文件将被认定为</w:t>
      </w:r>
      <w:r>
        <w:rPr>
          <w:rFonts w:hint="eastAsia" w:ascii="宋体" w:hAnsi="宋体"/>
          <w:b/>
          <w:sz w:val="24"/>
        </w:rPr>
        <w:t>无效响应文件</w:t>
      </w:r>
      <w:r>
        <w:rPr>
          <w:rFonts w:ascii="宋体" w:hAnsi="宋体"/>
          <w:sz w:val="24"/>
        </w:rPr>
        <w:t>。</w:t>
      </w:r>
    </w:p>
    <w:p w14:paraId="6E81D275">
      <w:pPr>
        <w:pStyle w:val="8"/>
        <w:wordWrap w:val="0"/>
        <w:spacing w:before="0" w:after="0" w:line="360" w:lineRule="auto"/>
        <w:rPr>
          <w:rFonts w:hint="eastAsia" w:ascii="黑体" w:hAnsi="黑体" w:eastAsia="黑体" w:cs="宋体"/>
          <w:b w:val="0"/>
          <w:bCs w:val="0"/>
          <w:sz w:val="24"/>
        </w:rPr>
      </w:pPr>
      <w:bookmarkStart w:id="120" w:name="_Toc40972796"/>
      <w:bookmarkStart w:id="121" w:name="_Toc57211937"/>
      <w:bookmarkStart w:id="122" w:name="_Toc8332"/>
      <w:bookmarkStart w:id="123" w:name="_Toc36564721"/>
      <w:bookmarkStart w:id="124" w:name="_Toc34733011"/>
      <w:bookmarkStart w:id="125" w:name="_Toc25832408"/>
      <w:bookmarkStart w:id="126" w:name="_Toc34732543"/>
      <w:r>
        <w:rPr>
          <w:rFonts w:hint="eastAsia" w:ascii="黑体" w:hAnsi="黑体" w:eastAsia="黑体"/>
          <w:b w:val="0"/>
          <w:bCs w:val="0"/>
          <w:sz w:val="24"/>
          <w:szCs w:val="24"/>
        </w:rPr>
        <w:t>1.3 采购需求及其它相关要求</w:t>
      </w:r>
      <w:bookmarkEnd w:id="120"/>
      <w:bookmarkEnd w:id="121"/>
      <w:bookmarkEnd w:id="122"/>
      <w:bookmarkEnd w:id="123"/>
      <w:bookmarkEnd w:id="124"/>
      <w:bookmarkEnd w:id="125"/>
      <w:bookmarkEnd w:id="126"/>
    </w:p>
    <w:p w14:paraId="0573B244">
      <w:pPr>
        <w:wordWrap w:val="0"/>
        <w:spacing w:line="360" w:lineRule="auto"/>
        <w:rPr>
          <w:rFonts w:hint="eastAsia" w:ascii="宋体" w:hAnsi="宋体"/>
          <w:sz w:val="24"/>
        </w:rPr>
      </w:pPr>
      <w:bookmarkStart w:id="127" w:name="OLE_LINK93"/>
      <w:bookmarkStart w:id="128" w:name="OLE_LINK92"/>
      <w:bookmarkStart w:id="129" w:name="OLE_LINK14"/>
      <w:bookmarkStart w:id="130" w:name="OLE_LINK15"/>
      <w:r>
        <w:rPr>
          <w:rFonts w:hint="eastAsia" w:ascii="宋体" w:hAnsi="宋体"/>
          <w:sz w:val="24"/>
        </w:rPr>
        <w:t>1.3.1</w:t>
      </w:r>
      <w:r>
        <w:rPr>
          <w:rFonts w:ascii="宋体" w:hAnsi="宋体"/>
          <w:sz w:val="24"/>
        </w:rPr>
        <w:t xml:space="preserve"> </w:t>
      </w:r>
      <w:r>
        <w:rPr>
          <w:rFonts w:hint="eastAsia" w:ascii="宋体" w:hAnsi="宋体"/>
          <w:sz w:val="24"/>
        </w:rPr>
        <w:t xml:space="preserve">采购需求、采购内容： </w:t>
      </w:r>
      <w:r>
        <w:rPr>
          <w:rFonts w:hint="eastAsia" w:ascii="宋体" w:hAnsi="宋体"/>
          <w:b/>
          <w:sz w:val="24"/>
          <w:u w:val="single"/>
        </w:rPr>
        <w:t>见“竞争性磋商文件”相关章节</w:t>
      </w:r>
      <w:r>
        <w:rPr>
          <w:rFonts w:hint="eastAsia" w:ascii="宋体" w:hAnsi="宋体"/>
          <w:b/>
          <w:sz w:val="24"/>
        </w:rPr>
        <w:t>。</w:t>
      </w:r>
    </w:p>
    <w:p w14:paraId="428A9393">
      <w:pPr>
        <w:tabs>
          <w:tab w:val="left" w:pos="142"/>
        </w:tabs>
        <w:wordWrap w:val="0"/>
        <w:spacing w:line="360" w:lineRule="auto"/>
        <w:rPr>
          <w:rFonts w:hint="eastAsia" w:ascii="宋体" w:hAnsi="宋体"/>
          <w:sz w:val="24"/>
        </w:rPr>
      </w:pPr>
      <w:r>
        <w:rPr>
          <w:rFonts w:hint="eastAsia" w:ascii="宋体" w:hAnsi="宋体"/>
          <w:sz w:val="24"/>
        </w:rPr>
        <w:t>1.3.2 质量标准：</w:t>
      </w:r>
      <w:r>
        <w:rPr>
          <w:rFonts w:hint="eastAsia" w:ascii="宋体" w:hAnsi="宋体"/>
          <w:b/>
          <w:sz w:val="24"/>
          <w:u w:val="single"/>
        </w:rPr>
        <w:t>见供应商须知前附表</w:t>
      </w:r>
      <w:r>
        <w:rPr>
          <w:rFonts w:hint="eastAsia" w:ascii="宋体" w:hAnsi="宋体"/>
          <w:sz w:val="24"/>
        </w:rPr>
        <w:t>。</w:t>
      </w:r>
    </w:p>
    <w:p w14:paraId="594C4312">
      <w:pPr>
        <w:tabs>
          <w:tab w:val="left" w:pos="142"/>
        </w:tabs>
        <w:wordWrap w:val="0"/>
        <w:spacing w:line="360" w:lineRule="auto"/>
        <w:rPr>
          <w:rFonts w:hint="eastAsia" w:ascii="宋体" w:hAnsi="宋体"/>
          <w:sz w:val="24"/>
        </w:rPr>
      </w:pPr>
      <w:r>
        <w:rPr>
          <w:rFonts w:hint="eastAsia" w:ascii="宋体" w:hAnsi="宋体"/>
          <w:sz w:val="24"/>
        </w:rPr>
        <w:t>1.3.3 工期及实施地点：</w:t>
      </w:r>
      <w:r>
        <w:rPr>
          <w:rFonts w:hint="eastAsia" w:ascii="宋体" w:hAnsi="宋体"/>
          <w:b/>
          <w:sz w:val="24"/>
          <w:u w:val="single"/>
        </w:rPr>
        <w:t>见供应商须知前附表</w:t>
      </w:r>
      <w:r>
        <w:rPr>
          <w:rFonts w:hint="eastAsia" w:ascii="宋体" w:hAnsi="宋体"/>
          <w:sz w:val="24"/>
        </w:rPr>
        <w:t>。</w:t>
      </w:r>
    </w:p>
    <w:p w14:paraId="5DB5ED1E">
      <w:pPr>
        <w:tabs>
          <w:tab w:val="left" w:pos="142"/>
        </w:tabs>
        <w:wordWrap w:val="0"/>
        <w:spacing w:line="360" w:lineRule="auto"/>
        <w:rPr>
          <w:rFonts w:hint="eastAsia" w:ascii="宋体" w:hAnsi="宋体"/>
          <w:sz w:val="24"/>
        </w:rPr>
      </w:pPr>
      <w:r>
        <w:rPr>
          <w:rFonts w:hint="eastAsia" w:ascii="宋体" w:hAnsi="宋体"/>
          <w:sz w:val="24"/>
        </w:rPr>
        <w:t>1.3.4</w:t>
      </w:r>
      <w:r>
        <w:rPr>
          <w:rFonts w:ascii="宋体" w:hAnsi="宋体"/>
          <w:sz w:val="24"/>
        </w:rPr>
        <w:t xml:space="preserve"> </w:t>
      </w:r>
      <w:r>
        <w:rPr>
          <w:rFonts w:hint="eastAsia" w:ascii="宋体" w:hAnsi="宋体"/>
          <w:sz w:val="24"/>
        </w:rPr>
        <w:t xml:space="preserve">缺陷责任期： </w:t>
      </w:r>
      <w:r>
        <w:rPr>
          <w:rFonts w:hint="eastAsia" w:ascii="宋体" w:hAnsi="宋体"/>
          <w:b/>
          <w:sz w:val="24"/>
          <w:u w:val="single"/>
        </w:rPr>
        <w:t>见供应商须知前附表</w:t>
      </w:r>
      <w:r>
        <w:rPr>
          <w:rFonts w:hint="eastAsia" w:ascii="宋体" w:hAnsi="宋体"/>
          <w:sz w:val="24"/>
        </w:rPr>
        <w:t>。</w:t>
      </w:r>
      <w:bookmarkEnd w:id="127"/>
      <w:bookmarkEnd w:id="128"/>
    </w:p>
    <w:bookmarkEnd w:id="129"/>
    <w:bookmarkEnd w:id="130"/>
    <w:p w14:paraId="27568119">
      <w:pPr>
        <w:pStyle w:val="8"/>
        <w:wordWrap w:val="0"/>
        <w:spacing w:before="0" w:after="0" w:line="360" w:lineRule="auto"/>
        <w:rPr>
          <w:rFonts w:hint="eastAsia" w:ascii="黑体" w:hAnsi="黑体" w:eastAsia="黑体" w:cs="宋体"/>
          <w:b w:val="0"/>
          <w:bCs w:val="0"/>
          <w:sz w:val="24"/>
        </w:rPr>
      </w:pPr>
      <w:bookmarkStart w:id="131" w:name="_Toc34732544"/>
      <w:bookmarkStart w:id="132" w:name="_Toc34733012"/>
      <w:bookmarkStart w:id="133" w:name="_Toc57211938"/>
      <w:bookmarkStart w:id="134" w:name="_Toc36564722"/>
      <w:bookmarkStart w:id="135" w:name="_Toc16740"/>
      <w:bookmarkStart w:id="136" w:name="_Toc25832409"/>
      <w:bookmarkStart w:id="137" w:name="_Toc40972797"/>
      <w:r>
        <w:rPr>
          <w:rFonts w:hint="eastAsia" w:ascii="黑体" w:hAnsi="黑体" w:eastAsia="黑体"/>
          <w:b w:val="0"/>
          <w:bCs w:val="0"/>
          <w:sz w:val="24"/>
          <w:szCs w:val="24"/>
        </w:rPr>
        <w:t>1.4 对供应商的要求</w:t>
      </w:r>
      <w:bookmarkEnd w:id="131"/>
      <w:bookmarkEnd w:id="132"/>
      <w:bookmarkEnd w:id="133"/>
      <w:bookmarkEnd w:id="134"/>
      <w:bookmarkEnd w:id="135"/>
      <w:bookmarkEnd w:id="136"/>
      <w:bookmarkEnd w:id="137"/>
    </w:p>
    <w:p w14:paraId="3CA376D2">
      <w:pPr>
        <w:wordWrap w:val="0"/>
        <w:adjustRightInd w:val="0"/>
        <w:snapToGrid w:val="0"/>
        <w:spacing w:line="360" w:lineRule="auto"/>
        <w:ind w:left="732" w:hanging="732" w:hangingChars="305"/>
        <w:rPr>
          <w:rFonts w:hint="eastAsia" w:ascii="宋体" w:hAnsi="宋体" w:cs="仿宋_GB2312"/>
          <w:sz w:val="24"/>
        </w:rPr>
      </w:pPr>
      <w:r>
        <w:rPr>
          <w:rFonts w:hint="eastAsia" w:ascii="宋体" w:hAnsi="宋体" w:cs="仿宋_GB2312"/>
          <w:sz w:val="24"/>
        </w:rPr>
        <w:t>1.4.</w:t>
      </w:r>
      <w:r>
        <w:rPr>
          <w:rFonts w:ascii="宋体" w:hAnsi="宋体" w:cs="仿宋_GB2312"/>
          <w:sz w:val="24"/>
        </w:rPr>
        <w:t xml:space="preserve">1 </w:t>
      </w:r>
      <w:r>
        <w:rPr>
          <w:rFonts w:hint="eastAsia" w:ascii="宋体" w:hAnsi="宋体" w:cs="仿宋_GB2312"/>
          <w:sz w:val="24"/>
        </w:rPr>
        <w:t>供应商是指</w:t>
      </w:r>
      <w:r>
        <w:rPr>
          <w:rFonts w:hint="eastAsia" w:ascii="宋体" w:hAnsi="宋体"/>
          <w:sz w:val="24"/>
        </w:rPr>
        <w:t>以本项目竞争性磋商公告中规定</w:t>
      </w:r>
      <w:r>
        <w:rPr>
          <w:rFonts w:ascii="宋体" w:hAnsi="宋体"/>
          <w:sz w:val="24"/>
        </w:rPr>
        <w:t>的方式</w:t>
      </w:r>
      <w:r>
        <w:rPr>
          <w:rFonts w:hint="eastAsia" w:ascii="宋体" w:hAnsi="宋体"/>
          <w:sz w:val="24"/>
        </w:rPr>
        <w:t>获取了本项目的竞争性磋商文件并在规定的时间内提交了响应文件，</w:t>
      </w:r>
      <w:r>
        <w:rPr>
          <w:rFonts w:ascii="宋体" w:hAnsi="宋体"/>
          <w:sz w:val="24"/>
        </w:rPr>
        <w:t>参加</w:t>
      </w:r>
      <w:r>
        <w:rPr>
          <w:rFonts w:hint="eastAsia" w:ascii="宋体" w:hAnsi="宋体"/>
          <w:sz w:val="24"/>
        </w:rPr>
        <w:t>提交响应文件</w:t>
      </w:r>
      <w:r>
        <w:rPr>
          <w:rFonts w:ascii="宋体" w:hAnsi="宋体"/>
          <w:sz w:val="24"/>
        </w:rPr>
        <w:t>竞争</w:t>
      </w:r>
      <w:r>
        <w:rPr>
          <w:rFonts w:hint="eastAsia" w:ascii="宋体" w:hAnsi="宋体"/>
          <w:sz w:val="24"/>
        </w:rPr>
        <w:t>，</w:t>
      </w:r>
      <w:r>
        <w:rPr>
          <w:rFonts w:hint="eastAsia" w:ascii="宋体" w:hAnsi="宋体" w:cs="仿宋_GB2312"/>
          <w:sz w:val="24"/>
        </w:rPr>
        <w:t>有意愿向采购人承接</w:t>
      </w:r>
      <w:r>
        <w:rPr>
          <w:rFonts w:hint="eastAsia" w:ascii="宋体" w:hAnsi="宋体"/>
          <w:sz w:val="24"/>
        </w:rPr>
        <w:t>工程（伴随的货物及服务）</w:t>
      </w:r>
      <w:r>
        <w:rPr>
          <w:rFonts w:hint="eastAsia" w:ascii="宋体" w:hAnsi="宋体" w:cs="仿宋_GB2312"/>
          <w:sz w:val="24"/>
        </w:rPr>
        <w:t>的法人、非法人组织或者自然人。</w:t>
      </w:r>
    </w:p>
    <w:p w14:paraId="66122EDA">
      <w:pPr>
        <w:tabs>
          <w:tab w:val="left" w:pos="142"/>
        </w:tabs>
        <w:wordWrap w:val="0"/>
        <w:spacing w:line="360" w:lineRule="auto"/>
        <w:ind w:left="706" w:leftChars="336"/>
        <w:rPr>
          <w:rFonts w:hint="eastAsia" w:ascii="宋体" w:hAnsi="宋体"/>
          <w:sz w:val="24"/>
        </w:rPr>
      </w:pPr>
      <w:r>
        <w:rPr>
          <w:rFonts w:hint="eastAsia" w:ascii="宋体" w:hAnsi="宋体"/>
          <w:sz w:val="24"/>
        </w:rPr>
        <w:t>潜在供应商</w:t>
      </w:r>
      <w:r>
        <w:rPr>
          <w:rFonts w:ascii="宋体" w:hAnsi="宋体"/>
          <w:sz w:val="24"/>
        </w:rPr>
        <w:t>：</w:t>
      </w:r>
      <w:r>
        <w:rPr>
          <w:rFonts w:hint="eastAsia" w:ascii="宋体" w:hAnsi="宋体"/>
          <w:sz w:val="24"/>
        </w:rPr>
        <w:t>以本项目竞争性磋商公告中规定</w:t>
      </w:r>
      <w:r>
        <w:rPr>
          <w:rFonts w:ascii="宋体" w:hAnsi="宋体"/>
          <w:sz w:val="24"/>
        </w:rPr>
        <w:t>的方式</w:t>
      </w:r>
      <w:r>
        <w:rPr>
          <w:rFonts w:hint="eastAsia" w:ascii="宋体" w:hAnsi="宋体"/>
          <w:sz w:val="24"/>
        </w:rPr>
        <w:t>获取本项目竞争性磋商文件</w:t>
      </w:r>
      <w:r>
        <w:rPr>
          <w:rFonts w:ascii="宋体" w:hAnsi="宋体"/>
          <w:sz w:val="24"/>
        </w:rPr>
        <w:t>的法人、非法人组织或者自然人。</w:t>
      </w:r>
    </w:p>
    <w:p w14:paraId="629C55DB">
      <w:pPr>
        <w:wordWrap w:val="0"/>
        <w:spacing w:line="360" w:lineRule="auto"/>
        <w:ind w:left="960" w:hanging="960" w:hangingChars="400"/>
        <w:rPr>
          <w:rFonts w:hint="eastAsia" w:ascii="宋体" w:hAnsi="宋体"/>
          <w:sz w:val="24"/>
        </w:rPr>
      </w:pPr>
      <w:r>
        <w:rPr>
          <w:rFonts w:hint="eastAsia" w:ascii="宋体" w:hAnsi="宋体"/>
          <w:sz w:val="24"/>
        </w:rPr>
        <w:t>1.4.2 本项目</w:t>
      </w:r>
      <w:r>
        <w:rPr>
          <w:rFonts w:ascii="宋体" w:hAnsi="宋体"/>
          <w:sz w:val="24"/>
        </w:rPr>
        <w:t>的</w:t>
      </w:r>
      <w:r>
        <w:rPr>
          <w:rFonts w:hint="eastAsia" w:ascii="宋体" w:hAnsi="宋体"/>
          <w:sz w:val="24"/>
        </w:rPr>
        <w:t>供应商及其提供的工程（伴随的货物及服务）须满足以下条件：</w:t>
      </w:r>
    </w:p>
    <w:p w14:paraId="2296ABA5">
      <w:pPr>
        <w:wordWrap w:val="0"/>
        <w:spacing w:line="360" w:lineRule="auto"/>
        <w:ind w:left="960" w:hanging="960" w:hangingChars="400"/>
        <w:rPr>
          <w:rFonts w:hint="eastAsia" w:ascii="宋体" w:hAnsi="宋体"/>
          <w:sz w:val="24"/>
        </w:rPr>
      </w:pPr>
      <w:r>
        <w:rPr>
          <w:rFonts w:hint="eastAsia" w:ascii="宋体" w:hAnsi="宋体"/>
          <w:sz w:val="24"/>
        </w:rPr>
        <w:t>1.4.2</w:t>
      </w:r>
      <w:r>
        <w:rPr>
          <w:rFonts w:ascii="宋体" w:hAnsi="宋体"/>
          <w:sz w:val="24"/>
        </w:rPr>
        <w:t xml:space="preserve">.1 </w:t>
      </w:r>
      <w:r>
        <w:rPr>
          <w:rFonts w:hint="eastAsia" w:ascii="宋体" w:hAnsi="宋体"/>
          <w:sz w:val="24"/>
        </w:rPr>
        <w:t>在中华人民共和国境内注册（或中华人民共和国公民），能够独立承担民事责任，具</w:t>
      </w:r>
      <w:bookmarkStart w:id="138" w:name="_Hlk174461703"/>
      <w:r>
        <w:rPr>
          <w:rFonts w:hint="eastAsia" w:ascii="宋体" w:hAnsi="宋体"/>
          <w:sz w:val="24"/>
        </w:rPr>
        <w:t>有承接本项目能力的本国</w:t>
      </w:r>
      <w:bookmarkEnd w:id="138"/>
      <w:r>
        <w:rPr>
          <w:rFonts w:hint="eastAsia" w:ascii="宋体" w:hAnsi="宋体"/>
          <w:sz w:val="24"/>
        </w:rPr>
        <w:t>供应商。</w:t>
      </w:r>
    </w:p>
    <w:p w14:paraId="0943A0CD">
      <w:pPr>
        <w:wordWrap w:val="0"/>
        <w:spacing w:line="360" w:lineRule="auto"/>
        <w:rPr>
          <w:rFonts w:hint="eastAsia" w:ascii="宋体" w:hAnsi="宋体"/>
          <w:sz w:val="24"/>
        </w:rPr>
      </w:pPr>
      <w:r>
        <w:rPr>
          <w:rFonts w:ascii="宋体" w:hAnsi="宋体"/>
          <w:sz w:val="24"/>
        </w:rPr>
        <w:t>1.</w:t>
      </w:r>
      <w:r>
        <w:rPr>
          <w:rFonts w:hint="eastAsia" w:ascii="宋体" w:hAnsi="宋体"/>
          <w:sz w:val="24"/>
        </w:rPr>
        <w:t>4</w:t>
      </w:r>
      <w:r>
        <w:rPr>
          <w:rFonts w:ascii="宋体" w:hAnsi="宋体"/>
          <w:sz w:val="24"/>
        </w:rPr>
        <w:t>.</w:t>
      </w:r>
      <w:r>
        <w:rPr>
          <w:rFonts w:hint="eastAsia" w:ascii="宋体" w:hAnsi="宋体"/>
          <w:sz w:val="24"/>
        </w:rPr>
        <w:t>2.2 符合《中华人民共和国政府采购法》第二十二条关于供应商条件的规定。</w:t>
      </w:r>
    </w:p>
    <w:p w14:paraId="027C935F">
      <w:pPr>
        <w:wordWrap w:val="0"/>
        <w:spacing w:line="360" w:lineRule="auto"/>
        <w:ind w:firstLine="960" w:firstLineChars="400"/>
        <w:rPr>
          <w:rFonts w:hint="eastAsia" w:ascii="宋体" w:hAnsi="宋体"/>
          <w:sz w:val="24"/>
        </w:rPr>
      </w:pPr>
      <w:r>
        <w:rPr>
          <w:rFonts w:hint="eastAsia" w:ascii="宋体" w:hAnsi="宋体"/>
          <w:sz w:val="24"/>
        </w:rPr>
        <w:t>遵守本项目采购人本级</w:t>
      </w:r>
      <w:r>
        <w:rPr>
          <w:rFonts w:ascii="宋体" w:hAnsi="宋体"/>
          <w:sz w:val="24"/>
        </w:rPr>
        <w:t>和上级财政部门</w:t>
      </w:r>
      <w:r>
        <w:rPr>
          <w:rFonts w:hint="eastAsia" w:ascii="宋体" w:hAnsi="宋体"/>
          <w:sz w:val="24"/>
        </w:rPr>
        <w:t>关于政府采购的有关规定。</w:t>
      </w:r>
    </w:p>
    <w:p w14:paraId="002E4E26">
      <w:pPr>
        <w:wordWrap w:val="0"/>
        <w:spacing w:line="360" w:lineRule="auto"/>
        <w:rPr>
          <w:rFonts w:hint="eastAsia" w:ascii="宋体" w:hAnsi="宋体"/>
          <w:sz w:val="24"/>
        </w:rPr>
      </w:pPr>
      <w:r>
        <w:rPr>
          <w:rFonts w:ascii="宋体" w:hAnsi="宋体"/>
          <w:sz w:val="24"/>
        </w:rPr>
        <w:t>1.</w:t>
      </w:r>
      <w:r>
        <w:rPr>
          <w:rFonts w:hint="eastAsia" w:ascii="宋体" w:hAnsi="宋体"/>
          <w:sz w:val="24"/>
        </w:rPr>
        <w:t>4</w:t>
      </w:r>
      <w:r>
        <w:rPr>
          <w:rFonts w:ascii="宋体" w:hAnsi="宋体"/>
          <w:sz w:val="24"/>
        </w:rPr>
        <w:t>.</w:t>
      </w:r>
      <w:r>
        <w:rPr>
          <w:rFonts w:hint="eastAsia" w:ascii="宋体" w:hAnsi="宋体"/>
          <w:sz w:val="24"/>
        </w:rPr>
        <w:t>2.3 以本项目竞争性磋商公告中规定</w:t>
      </w:r>
      <w:r>
        <w:rPr>
          <w:rFonts w:ascii="宋体" w:hAnsi="宋体"/>
          <w:sz w:val="24"/>
        </w:rPr>
        <w:t>的方式</w:t>
      </w:r>
      <w:r>
        <w:rPr>
          <w:rFonts w:hint="eastAsia" w:ascii="宋体" w:hAnsi="宋体"/>
          <w:sz w:val="24"/>
        </w:rPr>
        <w:t>获取了本项目的竞争性磋商文件。</w:t>
      </w:r>
    </w:p>
    <w:p w14:paraId="0B78C8D9">
      <w:pPr>
        <w:wordWrap w:val="0"/>
        <w:spacing w:line="360" w:lineRule="auto"/>
        <w:ind w:left="960" w:hanging="960" w:hangingChars="400"/>
        <w:rPr>
          <w:rFonts w:hint="eastAsia" w:ascii="宋体" w:hAnsi="宋体"/>
          <w:sz w:val="24"/>
        </w:rPr>
      </w:pPr>
      <w:bookmarkStart w:id="139" w:name="_Hlk56432737"/>
      <w:r>
        <w:rPr>
          <w:rFonts w:ascii="宋体" w:hAnsi="宋体"/>
          <w:sz w:val="24"/>
        </w:rPr>
        <w:t>1.</w:t>
      </w:r>
      <w:r>
        <w:rPr>
          <w:rFonts w:hint="eastAsia" w:ascii="宋体" w:hAnsi="宋体"/>
          <w:sz w:val="24"/>
        </w:rPr>
        <w:t>4</w:t>
      </w:r>
      <w:r>
        <w:rPr>
          <w:rFonts w:ascii="宋体" w:hAnsi="宋体"/>
          <w:sz w:val="24"/>
        </w:rPr>
        <w:t>.</w:t>
      </w:r>
      <w:r>
        <w:rPr>
          <w:rFonts w:hint="eastAsia" w:ascii="宋体" w:hAnsi="宋体"/>
          <w:sz w:val="24"/>
        </w:rPr>
        <w:t>2.4 供应商</w:t>
      </w:r>
      <w:r>
        <w:rPr>
          <w:rFonts w:hint="eastAsia" w:ascii="宋体" w:hAnsi="宋体" w:cs="仿宋_GB2312"/>
          <w:sz w:val="24"/>
        </w:rPr>
        <w:t>应具备</w:t>
      </w:r>
      <w:r>
        <w:rPr>
          <w:rFonts w:hint="eastAsia" w:ascii="宋体" w:hAnsi="宋体"/>
          <w:sz w:val="24"/>
        </w:rPr>
        <w:t>的资格要求：</w:t>
      </w:r>
      <w:r>
        <w:rPr>
          <w:rFonts w:hint="eastAsia" w:ascii="宋体" w:hAnsi="宋体"/>
          <w:b/>
          <w:sz w:val="24"/>
          <w:u w:val="single"/>
        </w:rPr>
        <w:t>见供应商须知前附表</w:t>
      </w:r>
      <w:r>
        <w:rPr>
          <w:rFonts w:hint="eastAsia" w:ascii="宋体" w:hAnsi="宋体"/>
          <w:sz w:val="24"/>
        </w:rPr>
        <w:t>。</w:t>
      </w:r>
    </w:p>
    <w:p w14:paraId="33BDEA6B">
      <w:pPr>
        <w:wordWrap w:val="0"/>
        <w:adjustRightInd w:val="0"/>
        <w:snapToGrid w:val="0"/>
        <w:spacing w:line="360" w:lineRule="auto"/>
        <w:ind w:left="960" w:hanging="960" w:hangingChars="400"/>
        <w:rPr>
          <w:rFonts w:hint="eastAsia" w:ascii="宋体" w:hAnsi="宋体" w:cs="仿宋_GB2312"/>
          <w:sz w:val="24"/>
        </w:rPr>
      </w:pPr>
      <w:bookmarkStart w:id="140" w:name="_Hlk218414540"/>
      <w:r>
        <w:rPr>
          <w:rFonts w:hint="eastAsia" w:ascii="宋体" w:hAnsi="宋体" w:cs="仿宋_GB2312"/>
          <w:sz w:val="24"/>
        </w:rPr>
        <w:t>1.4.2.5</w:t>
      </w:r>
      <w:r>
        <w:rPr>
          <w:rFonts w:ascii="宋体" w:hAnsi="宋体" w:cs="仿宋_GB2312"/>
          <w:sz w:val="24"/>
        </w:rPr>
        <w:t xml:space="preserve"> </w:t>
      </w:r>
      <w:r>
        <w:rPr>
          <w:rFonts w:hint="eastAsia" w:ascii="宋体" w:hAnsi="宋体" w:cs="仿宋_GB2312"/>
          <w:sz w:val="24"/>
        </w:rPr>
        <w:t>若</w:t>
      </w:r>
      <w:r>
        <w:rPr>
          <w:rFonts w:hint="eastAsia" w:ascii="宋体" w:hAnsi="宋体"/>
          <w:b/>
          <w:sz w:val="24"/>
          <w:u w:val="single"/>
        </w:rPr>
        <w:t>供应商须知前附表</w:t>
      </w:r>
      <w:r>
        <w:rPr>
          <w:rFonts w:hint="eastAsia" w:ascii="宋体" w:hAnsi="宋体" w:cs="仿宋_GB2312"/>
          <w:sz w:val="24"/>
        </w:rPr>
        <w:t>中写明“</w:t>
      </w:r>
      <w:r>
        <w:rPr>
          <w:rFonts w:hint="eastAsia" w:ascii="宋体" w:hAnsi="宋体"/>
          <w:sz w:val="24"/>
        </w:rPr>
        <w:t>接受进口产品</w:t>
      </w:r>
      <w:r>
        <w:rPr>
          <w:rFonts w:hint="eastAsia" w:ascii="宋体" w:hAnsi="宋体" w:cs="仿宋_GB2312"/>
          <w:sz w:val="24"/>
        </w:rPr>
        <w:t>”，当供应商提供进口产品时，供应商</w:t>
      </w:r>
      <w:r>
        <w:rPr>
          <w:rFonts w:hint="eastAsia" w:ascii="宋体" w:hAnsi="宋体"/>
          <w:sz w:val="24"/>
        </w:rPr>
        <w:t>应保证所投进口产品可履行合法通关手续进入中国关境内。</w:t>
      </w:r>
    </w:p>
    <w:bookmarkEnd w:id="139"/>
    <w:bookmarkEnd w:id="140"/>
    <w:p w14:paraId="17D6E04D">
      <w:pPr>
        <w:wordWrap w:val="0"/>
        <w:spacing w:line="360" w:lineRule="auto"/>
        <w:ind w:left="951" w:leftChars="453" w:firstLine="12" w:firstLineChars="5"/>
        <w:rPr>
          <w:rFonts w:hint="eastAsia" w:ascii="宋体" w:hAnsi="宋体"/>
          <w:sz w:val="24"/>
        </w:rPr>
      </w:pPr>
      <w:r>
        <w:rPr>
          <w:rFonts w:hint="eastAsia" w:ascii="宋体" w:hAnsi="宋体" w:cs="仿宋_GB2312"/>
          <w:sz w:val="24"/>
        </w:rPr>
        <w:t>若</w:t>
      </w:r>
      <w:r>
        <w:rPr>
          <w:rFonts w:hint="eastAsia" w:ascii="宋体" w:hAnsi="宋体"/>
          <w:b/>
          <w:sz w:val="24"/>
          <w:u w:val="single"/>
        </w:rPr>
        <w:t>供应商须知前附表</w:t>
      </w:r>
      <w:r>
        <w:rPr>
          <w:rFonts w:hint="eastAsia" w:ascii="宋体" w:hAnsi="宋体" w:cs="仿宋_GB2312"/>
          <w:sz w:val="24"/>
        </w:rPr>
        <w:t>中写明不接受进口产品，如供应商提供产品为进口产品，其响应文件将被认定为</w:t>
      </w:r>
      <w:r>
        <w:rPr>
          <w:rFonts w:hint="eastAsia" w:ascii="宋体" w:hAnsi="宋体" w:cs="仿宋_GB2312"/>
          <w:b/>
          <w:sz w:val="24"/>
        </w:rPr>
        <w:t>无效响应</w:t>
      </w:r>
      <w:r>
        <w:rPr>
          <w:rFonts w:hint="eastAsia" w:ascii="宋体" w:hAnsi="宋体"/>
          <w:b/>
          <w:sz w:val="24"/>
        </w:rPr>
        <w:t>文件</w:t>
      </w:r>
      <w:r>
        <w:rPr>
          <w:rFonts w:hint="eastAsia" w:ascii="宋体" w:hAnsi="宋体" w:cs="仿宋_GB2312"/>
          <w:sz w:val="24"/>
        </w:rPr>
        <w:t>。</w:t>
      </w:r>
    </w:p>
    <w:p w14:paraId="2967AF65">
      <w:pPr>
        <w:wordWrap w:val="0"/>
        <w:spacing w:line="360" w:lineRule="auto"/>
        <w:ind w:left="960" w:hanging="960" w:hangingChars="400"/>
        <w:rPr>
          <w:rFonts w:hint="eastAsia" w:ascii="宋体" w:hAnsi="宋体"/>
          <w:sz w:val="24"/>
        </w:rPr>
      </w:pPr>
      <w:bookmarkStart w:id="141" w:name="_Hlk56432822"/>
      <w:r>
        <w:rPr>
          <w:rFonts w:hint="eastAsia" w:ascii="宋体" w:hAnsi="宋体"/>
          <w:sz w:val="24"/>
        </w:rPr>
        <w:t xml:space="preserve">1.4.2.6 </w:t>
      </w:r>
      <w:r>
        <w:rPr>
          <w:rFonts w:hint="eastAsia" w:ascii="宋体" w:hAnsi="宋体"/>
          <w:b/>
          <w:bCs/>
          <w:sz w:val="24"/>
        </w:rPr>
        <w:t>若</w:t>
      </w:r>
      <w:r>
        <w:rPr>
          <w:rFonts w:hint="eastAsia" w:ascii="宋体" w:hAnsi="宋体"/>
          <w:b/>
          <w:bCs/>
          <w:sz w:val="24"/>
          <w:u w:val="single"/>
        </w:rPr>
        <w:t>供应商须知前附表</w:t>
      </w:r>
      <w:r>
        <w:rPr>
          <w:rFonts w:hint="eastAsia" w:ascii="宋体" w:hAnsi="宋体"/>
          <w:b/>
          <w:bCs/>
          <w:sz w:val="24"/>
        </w:rPr>
        <w:t>中写明</w:t>
      </w:r>
      <w:r>
        <w:rPr>
          <w:rFonts w:ascii="宋体" w:hAnsi="宋体"/>
          <w:b/>
          <w:bCs/>
          <w:sz w:val="24"/>
        </w:rPr>
        <w:t>专门面向中小企业采购</w:t>
      </w:r>
      <w:r>
        <w:rPr>
          <w:rFonts w:hint="eastAsia" w:ascii="宋体" w:hAnsi="宋体"/>
          <w:b/>
          <w:bCs/>
          <w:sz w:val="24"/>
        </w:rPr>
        <w:t>的，供应商</w:t>
      </w:r>
      <w:r>
        <w:rPr>
          <w:rFonts w:hint="eastAsia" w:ascii="宋体" w:hAnsi="宋体" w:cs="仿宋_GB2312"/>
          <w:b/>
          <w:bCs/>
          <w:sz w:val="24"/>
        </w:rPr>
        <w:t>所响应产品</w:t>
      </w:r>
      <w:r>
        <w:rPr>
          <w:rFonts w:hint="eastAsia" w:ascii="宋体" w:hAnsi="宋体"/>
          <w:b/>
          <w:bCs/>
          <w:sz w:val="24"/>
        </w:rPr>
        <w:t>应符合竞争性磋商文件中的相关要求，否则其响应文件将被认定为无效响应文件</w:t>
      </w:r>
      <w:r>
        <w:rPr>
          <w:rFonts w:hint="eastAsia" w:ascii="宋体" w:hAnsi="宋体"/>
          <w:sz w:val="24"/>
        </w:rPr>
        <w:t>。</w:t>
      </w:r>
    </w:p>
    <w:bookmarkEnd w:id="141"/>
    <w:p w14:paraId="09C0877B">
      <w:pPr>
        <w:wordWrap w:val="0"/>
        <w:spacing w:line="360" w:lineRule="auto"/>
        <w:ind w:left="960" w:hanging="960" w:hangingChars="400"/>
        <w:rPr>
          <w:rFonts w:hint="eastAsia" w:ascii="宋体" w:hAnsi="宋体" w:cs="仿宋_GB2312"/>
          <w:sz w:val="24"/>
        </w:rPr>
      </w:pPr>
      <w:r>
        <w:rPr>
          <w:rFonts w:hint="eastAsia" w:ascii="宋体" w:hAnsi="宋体" w:cs="仿宋_GB2312"/>
          <w:sz w:val="24"/>
        </w:rPr>
        <w:t>1.4.2.7</w:t>
      </w:r>
      <w:r>
        <w:rPr>
          <w:rFonts w:ascii="宋体" w:hAnsi="宋体" w:cs="仿宋_GB2312"/>
          <w:sz w:val="24"/>
        </w:rPr>
        <w:t xml:space="preserve"> </w:t>
      </w:r>
      <w:r>
        <w:rPr>
          <w:rFonts w:hint="eastAsia" w:ascii="宋体" w:hAnsi="宋体" w:cs="仿宋_GB2312"/>
          <w:sz w:val="24"/>
        </w:rPr>
        <w:t>若</w:t>
      </w:r>
      <w:r>
        <w:rPr>
          <w:rFonts w:hint="eastAsia" w:ascii="宋体" w:hAnsi="宋体"/>
          <w:b/>
          <w:sz w:val="24"/>
          <w:u w:val="single"/>
        </w:rPr>
        <w:t>供应商须知前附表</w:t>
      </w:r>
      <w:r>
        <w:rPr>
          <w:rFonts w:hint="eastAsia" w:ascii="宋体" w:hAnsi="宋体" w:cs="仿宋_GB2312"/>
          <w:sz w:val="24"/>
        </w:rPr>
        <w:t>中写明采购的产品为财政部、国家发展和改革委员会、生态环境部等部门发布的品目清单中属于实施政府强制采购品目清单范围的节能产品，供应商应按竞争性磋商文件中的具体要求提供相关证明材料。</w:t>
      </w:r>
    </w:p>
    <w:p w14:paraId="3A1A23FB">
      <w:pPr>
        <w:wordWrap w:val="0"/>
        <w:spacing w:line="360" w:lineRule="auto"/>
        <w:ind w:left="960" w:hanging="960" w:hangingChars="400"/>
        <w:rPr>
          <w:rFonts w:hint="eastAsia" w:ascii="宋体" w:hAnsi="宋体"/>
          <w:sz w:val="24"/>
        </w:rPr>
      </w:pPr>
      <w:bookmarkStart w:id="142" w:name="_Hlk56432968"/>
      <w:r>
        <w:rPr>
          <w:rFonts w:hint="eastAsia" w:ascii="宋体" w:hAnsi="宋体"/>
          <w:sz w:val="24"/>
        </w:rPr>
        <w:t>1.4.3</w:t>
      </w:r>
      <w:r>
        <w:rPr>
          <w:rFonts w:ascii="宋体" w:hAnsi="宋体"/>
          <w:sz w:val="24"/>
        </w:rPr>
        <w:t xml:space="preserve">   </w:t>
      </w:r>
      <w:r>
        <w:rPr>
          <w:rFonts w:hint="eastAsia" w:ascii="宋体" w:hAnsi="宋体"/>
          <w:sz w:val="24"/>
        </w:rPr>
        <w:t>如</w:t>
      </w:r>
      <w:r>
        <w:rPr>
          <w:rFonts w:hint="eastAsia" w:ascii="宋体" w:hAnsi="宋体"/>
          <w:b/>
          <w:sz w:val="24"/>
          <w:u w:val="single"/>
        </w:rPr>
        <w:t>供应商须知前附表</w:t>
      </w:r>
      <w:r>
        <w:rPr>
          <w:rFonts w:hint="eastAsia" w:ascii="宋体" w:hAnsi="宋体"/>
          <w:sz w:val="24"/>
        </w:rPr>
        <w:t>中允许以联合体形式参加提交响应文件，对联合体规定如下：</w:t>
      </w:r>
    </w:p>
    <w:p w14:paraId="17E32F69">
      <w:pPr>
        <w:wordWrap w:val="0"/>
        <w:spacing w:line="360" w:lineRule="auto"/>
        <w:ind w:left="960" w:hanging="960" w:hangingChars="400"/>
        <w:rPr>
          <w:rFonts w:hint="eastAsia" w:ascii="宋体" w:hAnsi="宋体"/>
          <w:sz w:val="24"/>
        </w:rPr>
      </w:pPr>
      <w:r>
        <w:rPr>
          <w:rFonts w:hint="eastAsia" w:ascii="宋体" w:hAnsi="宋体"/>
          <w:sz w:val="24"/>
        </w:rPr>
        <w:t xml:space="preserve">1.4.3.1 </w:t>
      </w:r>
      <w:r>
        <w:rPr>
          <w:rFonts w:hint="eastAsia" w:ascii="宋体" w:hAnsi="宋体" w:cs="仿宋_GB2312"/>
          <w:sz w:val="24"/>
        </w:rPr>
        <w:t>两个以上的自然人、法人或者其他组织可以组成一个联合体，以一个供应商的身份共同参加本项目的提交响应文件。</w:t>
      </w:r>
    </w:p>
    <w:p w14:paraId="019E9B6D">
      <w:pPr>
        <w:wordWrap w:val="0"/>
        <w:spacing w:line="360" w:lineRule="auto"/>
        <w:ind w:left="960" w:hanging="960" w:hangingChars="400"/>
        <w:rPr>
          <w:rFonts w:hint="eastAsia" w:ascii="宋体" w:hAnsi="宋体"/>
          <w:sz w:val="24"/>
        </w:rPr>
      </w:pPr>
      <w:r>
        <w:rPr>
          <w:rFonts w:hint="eastAsia" w:ascii="宋体" w:hAnsi="宋体"/>
          <w:sz w:val="24"/>
        </w:rPr>
        <w:t>1.4.3.2</w:t>
      </w:r>
      <w:r>
        <w:rPr>
          <w:rFonts w:ascii="宋体" w:hAnsi="宋体"/>
          <w:sz w:val="24"/>
        </w:rPr>
        <w:t xml:space="preserve"> </w:t>
      </w:r>
      <w:r>
        <w:rPr>
          <w:rFonts w:hint="eastAsia" w:ascii="宋体" w:hAnsi="宋体" w:cs="仿宋_GB2312"/>
          <w:sz w:val="24"/>
        </w:rPr>
        <w:t>联合体各方均应当符合《中华人民共和国政府采购法》第二十二条规定的条件。</w:t>
      </w:r>
    </w:p>
    <w:p w14:paraId="3CBD54A1">
      <w:pPr>
        <w:wordWrap w:val="0"/>
        <w:spacing w:line="360" w:lineRule="auto"/>
        <w:ind w:left="962" w:leftChars="1" w:hanging="960" w:hangingChars="400"/>
        <w:rPr>
          <w:rFonts w:hint="eastAsia" w:ascii="宋体" w:hAnsi="宋体"/>
          <w:sz w:val="24"/>
        </w:rPr>
      </w:pPr>
      <w:r>
        <w:rPr>
          <w:rFonts w:hint="eastAsia" w:ascii="宋体" w:hAnsi="宋体"/>
          <w:sz w:val="24"/>
        </w:rPr>
        <w:t>1.4.3.</w:t>
      </w:r>
      <w:r>
        <w:rPr>
          <w:rFonts w:ascii="宋体" w:hAnsi="宋体"/>
          <w:sz w:val="24"/>
        </w:rPr>
        <w:t>3</w:t>
      </w:r>
      <w:r>
        <w:rPr>
          <w:rFonts w:hint="eastAsia" w:ascii="宋体" w:hAnsi="宋体"/>
          <w:sz w:val="24"/>
        </w:rPr>
        <w:t xml:space="preserve"> 联合体各方应当签订“联合体共同参加提交响应文件协议”，明确约定联合体各方承担的工作和相应的责任，</w:t>
      </w:r>
      <w:bookmarkStart w:id="143" w:name="_Hlk86848023"/>
      <w:r>
        <w:rPr>
          <w:rFonts w:hint="eastAsia" w:ascii="宋体" w:hAnsi="宋体"/>
          <w:sz w:val="24"/>
        </w:rPr>
        <w:t>并将“联合体共同参加提交响应文件协议”作为响应文件的组成部分随响应文件一同提交。</w:t>
      </w:r>
      <w:bookmarkEnd w:id="143"/>
    </w:p>
    <w:p w14:paraId="46646886">
      <w:pPr>
        <w:wordWrap w:val="0"/>
        <w:spacing w:line="360" w:lineRule="auto"/>
        <w:ind w:left="960" w:hanging="960" w:hangingChars="400"/>
        <w:rPr>
          <w:rFonts w:hint="eastAsia" w:ascii="宋体" w:hAnsi="宋体"/>
          <w:sz w:val="24"/>
        </w:rPr>
      </w:pPr>
      <w:r>
        <w:rPr>
          <w:rFonts w:hint="eastAsia" w:ascii="宋体" w:hAnsi="宋体"/>
          <w:sz w:val="24"/>
        </w:rPr>
        <w:t>1.4.3.</w:t>
      </w:r>
      <w:r>
        <w:rPr>
          <w:rFonts w:ascii="宋体" w:hAnsi="宋体"/>
          <w:sz w:val="24"/>
        </w:rPr>
        <w:t>4</w:t>
      </w:r>
      <w:r>
        <w:rPr>
          <w:rFonts w:hint="eastAsia" w:ascii="宋体" w:hAnsi="宋体"/>
          <w:sz w:val="24"/>
        </w:rPr>
        <w:t xml:space="preserve"> </w:t>
      </w:r>
      <w:r>
        <w:rPr>
          <w:rFonts w:ascii="宋体" w:hAnsi="宋体"/>
          <w:sz w:val="24"/>
        </w:rPr>
        <w:t>大中型企业</w:t>
      </w:r>
      <w:r>
        <w:rPr>
          <w:rFonts w:hint="eastAsia" w:ascii="宋体" w:hAnsi="宋体"/>
          <w:sz w:val="24"/>
        </w:rPr>
        <w:t>、</w:t>
      </w:r>
      <w:r>
        <w:rPr>
          <w:rFonts w:ascii="宋体" w:hAnsi="宋体"/>
          <w:sz w:val="24"/>
        </w:rPr>
        <w:t>其他自然人、法人或者</w:t>
      </w:r>
      <w:r>
        <w:rPr>
          <w:rFonts w:hint="eastAsia" w:ascii="宋体" w:hAnsi="宋体"/>
          <w:sz w:val="24"/>
        </w:rPr>
        <w:t>非法人组织</w:t>
      </w:r>
      <w:r>
        <w:rPr>
          <w:rFonts w:ascii="宋体" w:hAnsi="宋体"/>
          <w:sz w:val="24"/>
        </w:rPr>
        <w:t>与小型、微型企业组成联合体共同参加</w:t>
      </w:r>
      <w:r>
        <w:rPr>
          <w:rFonts w:hint="eastAsia" w:ascii="宋体" w:hAnsi="宋体"/>
          <w:sz w:val="24"/>
        </w:rPr>
        <w:t>提交响应文件，联合体协议</w:t>
      </w:r>
      <w:r>
        <w:rPr>
          <w:rFonts w:ascii="宋体" w:hAnsi="宋体"/>
          <w:sz w:val="24"/>
        </w:rPr>
        <w:t>中</w:t>
      </w:r>
      <w:r>
        <w:rPr>
          <w:rFonts w:hint="eastAsia" w:ascii="宋体" w:hAnsi="宋体"/>
          <w:sz w:val="24"/>
        </w:rPr>
        <w:t>应写明</w:t>
      </w:r>
      <w:r>
        <w:rPr>
          <w:rFonts w:ascii="宋体" w:hAnsi="宋体"/>
          <w:sz w:val="24"/>
        </w:rPr>
        <w:t>小型、微型企业</w:t>
      </w:r>
      <w:r>
        <w:rPr>
          <w:rFonts w:hint="eastAsia" w:ascii="宋体" w:hAnsi="宋体"/>
          <w:sz w:val="24"/>
        </w:rPr>
        <w:t>所提供产品的</w:t>
      </w:r>
      <w:r>
        <w:rPr>
          <w:rFonts w:ascii="宋体" w:hAnsi="宋体"/>
          <w:sz w:val="24"/>
        </w:rPr>
        <w:t>合同金额</w:t>
      </w:r>
      <w:r>
        <w:rPr>
          <w:rFonts w:hint="eastAsia" w:ascii="宋体" w:hAnsi="宋体"/>
          <w:sz w:val="24"/>
        </w:rPr>
        <w:t>占联合体各方全部提供产品合同总</w:t>
      </w:r>
      <w:r>
        <w:rPr>
          <w:rFonts w:ascii="宋体" w:hAnsi="宋体"/>
          <w:sz w:val="24"/>
        </w:rPr>
        <w:t>金额</w:t>
      </w:r>
      <w:r>
        <w:rPr>
          <w:rFonts w:hint="eastAsia" w:ascii="宋体" w:hAnsi="宋体"/>
          <w:sz w:val="24"/>
        </w:rPr>
        <w:t>的比例。</w:t>
      </w:r>
    </w:p>
    <w:p w14:paraId="150ABF4A">
      <w:pPr>
        <w:wordWrap w:val="0"/>
        <w:adjustRightInd w:val="0"/>
        <w:snapToGrid w:val="0"/>
        <w:spacing w:line="360" w:lineRule="auto"/>
        <w:ind w:left="960" w:hanging="960" w:hangingChars="400"/>
        <w:rPr>
          <w:rFonts w:hint="eastAsia" w:ascii="宋体" w:hAnsi="宋体" w:cs="仿宋_GB2312"/>
          <w:sz w:val="24"/>
        </w:rPr>
      </w:pPr>
      <w:r>
        <w:rPr>
          <w:rFonts w:hint="eastAsia" w:ascii="宋体" w:hAnsi="宋体" w:cs="仿宋_GB2312"/>
          <w:sz w:val="24"/>
        </w:rPr>
        <w:t>1.4.3.</w:t>
      </w:r>
      <w:r>
        <w:rPr>
          <w:rFonts w:ascii="宋体" w:hAnsi="宋体" w:cs="仿宋_GB2312"/>
          <w:sz w:val="24"/>
        </w:rPr>
        <w:t xml:space="preserve">5 </w:t>
      </w:r>
      <w:r>
        <w:rPr>
          <w:rFonts w:hint="eastAsia" w:ascii="宋体" w:hAnsi="宋体" w:cs="仿宋_GB2312"/>
          <w:sz w:val="24"/>
        </w:rPr>
        <w:t>联合体中有同类资质的供应商按照联合体分工承担相同工作的，按照较低的资质等级确定联合体的资质等级。</w:t>
      </w:r>
    </w:p>
    <w:p w14:paraId="58592EDB">
      <w:pPr>
        <w:wordWrap w:val="0"/>
        <w:spacing w:line="360" w:lineRule="auto"/>
        <w:ind w:left="960" w:hanging="960" w:hangingChars="400"/>
        <w:rPr>
          <w:rFonts w:hint="eastAsia" w:ascii="宋体" w:hAnsi="宋体"/>
          <w:sz w:val="24"/>
        </w:rPr>
      </w:pPr>
      <w:r>
        <w:rPr>
          <w:rFonts w:hint="eastAsia" w:ascii="宋体" w:hAnsi="宋体"/>
          <w:sz w:val="24"/>
        </w:rPr>
        <w:t>1.4.3.</w:t>
      </w:r>
      <w:r>
        <w:rPr>
          <w:rFonts w:ascii="宋体" w:hAnsi="宋体"/>
          <w:sz w:val="24"/>
        </w:rPr>
        <w:t xml:space="preserve">6 </w:t>
      </w:r>
      <w:r>
        <w:rPr>
          <w:rFonts w:hint="eastAsia" w:ascii="宋体" w:hAnsi="宋体"/>
          <w:b/>
          <w:bCs/>
          <w:sz w:val="24"/>
        </w:rPr>
        <w:t>以联合体形式参加政府采购活动的，联合体各方不得再单独参加或者与其他供应商另外组成联合体参加本项目同一合同项下的采购活动，否则相关响应文件将被认定为无效响应文件</w:t>
      </w:r>
      <w:r>
        <w:rPr>
          <w:rFonts w:hint="eastAsia" w:ascii="宋体" w:hAnsi="宋体"/>
          <w:sz w:val="24"/>
        </w:rPr>
        <w:t>。</w:t>
      </w:r>
    </w:p>
    <w:p w14:paraId="70677181">
      <w:pPr>
        <w:wordWrap w:val="0"/>
        <w:spacing w:line="360" w:lineRule="auto"/>
        <w:ind w:left="960" w:hanging="960" w:hangingChars="400"/>
        <w:rPr>
          <w:rFonts w:hint="eastAsia" w:ascii="宋体" w:hAnsi="宋体"/>
          <w:sz w:val="24"/>
        </w:rPr>
      </w:pPr>
      <w:r>
        <w:rPr>
          <w:rFonts w:hint="eastAsia" w:ascii="宋体" w:hAnsi="宋体" w:cs="仿宋_GB2312"/>
          <w:sz w:val="24"/>
        </w:rPr>
        <w:t>1.4.3.</w:t>
      </w:r>
      <w:r>
        <w:rPr>
          <w:rFonts w:ascii="宋体" w:hAnsi="宋体" w:cs="仿宋_GB2312"/>
          <w:sz w:val="24"/>
        </w:rPr>
        <w:t xml:space="preserve">7 </w:t>
      </w:r>
      <w:r>
        <w:rPr>
          <w:rFonts w:hint="eastAsia" w:ascii="宋体" w:hAnsi="宋体" w:cs="仿宋_GB2312"/>
          <w:sz w:val="24"/>
        </w:rPr>
        <w:t>以联合体形式成交的，联合体各方应共同与采购人签订采购合同，就采购合同约定的事项对采购人承担连带责任。</w:t>
      </w:r>
    </w:p>
    <w:p w14:paraId="4B7A5BEC">
      <w:pPr>
        <w:wordWrap w:val="0"/>
        <w:spacing w:line="360" w:lineRule="auto"/>
        <w:rPr>
          <w:rFonts w:hint="eastAsia" w:ascii="宋体" w:hAnsi="宋体"/>
          <w:sz w:val="24"/>
        </w:rPr>
      </w:pPr>
      <w:r>
        <w:rPr>
          <w:rFonts w:hint="eastAsia" w:ascii="宋体" w:hAnsi="宋体"/>
          <w:sz w:val="24"/>
        </w:rPr>
        <w:t>1.4.3.</w:t>
      </w:r>
      <w:r>
        <w:rPr>
          <w:rFonts w:ascii="宋体" w:hAnsi="宋体"/>
          <w:sz w:val="24"/>
        </w:rPr>
        <w:t>8</w:t>
      </w:r>
      <w:r>
        <w:rPr>
          <w:rFonts w:hint="eastAsia" w:ascii="宋体" w:hAnsi="宋体"/>
          <w:sz w:val="24"/>
        </w:rPr>
        <w:t xml:space="preserve"> 对联合体的其他资格要求见</w:t>
      </w:r>
      <w:r>
        <w:rPr>
          <w:rFonts w:hint="eastAsia" w:ascii="宋体" w:hAnsi="宋体"/>
          <w:b/>
          <w:sz w:val="24"/>
          <w:u w:val="single"/>
        </w:rPr>
        <w:t>供应商须知前附表</w:t>
      </w:r>
      <w:r>
        <w:rPr>
          <w:rFonts w:hint="eastAsia" w:ascii="宋体" w:hAnsi="宋体"/>
          <w:sz w:val="24"/>
        </w:rPr>
        <w:t>。</w:t>
      </w:r>
      <w:bookmarkEnd w:id="142"/>
    </w:p>
    <w:p w14:paraId="30254287">
      <w:pPr>
        <w:wordWrap w:val="0"/>
        <w:spacing w:line="360" w:lineRule="auto"/>
        <w:ind w:left="960" w:hanging="960" w:hangingChars="400"/>
        <w:rPr>
          <w:rFonts w:hint="eastAsia" w:ascii="宋体" w:hAnsi="宋体"/>
          <w:sz w:val="24"/>
        </w:rPr>
      </w:pPr>
      <w:bookmarkStart w:id="144" w:name="_Hlk56433056"/>
      <w:r>
        <w:rPr>
          <w:rFonts w:hint="eastAsia" w:ascii="宋体" w:hAnsi="宋体"/>
          <w:sz w:val="24"/>
        </w:rPr>
        <w:t xml:space="preserve">1.4.4 </w:t>
      </w:r>
      <w:r>
        <w:rPr>
          <w:rFonts w:ascii="宋体" w:hAnsi="宋体"/>
          <w:sz w:val="24"/>
        </w:rPr>
        <w:t xml:space="preserve">  </w:t>
      </w:r>
      <w:r>
        <w:rPr>
          <w:rFonts w:hint="eastAsia" w:ascii="宋体" w:hAnsi="宋体"/>
          <w:b/>
          <w:bCs/>
          <w:sz w:val="24"/>
        </w:rPr>
        <w:t>单位负责人为同一人或者存在直接控股、管理关系的不同供应商参与本项目同一合同项下采购活动的，其相关响应文件将被认定为</w:t>
      </w:r>
      <w:r>
        <w:rPr>
          <w:rFonts w:hint="eastAsia" w:ascii="宋体" w:hAnsi="宋体"/>
          <w:b/>
          <w:sz w:val="24"/>
        </w:rPr>
        <w:t>无效响应文件</w:t>
      </w:r>
      <w:r>
        <w:rPr>
          <w:rFonts w:ascii="宋体" w:hAnsi="宋体"/>
          <w:sz w:val="24"/>
        </w:rPr>
        <w:t>。</w:t>
      </w:r>
    </w:p>
    <w:p w14:paraId="20760E0F">
      <w:pPr>
        <w:wordWrap w:val="0"/>
        <w:spacing w:line="360" w:lineRule="auto"/>
        <w:ind w:left="722" w:leftChars="1" w:hanging="720" w:hangingChars="300"/>
        <w:rPr>
          <w:rFonts w:hint="eastAsia" w:ascii="宋体" w:hAnsi="宋体"/>
          <w:sz w:val="24"/>
        </w:rPr>
      </w:pPr>
      <w:r>
        <w:rPr>
          <w:rFonts w:ascii="宋体" w:hAnsi="宋体"/>
          <w:sz w:val="24"/>
        </w:rPr>
        <w:t>1.</w:t>
      </w:r>
      <w:r>
        <w:rPr>
          <w:rFonts w:hint="eastAsia" w:ascii="宋体" w:hAnsi="宋体"/>
          <w:sz w:val="24"/>
        </w:rPr>
        <w:t xml:space="preserve">4.5 </w:t>
      </w:r>
      <w:r>
        <w:rPr>
          <w:rFonts w:hint="eastAsia" w:ascii="宋体" w:hAnsi="宋体"/>
          <w:b/>
          <w:bCs/>
          <w:sz w:val="24"/>
        </w:rPr>
        <w:t>为本项目提供过整体设计、规范编制或者项目管理、监理、检测等服务的供应商，不得再参加本项目上述</w:t>
      </w:r>
      <w:r>
        <w:rPr>
          <w:rFonts w:ascii="宋体" w:hAnsi="宋体"/>
          <w:b/>
          <w:bCs/>
          <w:sz w:val="24"/>
        </w:rPr>
        <w:t>服务以外</w:t>
      </w:r>
      <w:r>
        <w:rPr>
          <w:rFonts w:hint="eastAsia" w:ascii="宋体" w:hAnsi="宋体"/>
          <w:b/>
          <w:bCs/>
          <w:sz w:val="24"/>
        </w:rPr>
        <w:t>的其他采购活动。</w:t>
      </w:r>
      <w:r>
        <w:rPr>
          <w:rFonts w:ascii="宋体" w:hAnsi="宋体"/>
          <w:b/>
          <w:bCs/>
          <w:sz w:val="24"/>
        </w:rPr>
        <w:t>否则</w:t>
      </w:r>
      <w:r>
        <w:rPr>
          <w:rFonts w:hint="eastAsia" w:ascii="宋体" w:hAnsi="宋体"/>
          <w:b/>
          <w:bCs/>
          <w:sz w:val="24"/>
        </w:rPr>
        <w:t>其相关响应文件将被认定为</w:t>
      </w:r>
      <w:r>
        <w:rPr>
          <w:rFonts w:hint="eastAsia" w:ascii="宋体" w:hAnsi="宋体"/>
          <w:b/>
          <w:sz w:val="24"/>
        </w:rPr>
        <w:t>无效响应文件</w:t>
      </w:r>
      <w:r>
        <w:rPr>
          <w:rFonts w:ascii="宋体" w:hAnsi="宋体"/>
          <w:sz w:val="24"/>
        </w:rPr>
        <w:t>。</w:t>
      </w:r>
    </w:p>
    <w:bookmarkEnd w:id="144"/>
    <w:p w14:paraId="6C062732">
      <w:pPr>
        <w:pStyle w:val="8"/>
        <w:wordWrap w:val="0"/>
        <w:spacing w:before="0" w:after="0" w:line="360" w:lineRule="auto"/>
        <w:rPr>
          <w:rFonts w:hint="eastAsia" w:ascii="黑体" w:hAnsi="黑体" w:eastAsia="黑体" w:cs="仿宋_GB2312"/>
          <w:b w:val="0"/>
          <w:bCs w:val="0"/>
          <w:sz w:val="24"/>
        </w:rPr>
      </w:pPr>
      <w:bookmarkStart w:id="145" w:name="_Toc20500"/>
      <w:bookmarkStart w:id="146" w:name="_Toc57211939"/>
      <w:r>
        <w:rPr>
          <w:rFonts w:hint="eastAsia" w:ascii="黑体" w:hAnsi="黑体" w:eastAsia="黑体"/>
          <w:b w:val="0"/>
          <w:bCs w:val="0"/>
          <w:sz w:val="24"/>
          <w:szCs w:val="24"/>
        </w:rPr>
        <w:t>1.5 监督管理部门</w:t>
      </w:r>
      <w:bookmarkEnd w:id="145"/>
      <w:bookmarkEnd w:id="146"/>
    </w:p>
    <w:p w14:paraId="431A8986">
      <w:pPr>
        <w:wordWrap w:val="0"/>
        <w:spacing w:line="360" w:lineRule="auto"/>
        <w:ind w:left="720" w:hanging="720" w:hangingChars="300"/>
        <w:rPr>
          <w:rFonts w:hint="eastAsia" w:ascii="宋体" w:hAnsi="宋体" w:cs="仿宋_GB2312"/>
          <w:sz w:val="24"/>
        </w:rPr>
      </w:pPr>
      <w:r>
        <w:rPr>
          <w:rFonts w:hint="eastAsia" w:ascii="宋体" w:hAnsi="宋体" w:cs="仿宋_GB2312"/>
          <w:sz w:val="24"/>
        </w:rPr>
        <w:t>1</w:t>
      </w:r>
      <w:r>
        <w:rPr>
          <w:rFonts w:ascii="宋体" w:hAnsi="宋体" w:cs="仿宋_GB2312"/>
          <w:sz w:val="24"/>
        </w:rPr>
        <w:t xml:space="preserve">.5.1 </w:t>
      </w:r>
      <w:r>
        <w:rPr>
          <w:rFonts w:hint="eastAsia" w:ascii="宋体" w:hAnsi="宋体" w:cs="仿宋_GB2312"/>
          <w:sz w:val="24"/>
        </w:rPr>
        <w:t>本次采购活动的政府采购监督管理部门为：本次采购项目的采购人。</w:t>
      </w:r>
    </w:p>
    <w:p w14:paraId="6C1AA3EE">
      <w:pPr>
        <w:pStyle w:val="8"/>
        <w:wordWrap w:val="0"/>
        <w:spacing w:before="0" w:after="0" w:line="360" w:lineRule="auto"/>
        <w:rPr>
          <w:rFonts w:hint="eastAsia" w:ascii="黑体" w:hAnsi="黑体" w:eastAsia="黑体"/>
          <w:b w:val="0"/>
          <w:bCs w:val="0"/>
          <w:sz w:val="24"/>
          <w:szCs w:val="24"/>
        </w:rPr>
      </w:pPr>
      <w:bookmarkStart w:id="147" w:name="_Toc57211940"/>
      <w:bookmarkStart w:id="148" w:name="_Toc332"/>
      <w:r>
        <w:rPr>
          <w:rFonts w:hint="eastAsia" w:ascii="黑体" w:hAnsi="黑体" w:eastAsia="黑体"/>
          <w:b w:val="0"/>
          <w:bCs w:val="0"/>
          <w:sz w:val="24"/>
          <w:szCs w:val="24"/>
        </w:rPr>
        <w:t>1.6 供应商参加采购活动的费用</w:t>
      </w:r>
      <w:bookmarkEnd w:id="147"/>
      <w:bookmarkEnd w:id="148"/>
    </w:p>
    <w:p w14:paraId="550FE1E3">
      <w:pPr>
        <w:wordWrap w:val="0"/>
        <w:spacing w:line="360" w:lineRule="auto"/>
        <w:ind w:left="720" w:hanging="720" w:hangingChars="300"/>
        <w:rPr>
          <w:sz w:val="24"/>
        </w:rPr>
      </w:pPr>
      <w:bookmarkStart w:id="149" w:name="_Hlk174375396"/>
      <w:r>
        <w:rPr>
          <w:rFonts w:hint="eastAsia" w:ascii="宋体" w:hAnsi="宋体"/>
          <w:sz w:val="24"/>
        </w:rPr>
        <w:t>1.6.1</w:t>
      </w:r>
      <w:r>
        <w:rPr>
          <w:rFonts w:ascii="宋体" w:hAnsi="宋体"/>
          <w:sz w:val="24"/>
        </w:rPr>
        <w:t xml:space="preserve"> 无论</w:t>
      </w:r>
      <w:r>
        <w:rPr>
          <w:rFonts w:hint="eastAsia" w:ascii="宋体" w:hAnsi="宋体"/>
          <w:sz w:val="24"/>
        </w:rPr>
        <w:t>采购过程</w:t>
      </w:r>
      <w:r>
        <w:rPr>
          <w:rFonts w:ascii="宋体" w:hAnsi="宋体"/>
          <w:sz w:val="24"/>
        </w:rPr>
        <w:t>中</w:t>
      </w:r>
      <w:r>
        <w:rPr>
          <w:rFonts w:hint="eastAsia" w:ascii="宋体" w:hAnsi="宋体"/>
          <w:sz w:val="24"/>
        </w:rPr>
        <w:t>的做法</w:t>
      </w:r>
      <w:r>
        <w:rPr>
          <w:rFonts w:ascii="宋体" w:hAnsi="宋体"/>
          <w:sz w:val="24"/>
        </w:rPr>
        <w:t>和</w:t>
      </w:r>
      <w:r>
        <w:rPr>
          <w:rFonts w:hint="eastAsia" w:ascii="宋体" w:hAnsi="宋体"/>
          <w:sz w:val="24"/>
        </w:rPr>
        <w:t>采购的</w:t>
      </w:r>
      <w:r>
        <w:rPr>
          <w:rFonts w:ascii="宋体" w:hAnsi="宋体"/>
          <w:sz w:val="24"/>
        </w:rPr>
        <w:t>结果如何</w:t>
      </w:r>
      <w:r>
        <w:rPr>
          <w:rFonts w:hint="eastAsia" w:ascii="宋体" w:hAnsi="宋体"/>
          <w:sz w:val="24"/>
        </w:rPr>
        <w:t>，供应商均</w:t>
      </w:r>
      <w:r>
        <w:rPr>
          <w:spacing w:val="-3"/>
          <w:sz w:val="24"/>
        </w:rPr>
        <w:t>应自行承担所有与准备和</w:t>
      </w:r>
      <w:r>
        <w:rPr>
          <w:sz w:val="24"/>
        </w:rPr>
        <w:t>参加</w:t>
      </w:r>
      <w:r>
        <w:rPr>
          <w:rFonts w:hint="eastAsia" w:ascii="宋体" w:hAnsi="宋体" w:cs="仿宋_GB2312"/>
          <w:sz w:val="24"/>
        </w:rPr>
        <w:t>本次提交响应文件活动</w:t>
      </w:r>
      <w:r>
        <w:rPr>
          <w:spacing w:val="-3"/>
          <w:sz w:val="24"/>
        </w:rPr>
        <w:t>有关的费用，</w:t>
      </w:r>
      <w:r>
        <w:rPr>
          <w:sz w:val="24"/>
        </w:rPr>
        <w:t>采购人</w:t>
      </w:r>
      <w:r>
        <w:rPr>
          <w:rFonts w:hint="eastAsia"/>
          <w:sz w:val="24"/>
        </w:rPr>
        <w:t>和</w:t>
      </w:r>
      <w:r>
        <w:rPr>
          <w:sz w:val="24"/>
        </w:rPr>
        <w:t>采购代理机构在任何情况下均无承担这些费用的义务和责任。</w:t>
      </w:r>
      <w:bookmarkEnd w:id="149"/>
    </w:p>
    <w:p w14:paraId="5D59A831">
      <w:pPr>
        <w:pStyle w:val="8"/>
        <w:wordWrap w:val="0"/>
        <w:spacing w:before="0" w:after="0" w:line="360" w:lineRule="auto"/>
        <w:rPr>
          <w:rFonts w:hint="eastAsia" w:ascii="黑体" w:hAnsi="黑体" w:eastAsia="黑体"/>
          <w:b w:val="0"/>
          <w:bCs w:val="0"/>
          <w:sz w:val="24"/>
          <w:szCs w:val="24"/>
        </w:rPr>
      </w:pPr>
      <w:bookmarkStart w:id="150" w:name="_Toc57211942"/>
      <w:bookmarkStart w:id="151" w:name="_Toc762"/>
      <w:r>
        <w:rPr>
          <w:rFonts w:hint="eastAsia" w:ascii="黑体" w:hAnsi="黑体" w:eastAsia="黑体"/>
          <w:b w:val="0"/>
          <w:bCs w:val="0"/>
          <w:sz w:val="24"/>
          <w:szCs w:val="24"/>
        </w:rPr>
        <w:t>1.</w:t>
      </w:r>
      <w:r>
        <w:rPr>
          <w:rFonts w:ascii="黑体" w:hAnsi="黑体" w:eastAsia="黑体"/>
          <w:b w:val="0"/>
          <w:bCs w:val="0"/>
          <w:sz w:val="24"/>
          <w:szCs w:val="24"/>
        </w:rPr>
        <w:t>7</w:t>
      </w:r>
      <w:r>
        <w:rPr>
          <w:rFonts w:hint="eastAsia" w:ascii="黑体" w:hAnsi="黑体" w:eastAsia="黑体"/>
          <w:b w:val="0"/>
          <w:bCs w:val="0"/>
          <w:sz w:val="24"/>
          <w:szCs w:val="24"/>
        </w:rPr>
        <w:t xml:space="preserve"> </w:t>
      </w:r>
      <w:bookmarkEnd w:id="150"/>
      <w:bookmarkEnd w:id="151"/>
      <w:r>
        <w:rPr>
          <w:rFonts w:hint="eastAsia" w:ascii="黑体" w:hAnsi="黑体" w:eastAsia="黑体"/>
          <w:b w:val="0"/>
          <w:bCs w:val="0"/>
          <w:sz w:val="24"/>
          <w:szCs w:val="24"/>
        </w:rPr>
        <w:t>探勘现场</w:t>
      </w:r>
    </w:p>
    <w:p w14:paraId="53963AC3">
      <w:pPr>
        <w:wordWrap w:val="0"/>
        <w:spacing w:line="360" w:lineRule="auto"/>
        <w:ind w:left="720" w:hanging="720" w:hangingChars="300"/>
        <w:rPr>
          <w:rFonts w:hint="eastAsia" w:ascii="宋体" w:hAnsi="宋体"/>
          <w:sz w:val="24"/>
        </w:rPr>
      </w:pPr>
      <w:r>
        <w:rPr>
          <w:rFonts w:hint="eastAsia" w:ascii="宋体" w:hAnsi="宋体"/>
          <w:sz w:val="24"/>
        </w:rPr>
        <w:t>1.</w:t>
      </w:r>
      <w:r>
        <w:rPr>
          <w:rFonts w:ascii="宋体" w:hAnsi="宋体"/>
          <w:sz w:val="24"/>
        </w:rPr>
        <w:t>7</w:t>
      </w:r>
      <w:r>
        <w:rPr>
          <w:rFonts w:hint="eastAsia" w:ascii="宋体" w:hAnsi="宋体"/>
          <w:sz w:val="24"/>
        </w:rPr>
        <w:t>.1</w:t>
      </w:r>
      <w:r>
        <w:rPr>
          <w:rFonts w:ascii="宋体" w:hAnsi="宋体"/>
          <w:sz w:val="24"/>
        </w:rPr>
        <w:t xml:space="preserve"> </w:t>
      </w:r>
      <w:r>
        <w:rPr>
          <w:rFonts w:hint="eastAsia" w:ascii="宋体" w:hAnsi="宋体"/>
          <w:sz w:val="24"/>
        </w:rPr>
        <w:t>“供应商须知前附表”规定组织踏勘现场的，采购人按“供应商须知前附表”规定的时间、地点组织供应商踏勘项目现场。</w:t>
      </w:r>
    </w:p>
    <w:p w14:paraId="4559384F">
      <w:pPr>
        <w:wordWrap w:val="0"/>
        <w:spacing w:line="360" w:lineRule="auto"/>
        <w:ind w:left="720" w:hanging="720" w:hangingChars="300"/>
        <w:rPr>
          <w:rFonts w:hint="eastAsia" w:ascii="宋体" w:hAnsi="宋体"/>
          <w:sz w:val="24"/>
        </w:rPr>
      </w:pPr>
      <w:r>
        <w:rPr>
          <w:rFonts w:hint="eastAsia" w:ascii="宋体" w:hAnsi="宋体"/>
          <w:sz w:val="24"/>
        </w:rPr>
        <w:t>1.7.2 供应商踏勘现场发生的费用自理。</w:t>
      </w:r>
    </w:p>
    <w:p w14:paraId="0AD21701">
      <w:pPr>
        <w:wordWrap w:val="0"/>
        <w:spacing w:line="360" w:lineRule="auto"/>
        <w:ind w:left="720" w:hanging="720" w:hangingChars="300"/>
        <w:rPr>
          <w:rFonts w:hint="eastAsia" w:ascii="宋体" w:hAnsi="宋体"/>
          <w:sz w:val="24"/>
        </w:rPr>
      </w:pPr>
      <w:r>
        <w:rPr>
          <w:rFonts w:hint="eastAsia" w:ascii="宋体" w:hAnsi="宋体"/>
          <w:sz w:val="24"/>
        </w:rPr>
        <w:t>1.7.3 除采购人的原因外，供应商自行负责在踏勘现场中所发生的人员伤亡和财产损失。</w:t>
      </w:r>
    </w:p>
    <w:p w14:paraId="38C92ED8">
      <w:pPr>
        <w:wordWrap w:val="0"/>
        <w:spacing w:line="360" w:lineRule="auto"/>
        <w:ind w:left="720" w:hanging="720" w:hangingChars="300"/>
        <w:rPr>
          <w:rFonts w:hint="eastAsia" w:ascii="宋体" w:hAnsi="宋体"/>
          <w:sz w:val="24"/>
        </w:rPr>
      </w:pPr>
      <w:r>
        <w:rPr>
          <w:rFonts w:hint="eastAsia" w:ascii="宋体" w:hAnsi="宋体"/>
          <w:sz w:val="24"/>
        </w:rPr>
        <w:t>1.7.4 采购人在踏勘现场中介绍的项目现场和相关的周边环境情况，供供应商在编制磋商响应文件时参考，采购人不对供应商据此作出的判断和决策负责。</w:t>
      </w:r>
    </w:p>
    <w:p w14:paraId="1916F820">
      <w:pPr>
        <w:pStyle w:val="8"/>
        <w:wordWrap w:val="0"/>
        <w:spacing w:before="0" w:after="0" w:line="360" w:lineRule="auto"/>
        <w:rPr>
          <w:rFonts w:hint="eastAsia" w:ascii="黑体" w:hAnsi="黑体" w:eastAsia="黑体"/>
          <w:b w:val="0"/>
          <w:bCs w:val="0"/>
          <w:sz w:val="24"/>
          <w:szCs w:val="24"/>
        </w:rPr>
      </w:pPr>
      <w:bookmarkStart w:id="152" w:name="_Toc30310"/>
      <w:bookmarkStart w:id="153" w:name="_Toc57211943"/>
      <w:r>
        <w:rPr>
          <w:rFonts w:hint="eastAsia" w:ascii="黑体" w:hAnsi="黑体" w:eastAsia="黑体"/>
          <w:b w:val="0"/>
          <w:bCs w:val="0"/>
          <w:sz w:val="24"/>
          <w:szCs w:val="24"/>
        </w:rPr>
        <w:t>1.</w:t>
      </w:r>
      <w:r>
        <w:rPr>
          <w:rFonts w:ascii="黑体" w:hAnsi="黑体" w:eastAsia="黑体"/>
          <w:b w:val="0"/>
          <w:bCs w:val="0"/>
          <w:sz w:val="24"/>
          <w:szCs w:val="24"/>
        </w:rPr>
        <w:t>8</w:t>
      </w:r>
      <w:r>
        <w:rPr>
          <w:rFonts w:hint="eastAsia" w:ascii="黑体" w:hAnsi="黑体" w:eastAsia="黑体"/>
          <w:b w:val="0"/>
          <w:bCs w:val="0"/>
          <w:sz w:val="24"/>
          <w:szCs w:val="24"/>
        </w:rPr>
        <w:t xml:space="preserve"> 参照法律</w:t>
      </w:r>
      <w:bookmarkEnd w:id="152"/>
      <w:bookmarkEnd w:id="153"/>
    </w:p>
    <w:p w14:paraId="2139AD6E">
      <w:pPr>
        <w:wordWrap w:val="0"/>
        <w:spacing w:line="360" w:lineRule="auto"/>
        <w:ind w:left="720" w:hanging="720" w:hangingChars="300"/>
        <w:rPr>
          <w:rFonts w:hint="eastAsia" w:ascii="宋体" w:hAnsi="宋体"/>
          <w:sz w:val="24"/>
        </w:rPr>
      </w:pPr>
      <w:r>
        <w:rPr>
          <w:rFonts w:hint="eastAsia" w:ascii="宋体" w:hAnsi="宋体"/>
          <w:sz w:val="24"/>
        </w:rPr>
        <w:t>1.</w:t>
      </w:r>
      <w:r>
        <w:rPr>
          <w:rFonts w:ascii="宋体" w:hAnsi="宋体"/>
          <w:sz w:val="24"/>
        </w:rPr>
        <w:t>8</w:t>
      </w:r>
      <w:r>
        <w:rPr>
          <w:rFonts w:hint="eastAsia" w:ascii="宋体" w:hAnsi="宋体"/>
          <w:sz w:val="24"/>
        </w:rPr>
        <w:t>.1 本项目参照《中华人民共和国政府采购法》《</w:t>
      </w:r>
      <w:r>
        <w:rPr>
          <w:rFonts w:ascii="宋体" w:hAnsi="宋体"/>
          <w:sz w:val="24"/>
        </w:rPr>
        <w:t>中华人民共和国政府采购法实施条例》</w:t>
      </w:r>
      <w:bookmarkStart w:id="154" w:name="_Toc39851027"/>
      <w:r>
        <w:rPr>
          <w:rFonts w:ascii="宋体" w:hAnsi="宋体"/>
          <w:sz w:val="24"/>
        </w:rPr>
        <w:t>《政府采购竞争性磋商采购方式管理暂行办法》</w:t>
      </w:r>
      <w:r>
        <w:rPr>
          <w:rFonts w:hint="eastAsia" w:ascii="宋体" w:hAnsi="宋体"/>
          <w:sz w:val="24"/>
        </w:rPr>
        <w:t>财库〔2014〕214号</w:t>
      </w:r>
      <w:bookmarkEnd w:id="154"/>
      <w:r>
        <w:rPr>
          <w:rFonts w:hint="eastAsia" w:ascii="宋体" w:hAnsi="宋体"/>
          <w:sz w:val="24"/>
        </w:rPr>
        <w:t>文、《</w:t>
      </w:r>
      <w:r>
        <w:rPr>
          <w:rFonts w:ascii="宋体" w:hAnsi="宋体"/>
          <w:sz w:val="24"/>
        </w:rPr>
        <w:t>财政部关于政府采购竞争性磋商采购方式管理暂行办法有关问题的补充通知</w:t>
      </w:r>
      <w:r>
        <w:rPr>
          <w:rFonts w:hint="eastAsia" w:ascii="宋体" w:hAnsi="宋体"/>
          <w:sz w:val="24"/>
        </w:rPr>
        <w:t>》</w:t>
      </w:r>
      <w:r>
        <w:rPr>
          <w:rFonts w:ascii="宋体" w:hAnsi="宋体"/>
          <w:sz w:val="24"/>
        </w:rPr>
        <w:t>财库〔2015〕124号</w:t>
      </w:r>
      <w:r>
        <w:rPr>
          <w:rFonts w:hint="eastAsia" w:ascii="宋体" w:hAnsi="宋体"/>
          <w:sz w:val="24"/>
        </w:rPr>
        <w:t>文部分规定和条款，并按照采购人内部控制管理制度有关规定执行。</w:t>
      </w:r>
    </w:p>
    <w:p w14:paraId="3CBF2B94">
      <w:pPr>
        <w:pStyle w:val="8"/>
        <w:wordWrap w:val="0"/>
        <w:spacing w:before="0" w:after="0" w:line="360" w:lineRule="auto"/>
        <w:rPr>
          <w:rFonts w:hint="eastAsia" w:ascii="黑体" w:hAnsi="黑体" w:eastAsia="黑体"/>
          <w:b w:val="0"/>
          <w:bCs w:val="0"/>
          <w:sz w:val="24"/>
          <w:szCs w:val="24"/>
        </w:rPr>
      </w:pPr>
      <w:bookmarkStart w:id="155" w:name="_Toc25832411"/>
      <w:bookmarkStart w:id="156" w:name="_Toc34732546"/>
      <w:bookmarkStart w:id="157" w:name="_Toc40972799"/>
      <w:bookmarkStart w:id="158" w:name="_Toc18799"/>
      <w:bookmarkStart w:id="159" w:name="_Toc57211944"/>
      <w:bookmarkStart w:id="160" w:name="_Toc36564724"/>
      <w:bookmarkStart w:id="161" w:name="_Toc34733014"/>
      <w:r>
        <w:rPr>
          <w:rFonts w:hint="eastAsia" w:ascii="黑体" w:hAnsi="黑体" w:eastAsia="黑体"/>
          <w:b w:val="0"/>
          <w:bCs w:val="0"/>
          <w:sz w:val="24"/>
          <w:szCs w:val="24"/>
        </w:rPr>
        <w:t>1.</w:t>
      </w:r>
      <w:r>
        <w:rPr>
          <w:rFonts w:ascii="黑体" w:hAnsi="黑体" w:eastAsia="黑体"/>
          <w:b w:val="0"/>
          <w:bCs w:val="0"/>
          <w:sz w:val="24"/>
          <w:szCs w:val="24"/>
        </w:rPr>
        <w:t>9</w:t>
      </w:r>
      <w:r>
        <w:rPr>
          <w:rFonts w:hint="eastAsia" w:ascii="黑体" w:hAnsi="黑体" w:eastAsia="黑体"/>
          <w:b w:val="0"/>
          <w:bCs w:val="0"/>
          <w:sz w:val="24"/>
          <w:szCs w:val="24"/>
        </w:rPr>
        <w:t xml:space="preserve"> 保密</w:t>
      </w:r>
      <w:bookmarkEnd w:id="155"/>
      <w:bookmarkEnd w:id="156"/>
      <w:bookmarkEnd w:id="157"/>
      <w:bookmarkEnd w:id="158"/>
      <w:bookmarkEnd w:id="159"/>
      <w:bookmarkEnd w:id="160"/>
      <w:bookmarkEnd w:id="161"/>
    </w:p>
    <w:p w14:paraId="0CF7A5B5">
      <w:pPr>
        <w:wordWrap w:val="0"/>
        <w:spacing w:line="360" w:lineRule="auto"/>
        <w:ind w:left="698" w:hanging="698" w:hangingChars="291"/>
        <w:rPr>
          <w:rFonts w:hint="eastAsia" w:ascii="宋体" w:hAnsi="宋体"/>
          <w:sz w:val="24"/>
        </w:rPr>
      </w:pPr>
      <w:r>
        <w:rPr>
          <w:rFonts w:hint="eastAsia" w:ascii="宋体" w:hAnsi="宋体"/>
          <w:sz w:val="24"/>
        </w:rPr>
        <w:t>1</w:t>
      </w:r>
      <w:r>
        <w:rPr>
          <w:rFonts w:ascii="宋体" w:hAnsi="宋体"/>
          <w:sz w:val="24"/>
        </w:rPr>
        <w:t xml:space="preserve">.9.1 </w:t>
      </w:r>
      <w:r>
        <w:rPr>
          <w:rFonts w:hint="eastAsia" w:ascii="宋体" w:hAnsi="宋体"/>
          <w:sz w:val="24"/>
        </w:rPr>
        <w:t>参与采购活动的各方应对竞争性磋商文件和响应文件中的商业和技术等秘密保密，违者应对由此造成的后果承担法律责任。</w:t>
      </w:r>
    </w:p>
    <w:p w14:paraId="139CDB89">
      <w:pPr>
        <w:pStyle w:val="7"/>
        <w:wordWrap w:val="0"/>
        <w:spacing w:before="0" w:after="0" w:line="360" w:lineRule="auto"/>
        <w:rPr>
          <w:rFonts w:hint="eastAsia" w:ascii="黑体" w:hAnsi="黑体"/>
          <w:b w:val="0"/>
          <w:bCs w:val="0"/>
          <w:sz w:val="24"/>
        </w:rPr>
      </w:pPr>
      <w:bookmarkStart w:id="162" w:name="_Toc10594"/>
      <w:bookmarkStart w:id="163" w:name="_Toc19225"/>
      <w:bookmarkStart w:id="164" w:name="_Toc1840"/>
      <w:bookmarkStart w:id="165" w:name="_Toc17495"/>
      <w:bookmarkStart w:id="166" w:name="_Toc146098531"/>
      <w:bookmarkStart w:id="167" w:name="_Toc13030"/>
      <w:r>
        <w:rPr>
          <w:rFonts w:hint="eastAsia" w:ascii="黑体" w:hAnsi="黑体"/>
          <w:b w:val="0"/>
          <w:bCs w:val="0"/>
          <w:sz w:val="24"/>
        </w:rPr>
        <w:t>2.</w:t>
      </w:r>
      <w:r>
        <w:rPr>
          <w:rFonts w:ascii="黑体" w:hAnsi="黑体"/>
          <w:b w:val="0"/>
          <w:bCs w:val="0"/>
          <w:sz w:val="24"/>
        </w:rPr>
        <w:t>政府采购政策</w:t>
      </w:r>
      <w:bookmarkEnd w:id="162"/>
      <w:bookmarkEnd w:id="163"/>
      <w:bookmarkEnd w:id="164"/>
      <w:bookmarkEnd w:id="165"/>
      <w:bookmarkEnd w:id="166"/>
      <w:bookmarkEnd w:id="167"/>
    </w:p>
    <w:p w14:paraId="039ED4E4">
      <w:pPr>
        <w:pStyle w:val="8"/>
        <w:spacing w:before="0" w:after="0" w:line="360" w:lineRule="auto"/>
        <w:rPr>
          <w:rFonts w:hint="eastAsia" w:ascii="宋体" w:hAnsi="宋体" w:cs="宋体"/>
          <w:b w:val="0"/>
          <w:bCs w:val="0"/>
          <w:sz w:val="24"/>
          <w:szCs w:val="24"/>
        </w:rPr>
      </w:pPr>
      <w:bookmarkStart w:id="168" w:name="_Toc23903"/>
      <w:bookmarkStart w:id="169" w:name="_Toc146098532"/>
      <w:r>
        <w:rPr>
          <w:rFonts w:hint="eastAsia" w:ascii="宋体" w:hAnsi="宋体" w:cs="宋体"/>
          <w:b w:val="0"/>
          <w:bCs w:val="0"/>
          <w:sz w:val="24"/>
          <w:szCs w:val="24"/>
        </w:rPr>
        <w:t>2.1</w:t>
      </w:r>
      <w:bookmarkEnd w:id="168"/>
      <w:bookmarkEnd w:id="169"/>
      <w:bookmarkStart w:id="170" w:name="_Toc146098533"/>
      <w:bookmarkStart w:id="171" w:name="_Toc28301"/>
      <w:r>
        <w:rPr>
          <w:rFonts w:hint="eastAsia" w:ascii="宋体" w:hAnsi="宋体" w:cs="宋体"/>
          <w:b w:val="0"/>
          <w:bCs w:val="0"/>
          <w:sz w:val="24"/>
          <w:szCs w:val="24"/>
        </w:rPr>
        <w:t xml:space="preserve"> 中小企业、监狱企业及残疾人福利性单位</w:t>
      </w:r>
      <w:bookmarkEnd w:id="170"/>
      <w:bookmarkEnd w:id="171"/>
    </w:p>
    <w:p w14:paraId="7F59D231">
      <w:pPr>
        <w:adjustRightInd w:val="0"/>
        <w:snapToGrid w:val="0"/>
        <w:spacing w:line="360" w:lineRule="auto"/>
        <w:rPr>
          <w:rFonts w:hint="eastAsia" w:ascii="宋体" w:hAnsi="宋体" w:cs="宋体"/>
          <w:sz w:val="24"/>
        </w:rPr>
      </w:pPr>
      <w:r>
        <w:rPr>
          <w:rFonts w:hint="eastAsia" w:ascii="宋体" w:hAnsi="宋体" w:cs="宋体"/>
          <w:sz w:val="24"/>
        </w:rPr>
        <w:t>2.1.1 中小企业定义：</w:t>
      </w:r>
    </w:p>
    <w:p w14:paraId="33E197D0">
      <w:pPr>
        <w:tabs>
          <w:tab w:val="left" w:pos="1980"/>
          <w:tab w:val="left" w:pos="2035"/>
          <w:tab w:val="left" w:pos="2977"/>
        </w:tabs>
        <w:adjustRightInd w:val="0"/>
        <w:snapToGrid w:val="0"/>
        <w:spacing w:line="360" w:lineRule="auto"/>
        <w:ind w:left="720" w:hanging="720" w:hangingChars="300"/>
        <w:rPr>
          <w:rFonts w:hint="eastAsia" w:ascii="宋体" w:hAnsi="宋体" w:cs="宋体"/>
          <w:sz w:val="24"/>
        </w:rPr>
      </w:pPr>
      <w:r>
        <w:rPr>
          <w:rFonts w:hint="eastAsia" w:ascii="宋体" w:hAnsi="宋体" w:cs="宋体"/>
          <w:sz w:val="24"/>
        </w:rPr>
        <w:t>2.1.1.1 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相关规定依据《中华人民共和国中小企业促进法》 《政府采购促进中小企业发展管理办法》（财库〔2020〕46号）《关于进一步加大政府采购支持中小企业力度的通知》（财库〔2022〕19号）《关于印发中小企业划型标准规定的通知》（工信部联企业〔2011〕300 号）《国务院关于进一步促进中小企业发展的若干意见》（国发〔2009〕36号）。</w:t>
      </w:r>
    </w:p>
    <w:p w14:paraId="7089E3B2">
      <w:pPr>
        <w:adjustRightInd w:val="0"/>
        <w:snapToGrid w:val="0"/>
        <w:spacing w:line="360" w:lineRule="auto"/>
        <w:ind w:left="720" w:hanging="720" w:hangingChars="300"/>
        <w:rPr>
          <w:rFonts w:hint="eastAsia" w:ascii="宋体" w:hAnsi="宋体" w:cs="宋体"/>
          <w:sz w:val="24"/>
        </w:rPr>
      </w:pPr>
      <w:r>
        <w:rPr>
          <w:rFonts w:hint="eastAsia" w:ascii="宋体" w:hAnsi="宋体" w:cs="宋体"/>
          <w:sz w:val="24"/>
        </w:rPr>
        <w:t xml:space="preserve">2.1.2 </w:t>
      </w:r>
      <w:r>
        <w:rPr>
          <w:rFonts w:hint="eastAsia" w:ascii="宋体" w:hAnsi="宋体" w:cs="宋体"/>
          <w:spacing w:val="-1"/>
          <w:sz w:val="24"/>
        </w:rPr>
        <w:t>在政府采购活动中，监狱企业视同小型、微型企业，享受预留份额、评审</w:t>
      </w:r>
      <w:r>
        <w:rPr>
          <w:rFonts w:hint="eastAsia" w:ascii="宋体" w:hAnsi="宋体" w:cs="宋体"/>
          <w:spacing w:val="-4"/>
          <w:sz w:val="24"/>
        </w:rPr>
        <w:t>价格扣除等政府采购促进中小企业发展的政府采购政策。</w:t>
      </w:r>
      <w:r>
        <w:rPr>
          <w:rFonts w:hint="eastAsia" w:ascii="宋体" w:hAnsi="宋体" w:cs="宋体"/>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4F11B66">
      <w:pPr>
        <w:pStyle w:val="8"/>
        <w:spacing w:before="0" w:after="0" w:line="360" w:lineRule="auto"/>
        <w:rPr>
          <w:rFonts w:hint="eastAsia" w:ascii="宋体" w:hAnsi="宋体" w:cs="宋体"/>
          <w:b w:val="0"/>
          <w:bCs w:val="0"/>
          <w:color w:val="000000"/>
          <w:sz w:val="24"/>
          <w:szCs w:val="24"/>
        </w:rPr>
      </w:pPr>
      <w:bookmarkStart w:id="172" w:name="_Toc26383"/>
      <w:bookmarkStart w:id="173" w:name="_Toc146098534"/>
      <w:r>
        <w:rPr>
          <w:rFonts w:hint="eastAsia" w:ascii="宋体" w:hAnsi="宋体" w:cs="宋体"/>
          <w:b w:val="0"/>
          <w:bCs w:val="0"/>
          <w:color w:val="000000"/>
          <w:sz w:val="24"/>
          <w:szCs w:val="24"/>
        </w:rPr>
        <w:t>2.2 政府采购节能产品、环境标志产品</w:t>
      </w:r>
      <w:bookmarkEnd w:id="172"/>
      <w:bookmarkEnd w:id="173"/>
    </w:p>
    <w:p w14:paraId="60B4FC15">
      <w:pPr>
        <w:adjustRightInd w:val="0"/>
        <w:snapToGrid w:val="0"/>
        <w:spacing w:line="360" w:lineRule="auto"/>
        <w:ind w:left="720" w:hanging="720" w:hangingChars="300"/>
        <w:rPr>
          <w:rFonts w:hint="eastAsia" w:ascii="宋体" w:hAnsi="宋体" w:cs="宋体"/>
          <w:color w:val="000000"/>
          <w:sz w:val="24"/>
        </w:rPr>
      </w:pPr>
      <w:r>
        <w:rPr>
          <w:rFonts w:hint="eastAsia" w:ascii="宋体" w:hAnsi="宋体" w:cs="宋体"/>
          <w:sz w:val="24"/>
        </w:rPr>
        <w:t>2.2.1 关于政府采购节能产品、环境标志产品的相关规定依据《关于调整优化节能产品、环境标志产品政府采购执行机制的通知》（财库〔2019〕9</w:t>
      </w:r>
      <w:r>
        <w:rPr>
          <w:rFonts w:hint="eastAsia" w:ascii="宋体" w:hAnsi="宋体" w:cs="宋体"/>
          <w:color w:val="000000"/>
          <w:sz w:val="24"/>
        </w:rPr>
        <w:t>号）、《关于印发节能产品政府采购品目清单的通知》（财库〔2019〕19号）、《关于印发环境标志产品政府采购品目清单的通知》（财库〔2019〕18号）。</w:t>
      </w:r>
    </w:p>
    <w:p w14:paraId="1A379E5A">
      <w:pPr>
        <w:wordWrap w:val="0"/>
        <w:spacing w:line="360" w:lineRule="auto"/>
        <w:ind w:left="718" w:leftChars="342" w:firstLine="24" w:firstLineChars="10"/>
        <w:rPr>
          <w:rFonts w:hint="eastAsia" w:ascii="宋体" w:hAnsi="宋体"/>
          <w:sz w:val="24"/>
        </w:rPr>
      </w:pPr>
      <w:r>
        <w:rPr>
          <w:rFonts w:hint="eastAsia" w:ascii="宋体" w:hAnsi="宋体" w:cs="宋体"/>
          <w:sz w:val="24"/>
        </w:rPr>
        <w:t xml:space="preserve">2.2.2 </w:t>
      </w:r>
      <w:r>
        <w:rPr>
          <w:rFonts w:hint="eastAsia" w:ascii="宋体" w:hAnsi="宋体" w:cs="宋体"/>
          <w:b/>
          <w:bCs/>
          <w:sz w:val="24"/>
        </w:rPr>
        <w:t>如本项目采购产品属于实施政府强制采购品目清单范围的节能产品，则供应商所报产品必须获得国家确定的认证机构出具的、处于有效期之内的节能产品认证证书，否则</w:t>
      </w:r>
      <w:r>
        <w:rPr>
          <w:rFonts w:hint="eastAsia" w:ascii="宋体" w:hAnsi="宋体" w:cs="宋体"/>
          <w:b/>
          <w:sz w:val="24"/>
        </w:rPr>
        <w:t>提交响应文件无效</w:t>
      </w:r>
      <w:r>
        <w:rPr>
          <w:rFonts w:hint="eastAsia" w:ascii="宋体" w:hAnsi="宋体" w:cs="宋体"/>
          <w:sz w:val="24"/>
        </w:rPr>
        <w:t>。</w:t>
      </w:r>
    </w:p>
    <w:p w14:paraId="62C2ABAC">
      <w:pPr>
        <w:pStyle w:val="7"/>
        <w:wordWrap w:val="0"/>
        <w:spacing w:before="0" w:after="0" w:line="360" w:lineRule="auto"/>
        <w:rPr>
          <w:rFonts w:hint="eastAsia" w:ascii="黑体" w:hAnsi="黑体"/>
          <w:b w:val="0"/>
          <w:bCs w:val="0"/>
          <w:sz w:val="28"/>
        </w:rPr>
      </w:pPr>
      <w:bookmarkStart w:id="174" w:name="_Toc8591"/>
      <w:bookmarkStart w:id="175" w:name="_Toc57211945"/>
      <w:bookmarkStart w:id="176" w:name="_Toc6478"/>
      <w:bookmarkStart w:id="177" w:name="_Toc844"/>
      <w:bookmarkStart w:id="178" w:name="_Toc31734"/>
      <w:bookmarkStart w:id="179" w:name="_Toc22274"/>
      <w:r>
        <w:rPr>
          <w:rFonts w:hint="eastAsia" w:ascii="黑体" w:hAnsi="黑体"/>
          <w:b w:val="0"/>
          <w:bCs w:val="0"/>
          <w:sz w:val="28"/>
        </w:rPr>
        <w:t>3.</w:t>
      </w:r>
      <w:bookmarkEnd w:id="174"/>
      <w:bookmarkEnd w:id="175"/>
      <w:bookmarkEnd w:id="176"/>
      <w:bookmarkEnd w:id="177"/>
      <w:bookmarkEnd w:id="178"/>
      <w:r>
        <w:rPr>
          <w:rFonts w:hint="eastAsia" w:ascii="黑体" w:hAnsi="黑体"/>
          <w:b w:val="0"/>
          <w:bCs w:val="0"/>
          <w:sz w:val="28"/>
        </w:rPr>
        <w:t>竞争性磋商文件</w:t>
      </w:r>
      <w:bookmarkEnd w:id="179"/>
    </w:p>
    <w:p w14:paraId="6140E28A">
      <w:pPr>
        <w:pStyle w:val="8"/>
        <w:wordWrap w:val="0"/>
        <w:spacing w:before="0" w:after="0" w:line="360" w:lineRule="auto"/>
        <w:rPr>
          <w:rFonts w:hint="eastAsia" w:ascii="黑体" w:hAnsi="黑体" w:eastAsia="黑体"/>
          <w:b w:val="0"/>
          <w:bCs w:val="0"/>
          <w:sz w:val="24"/>
          <w:szCs w:val="24"/>
        </w:rPr>
      </w:pPr>
      <w:bookmarkStart w:id="180" w:name="_Toc57211946"/>
      <w:bookmarkStart w:id="181" w:name="_Toc12735"/>
      <w:r>
        <w:rPr>
          <w:rFonts w:ascii="黑体" w:hAnsi="黑体" w:eastAsia="黑体"/>
          <w:b w:val="0"/>
          <w:bCs w:val="0"/>
          <w:sz w:val="24"/>
          <w:szCs w:val="24"/>
        </w:rPr>
        <w:t>3</w:t>
      </w:r>
      <w:r>
        <w:rPr>
          <w:rFonts w:hint="eastAsia" w:ascii="黑体" w:hAnsi="黑体" w:eastAsia="黑体"/>
          <w:b w:val="0"/>
          <w:bCs w:val="0"/>
          <w:sz w:val="24"/>
          <w:szCs w:val="24"/>
        </w:rPr>
        <w:t>.1 竞争性磋商文件构成</w:t>
      </w:r>
      <w:bookmarkEnd w:id="180"/>
      <w:bookmarkEnd w:id="181"/>
    </w:p>
    <w:p w14:paraId="113FA80B">
      <w:pPr>
        <w:wordWrap w:val="0"/>
        <w:spacing w:line="360" w:lineRule="auto"/>
        <w:rPr>
          <w:rFonts w:hint="eastAsia" w:ascii="宋体" w:hAnsi="宋体"/>
          <w:sz w:val="24"/>
        </w:rPr>
      </w:pPr>
      <w:r>
        <w:rPr>
          <w:rFonts w:ascii="宋体" w:hAnsi="宋体"/>
          <w:sz w:val="24"/>
        </w:rPr>
        <w:t>3</w:t>
      </w:r>
      <w:r>
        <w:rPr>
          <w:rFonts w:hint="eastAsia" w:ascii="宋体" w:hAnsi="宋体"/>
          <w:sz w:val="24"/>
        </w:rPr>
        <w:t>.1.1 竞争性磋商文件共六章，构成如下：</w:t>
      </w:r>
    </w:p>
    <w:p w14:paraId="521E74A7">
      <w:pPr>
        <w:wordWrap w:val="0"/>
        <w:spacing w:line="360" w:lineRule="auto"/>
        <w:ind w:firstLine="720" w:firstLineChars="300"/>
        <w:rPr>
          <w:rFonts w:hint="eastAsia" w:ascii="宋体" w:hAnsi="宋体"/>
          <w:sz w:val="24"/>
        </w:rPr>
      </w:pPr>
      <w:r>
        <w:rPr>
          <w:rFonts w:hint="eastAsia" w:ascii="宋体" w:hAnsi="宋体"/>
          <w:sz w:val="24"/>
        </w:rPr>
        <w:t xml:space="preserve">第一章 </w:t>
      </w:r>
      <w:r>
        <w:rPr>
          <w:rFonts w:ascii="宋体" w:hAnsi="宋体"/>
          <w:sz w:val="24"/>
        </w:rPr>
        <w:t xml:space="preserve"> </w:t>
      </w:r>
      <w:r>
        <w:rPr>
          <w:rFonts w:hint="eastAsia" w:ascii="宋体" w:hAnsi="宋体"/>
          <w:sz w:val="24"/>
        </w:rPr>
        <w:t>采购邀请（竞争性磋商公告）</w:t>
      </w:r>
    </w:p>
    <w:p w14:paraId="756E0F85">
      <w:pPr>
        <w:wordWrap w:val="0"/>
        <w:spacing w:line="360" w:lineRule="auto"/>
        <w:ind w:firstLine="720" w:firstLineChars="300"/>
        <w:rPr>
          <w:rFonts w:hint="eastAsia" w:ascii="宋体" w:hAnsi="宋体"/>
          <w:sz w:val="24"/>
        </w:rPr>
      </w:pPr>
      <w:r>
        <w:rPr>
          <w:rFonts w:hint="eastAsia" w:ascii="宋体" w:hAnsi="宋体"/>
          <w:sz w:val="24"/>
        </w:rPr>
        <w:t xml:space="preserve">第二章 </w:t>
      </w:r>
      <w:r>
        <w:rPr>
          <w:rFonts w:ascii="宋体" w:hAnsi="宋体"/>
          <w:sz w:val="24"/>
        </w:rPr>
        <w:t xml:space="preserve"> </w:t>
      </w:r>
      <w:r>
        <w:rPr>
          <w:rFonts w:hint="eastAsia" w:ascii="宋体" w:hAnsi="宋体"/>
          <w:sz w:val="24"/>
        </w:rPr>
        <w:t>供应商须知</w:t>
      </w:r>
    </w:p>
    <w:p w14:paraId="1A564DE4">
      <w:pPr>
        <w:wordWrap w:val="0"/>
        <w:spacing w:line="360" w:lineRule="auto"/>
        <w:ind w:firstLine="720" w:firstLineChars="300"/>
        <w:rPr>
          <w:sz w:val="24"/>
        </w:rPr>
      </w:pPr>
      <w:r>
        <w:rPr>
          <w:rFonts w:hint="eastAsia" w:ascii="宋体" w:hAnsi="宋体"/>
          <w:sz w:val="24"/>
        </w:rPr>
        <w:t xml:space="preserve">第三章 </w:t>
      </w:r>
      <w:r>
        <w:rPr>
          <w:rFonts w:ascii="宋体" w:hAnsi="宋体"/>
          <w:sz w:val="24"/>
        </w:rPr>
        <w:t xml:space="preserve"> </w:t>
      </w:r>
      <w:r>
        <w:rPr>
          <w:rFonts w:hint="eastAsia"/>
          <w:sz w:val="24"/>
        </w:rPr>
        <w:t>采购需求</w:t>
      </w:r>
    </w:p>
    <w:p w14:paraId="7BF6DEF1">
      <w:pPr>
        <w:wordWrap w:val="0"/>
        <w:spacing w:line="360" w:lineRule="auto"/>
        <w:ind w:firstLine="720" w:firstLineChars="300"/>
        <w:rPr>
          <w:rFonts w:hint="eastAsia" w:ascii="宋体" w:hAnsi="宋体"/>
          <w:sz w:val="24"/>
        </w:rPr>
      </w:pPr>
      <w:r>
        <w:rPr>
          <w:rFonts w:hint="eastAsia" w:ascii="宋体" w:hAnsi="宋体"/>
          <w:sz w:val="24"/>
        </w:rPr>
        <w:t xml:space="preserve">第四章 </w:t>
      </w:r>
      <w:r>
        <w:rPr>
          <w:rFonts w:ascii="宋体" w:hAnsi="宋体"/>
          <w:sz w:val="24"/>
        </w:rPr>
        <w:t xml:space="preserve"> </w:t>
      </w:r>
      <w:r>
        <w:rPr>
          <w:rFonts w:hint="eastAsia" w:ascii="宋体" w:hAnsi="宋体"/>
          <w:sz w:val="24"/>
        </w:rPr>
        <w:t>采购合同</w:t>
      </w:r>
    </w:p>
    <w:p w14:paraId="48D3CFD1">
      <w:pPr>
        <w:wordWrap w:val="0"/>
        <w:spacing w:line="360" w:lineRule="auto"/>
        <w:ind w:firstLine="720" w:firstLineChars="300"/>
        <w:rPr>
          <w:rFonts w:hint="eastAsia" w:ascii="宋体" w:hAnsi="宋体"/>
          <w:sz w:val="24"/>
        </w:rPr>
      </w:pPr>
      <w:r>
        <w:rPr>
          <w:rFonts w:hint="eastAsia" w:ascii="宋体" w:hAnsi="宋体"/>
          <w:sz w:val="24"/>
        </w:rPr>
        <w:t>第五章</w:t>
      </w:r>
      <w:r>
        <w:rPr>
          <w:rFonts w:ascii="宋体" w:hAnsi="宋体"/>
          <w:sz w:val="24"/>
        </w:rPr>
        <w:t xml:space="preserve"> </w:t>
      </w:r>
      <w:r>
        <w:rPr>
          <w:rFonts w:hint="eastAsia" w:ascii="宋体" w:hAnsi="宋体"/>
          <w:sz w:val="24"/>
        </w:rPr>
        <w:t xml:space="preserve"> 评审办法</w:t>
      </w:r>
    </w:p>
    <w:p w14:paraId="00D85FF8">
      <w:pPr>
        <w:wordWrap w:val="0"/>
        <w:spacing w:line="360" w:lineRule="auto"/>
        <w:ind w:firstLine="720" w:firstLineChars="300"/>
        <w:rPr>
          <w:rFonts w:hint="eastAsia" w:ascii="宋体" w:hAnsi="宋体"/>
          <w:sz w:val="24"/>
        </w:rPr>
      </w:pPr>
      <w:r>
        <w:rPr>
          <w:rFonts w:hint="eastAsia" w:ascii="宋体" w:hAnsi="宋体"/>
          <w:sz w:val="24"/>
        </w:rPr>
        <w:t xml:space="preserve">第六章 </w:t>
      </w:r>
      <w:r>
        <w:rPr>
          <w:rFonts w:ascii="宋体" w:hAnsi="宋体"/>
          <w:sz w:val="24"/>
        </w:rPr>
        <w:t xml:space="preserve"> </w:t>
      </w:r>
      <w:r>
        <w:rPr>
          <w:rFonts w:hint="eastAsia" w:ascii="宋体" w:hAnsi="宋体"/>
          <w:sz w:val="24"/>
        </w:rPr>
        <w:t>响应文件格式</w:t>
      </w:r>
    </w:p>
    <w:p w14:paraId="07E654CF">
      <w:pPr>
        <w:wordWrap w:val="0"/>
        <w:spacing w:line="360" w:lineRule="auto"/>
        <w:ind w:left="722" w:leftChars="1" w:hanging="720" w:hangingChars="300"/>
        <w:rPr>
          <w:rFonts w:hint="eastAsia" w:ascii="宋体" w:hAnsi="宋体"/>
          <w:sz w:val="24"/>
        </w:rPr>
      </w:pPr>
      <w:r>
        <w:rPr>
          <w:rFonts w:ascii="宋体" w:hAnsi="宋体"/>
          <w:sz w:val="24"/>
        </w:rPr>
        <w:t>3</w:t>
      </w:r>
      <w:r>
        <w:rPr>
          <w:rFonts w:hint="eastAsia" w:ascii="宋体" w:hAnsi="宋体"/>
          <w:sz w:val="24"/>
        </w:rPr>
        <w:t>.1</w:t>
      </w:r>
      <w:r>
        <w:rPr>
          <w:rFonts w:ascii="宋体" w:hAnsi="宋体"/>
          <w:sz w:val="24"/>
        </w:rPr>
        <w:t>.</w:t>
      </w:r>
      <w:r>
        <w:rPr>
          <w:rFonts w:hint="eastAsia" w:ascii="宋体" w:hAnsi="宋体"/>
          <w:sz w:val="24"/>
        </w:rPr>
        <w:t>2 竞争性磋商文件</w:t>
      </w:r>
      <w:r>
        <w:rPr>
          <w:rFonts w:ascii="宋体" w:hAnsi="宋体"/>
          <w:sz w:val="24"/>
        </w:rPr>
        <w:t>中有不一致</w:t>
      </w:r>
      <w:r>
        <w:rPr>
          <w:rFonts w:hint="eastAsia" w:ascii="宋体" w:hAnsi="宋体"/>
          <w:sz w:val="24"/>
        </w:rPr>
        <w:t>（或矛盾）</w:t>
      </w:r>
      <w:r>
        <w:rPr>
          <w:rFonts w:ascii="宋体" w:hAnsi="宋体"/>
          <w:sz w:val="24"/>
        </w:rPr>
        <w:t>的，有</w:t>
      </w:r>
      <w:r>
        <w:rPr>
          <w:rFonts w:hint="eastAsia" w:ascii="宋体" w:hAnsi="宋体"/>
          <w:sz w:val="24"/>
        </w:rPr>
        <w:t>变更</w:t>
      </w:r>
      <w:r>
        <w:rPr>
          <w:rFonts w:ascii="宋体" w:hAnsi="宋体"/>
          <w:sz w:val="24"/>
        </w:rPr>
        <w:t>的部分</w:t>
      </w:r>
      <w:r>
        <w:rPr>
          <w:rFonts w:hint="eastAsia" w:ascii="宋体" w:hAnsi="宋体"/>
          <w:sz w:val="24"/>
        </w:rPr>
        <w:t>以</w:t>
      </w:r>
      <w:r>
        <w:rPr>
          <w:rFonts w:ascii="宋体" w:hAnsi="宋体"/>
          <w:sz w:val="24"/>
        </w:rPr>
        <w:t>最终的</w:t>
      </w:r>
      <w:r>
        <w:rPr>
          <w:rFonts w:hint="eastAsia" w:ascii="宋体" w:hAnsi="宋体"/>
          <w:sz w:val="24"/>
        </w:rPr>
        <w:t>变更</w:t>
      </w:r>
      <w:r>
        <w:rPr>
          <w:rFonts w:ascii="宋体" w:hAnsi="宋体"/>
          <w:sz w:val="24"/>
        </w:rPr>
        <w:t>内容为准</w:t>
      </w:r>
      <w:r>
        <w:rPr>
          <w:rFonts w:hint="eastAsia" w:ascii="宋体" w:hAnsi="宋体"/>
          <w:sz w:val="24"/>
        </w:rPr>
        <w:t>；未变更的，按照竞争性磋商公告、</w:t>
      </w:r>
      <w:r>
        <w:rPr>
          <w:rFonts w:hint="eastAsia"/>
          <w:sz w:val="24"/>
        </w:rPr>
        <w:t>评审办法</w:t>
      </w:r>
      <w:r>
        <w:rPr>
          <w:rFonts w:hint="eastAsia" w:ascii="宋体" w:hAnsi="宋体"/>
          <w:sz w:val="24"/>
        </w:rPr>
        <w:t>、采购需求、供应商须知、采购合同、响应文件格式的顺序进行解释，排名在前的具有优先解释权，同一章节的内容</w:t>
      </w:r>
      <w:r>
        <w:rPr>
          <w:rFonts w:ascii="宋体" w:hAnsi="宋体"/>
          <w:sz w:val="24"/>
        </w:rPr>
        <w:t>有不一致</w:t>
      </w:r>
      <w:r>
        <w:rPr>
          <w:rFonts w:hint="eastAsia" w:ascii="宋体" w:hAnsi="宋体"/>
          <w:sz w:val="24"/>
        </w:rPr>
        <w:t>（或矛盾）</w:t>
      </w:r>
      <w:r>
        <w:rPr>
          <w:rFonts w:ascii="宋体" w:hAnsi="宋体"/>
          <w:sz w:val="24"/>
        </w:rPr>
        <w:t>的以</w:t>
      </w:r>
      <w:r>
        <w:rPr>
          <w:rFonts w:hint="eastAsia" w:ascii="宋体" w:hAnsi="宋体"/>
          <w:sz w:val="24"/>
          <w:u w:val="single"/>
        </w:rPr>
        <w:t>排序在前的</w:t>
      </w:r>
      <w:r>
        <w:rPr>
          <w:rFonts w:ascii="宋体" w:hAnsi="宋体"/>
          <w:sz w:val="24"/>
        </w:rPr>
        <w:t>为准</w:t>
      </w:r>
      <w:r>
        <w:rPr>
          <w:rFonts w:hint="eastAsia" w:ascii="宋体" w:hAnsi="宋体"/>
          <w:sz w:val="24"/>
        </w:rPr>
        <w:t>，如果前附表有特殊规定的</w:t>
      </w:r>
      <w:r>
        <w:rPr>
          <w:rFonts w:hint="eastAsia" w:ascii="宋体" w:hAnsi="宋体"/>
          <w:b/>
          <w:bCs/>
          <w:sz w:val="24"/>
        </w:rPr>
        <w:t>，以供应商须知前附表为准。</w:t>
      </w:r>
    </w:p>
    <w:p w14:paraId="2A504705">
      <w:pPr>
        <w:wordWrap w:val="0"/>
        <w:spacing w:line="360" w:lineRule="auto"/>
        <w:ind w:left="720" w:hanging="720" w:hangingChars="300"/>
        <w:rPr>
          <w:rFonts w:hint="eastAsia" w:ascii="宋体" w:hAnsi="宋体"/>
          <w:sz w:val="24"/>
        </w:rPr>
      </w:pPr>
      <w:r>
        <w:rPr>
          <w:rFonts w:ascii="宋体" w:hAnsi="宋体"/>
          <w:sz w:val="24"/>
        </w:rPr>
        <w:t>3</w:t>
      </w:r>
      <w:r>
        <w:rPr>
          <w:rFonts w:hint="eastAsia" w:ascii="宋体" w:hAnsi="宋体"/>
          <w:sz w:val="24"/>
        </w:rPr>
        <w:t xml:space="preserve">.1.3 </w:t>
      </w:r>
      <w:r>
        <w:rPr>
          <w:rFonts w:hint="eastAsia" w:ascii="宋体" w:hAnsi="宋体"/>
          <w:b/>
          <w:bCs/>
          <w:sz w:val="24"/>
        </w:rPr>
        <w:t>供应商应认真阅读竞争性磋商文件的全部内容。供应商</w:t>
      </w:r>
      <w:r>
        <w:rPr>
          <w:b/>
          <w:bCs/>
          <w:sz w:val="24"/>
        </w:rPr>
        <w:t>应按照</w:t>
      </w:r>
      <w:r>
        <w:rPr>
          <w:rFonts w:hint="eastAsia"/>
          <w:b/>
          <w:bCs/>
          <w:sz w:val="24"/>
        </w:rPr>
        <w:t>竞争性磋商文件</w:t>
      </w:r>
      <w:r>
        <w:rPr>
          <w:b/>
          <w:bCs/>
          <w:sz w:val="24"/>
        </w:rPr>
        <w:t>要求提交</w:t>
      </w:r>
      <w:r>
        <w:rPr>
          <w:rFonts w:hint="eastAsia"/>
          <w:b/>
          <w:bCs/>
          <w:sz w:val="24"/>
        </w:rPr>
        <w:t>响应文件</w:t>
      </w:r>
      <w:r>
        <w:rPr>
          <w:b/>
          <w:bCs/>
          <w:sz w:val="24"/>
        </w:rPr>
        <w:t>并保证所提供的全部资料的真实性，并对</w:t>
      </w:r>
      <w:r>
        <w:rPr>
          <w:rFonts w:hint="eastAsia"/>
          <w:b/>
          <w:bCs/>
          <w:sz w:val="24"/>
        </w:rPr>
        <w:t>竞争性磋商文件</w:t>
      </w:r>
      <w:r>
        <w:rPr>
          <w:b/>
          <w:bCs/>
          <w:sz w:val="24"/>
        </w:rPr>
        <w:t>做出实质性响应，否则</w:t>
      </w:r>
      <w:r>
        <w:rPr>
          <w:rFonts w:hint="eastAsia"/>
          <w:b/>
          <w:bCs/>
          <w:sz w:val="24"/>
        </w:rPr>
        <w:t>提交响应文件</w:t>
      </w:r>
      <w:r>
        <w:rPr>
          <w:b/>
          <w:bCs/>
          <w:sz w:val="24"/>
        </w:rPr>
        <w:t>无效。</w:t>
      </w:r>
    </w:p>
    <w:p w14:paraId="64C1442C">
      <w:pPr>
        <w:pStyle w:val="8"/>
        <w:wordWrap w:val="0"/>
        <w:spacing w:before="0" w:after="0" w:line="360" w:lineRule="auto"/>
        <w:rPr>
          <w:rFonts w:hint="eastAsia" w:ascii="黑体" w:hAnsi="黑体" w:eastAsia="黑体"/>
          <w:b w:val="0"/>
          <w:bCs w:val="0"/>
          <w:sz w:val="24"/>
          <w:szCs w:val="24"/>
        </w:rPr>
      </w:pPr>
      <w:bookmarkStart w:id="182" w:name="_Toc57211947"/>
      <w:bookmarkStart w:id="183" w:name="_Toc6281"/>
      <w:r>
        <w:rPr>
          <w:rFonts w:ascii="黑体" w:hAnsi="黑体" w:eastAsia="黑体"/>
          <w:b w:val="0"/>
          <w:bCs w:val="0"/>
          <w:sz w:val="24"/>
          <w:szCs w:val="24"/>
        </w:rPr>
        <w:t>3</w:t>
      </w:r>
      <w:r>
        <w:rPr>
          <w:rFonts w:hint="eastAsia" w:ascii="黑体" w:hAnsi="黑体" w:eastAsia="黑体"/>
          <w:b w:val="0"/>
          <w:bCs w:val="0"/>
          <w:sz w:val="24"/>
          <w:szCs w:val="24"/>
        </w:rPr>
        <w:t>.2 竞争性磋商文件的澄清与</w:t>
      </w:r>
      <w:r>
        <w:rPr>
          <w:rFonts w:ascii="黑体" w:hAnsi="黑体" w:eastAsia="黑体"/>
          <w:b w:val="0"/>
          <w:bCs w:val="0"/>
          <w:sz w:val="24"/>
          <w:szCs w:val="24"/>
        </w:rPr>
        <w:t>修改</w:t>
      </w:r>
      <w:bookmarkEnd w:id="182"/>
      <w:bookmarkEnd w:id="183"/>
    </w:p>
    <w:p w14:paraId="65613AC4">
      <w:pPr>
        <w:wordWrap w:val="0"/>
        <w:spacing w:line="360" w:lineRule="auto"/>
        <w:ind w:left="720" w:hanging="720" w:hangingChars="300"/>
        <w:rPr>
          <w:rFonts w:hint="eastAsia" w:ascii="宋体" w:hAnsi="宋体" w:cs="仿宋"/>
          <w:sz w:val="24"/>
        </w:rPr>
      </w:pPr>
      <w:r>
        <w:rPr>
          <w:rFonts w:ascii="宋体" w:hAnsi="宋体" w:cs="仿宋"/>
          <w:sz w:val="24"/>
        </w:rPr>
        <w:t>3</w:t>
      </w:r>
      <w:r>
        <w:rPr>
          <w:rFonts w:hint="eastAsia" w:ascii="宋体" w:hAnsi="宋体" w:cs="仿宋"/>
          <w:sz w:val="24"/>
        </w:rPr>
        <w:t>.2.1 供应商应仔细阅读和检查竞争性磋商文件的全部内容，</w:t>
      </w:r>
      <w:r>
        <w:rPr>
          <w:rFonts w:hint="eastAsia" w:ascii="宋体" w:hAnsi="宋体" w:cs="宋体"/>
          <w:sz w:val="24"/>
        </w:rPr>
        <w:t>如发现缺页或附件不全，应及时向采购代理机构提出，以便补齐。</w:t>
      </w:r>
      <w:r>
        <w:rPr>
          <w:rFonts w:hint="eastAsia" w:ascii="宋体" w:hAnsi="宋体" w:cs="仿宋"/>
          <w:sz w:val="24"/>
        </w:rPr>
        <w:t>如有质疑，应在</w:t>
      </w:r>
      <w:r>
        <w:rPr>
          <w:rFonts w:hint="eastAsia" w:ascii="宋体" w:hAnsi="宋体" w:cs="仿宋"/>
          <w:b/>
          <w:sz w:val="24"/>
          <w:u w:val="single"/>
        </w:rPr>
        <w:t>供应商须知前附表</w:t>
      </w:r>
      <w:r>
        <w:rPr>
          <w:rFonts w:hint="eastAsia" w:ascii="宋体" w:hAnsi="宋体" w:cs="仿宋"/>
          <w:sz w:val="24"/>
        </w:rPr>
        <w:t>规定的时间前进行提出，要求采购代理机构对竞争性磋商文件予以澄清。</w:t>
      </w:r>
    </w:p>
    <w:p w14:paraId="5E184D37">
      <w:pPr>
        <w:wordWrap w:val="0"/>
        <w:spacing w:line="360" w:lineRule="auto"/>
        <w:ind w:left="720" w:hanging="720" w:hangingChars="300"/>
        <w:rPr>
          <w:rFonts w:hint="eastAsia" w:ascii="宋体" w:hAnsi="宋体"/>
          <w:sz w:val="24"/>
        </w:rPr>
      </w:pPr>
      <w:r>
        <w:rPr>
          <w:rFonts w:ascii="宋体" w:hAnsi="宋体" w:cs="宋体"/>
          <w:sz w:val="24"/>
        </w:rPr>
        <w:t>3</w:t>
      </w:r>
      <w:r>
        <w:rPr>
          <w:rFonts w:hint="eastAsia" w:ascii="宋体" w:hAnsi="宋体" w:cs="宋体"/>
          <w:sz w:val="24"/>
        </w:rPr>
        <w:t>.2.2</w:t>
      </w:r>
      <w:r>
        <w:rPr>
          <w:rFonts w:ascii="宋体" w:hAnsi="宋体" w:cs="宋体"/>
          <w:sz w:val="24"/>
        </w:rPr>
        <w:t xml:space="preserve"> </w:t>
      </w:r>
      <w:r>
        <w:rPr>
          <w:rFonts w:hint="eastAsia" w:ascii="宋体" w:hAnsi="宋体" w:cs="宋体"/>
          <w:sz w:val="24"/>
        </w:rPr>
        <w:t>采购代理机构可主动地或在解答供应商提出的问题时对竞争性磋商文件进行变更或修改，变更或修改的内容作为竞争性磋商文件的组成部分。变更</w:t>
      </w:r>
      <w:r>
        <w:rPr>
          <w:rFonts w:hint="eastAsia" w:ascii="宋体" w:hAnsi="宋体"/>
          <w:sz w:val="24"/>
        </w:rPr>
        <w:t>或修改的内容可能影响响应文件编制的，采购代理机构将在提交响应文件截止时间</w:t>
      </w:r>
      <w:r>
        <w:rPr>
          <w:rFonts w:ascii="宋体" w:hAnsi="宋体"/>
          <w:sz w:val="24"/>
        </w:rPr>
        <w:t>5</w:t>
      </w:r>
      <w:r>
        <w:rPr>
          <w:rFonts w:hint="eastAsia" w:ascii="宋体" w:hAnsi="宋体"/>
          <w:sz w:val="24"/>
        </w:rPr>
        <w:t>日前发出，不足</w:t>
      </w:r>
      <w:r>
        <w:rPr>
          <w:rFonts w:ascii="宋体" w:hAnsi="宋体"/>
          <w:sz w:val="24"/>
        </w:rPr>
        <w:t>5</w:t>
      </w:r>
      <w:r>
        <w:rPr>
          <w:rFonts w:hint="eastAsia" w:ascii="宋体" w:hAnsi="宋体"/>
          <w:sz w:val="24"/>
        </w:rPr>
        <w:t>日的，采购代理机构将顺延提交响应文件的截止时间。</w:t>
      </w:r>
    </w:p>
    <w:p w14:paraId="655712EA">
      <w:pPr>
        <w:wordWrap w:val="0"/>
        <w:spacing w:line="360" w:lineRule="auto"/>
        <w:ind w:left="720" w:hanging="720" w:hangingChars="300"/>
        <w:rPr>
          <w:rFonts w:hint="eastAsia" w:ascii="宋体" w:hAnsi="宋体"/>
          <w:sz w:val="24"/>
        </w:rPr>
      </w:pPr>
      <w:r>
        <w:rPr>
          <w:rFonts w:ascii="宋体" w:hAnsi="宋体" w:cs="仿宋"/>
          <w:sz w:val="24"/>
        </w:rPr>
        <w:t>3</w:t>
      </w:r>
      <w:r>
        <w:rPr>
          <w:rFonts w:hint="eastAsia" w:ascii="宋体" w:hAnsi="宋体" w:cs="仿宋"/>
          <w:sz w:val="24"/>
        </w:rPr>
        <w:t>.2.3</w:t>
      </w:r>
      <w:r>
        <w:rPr>
          <w:rFonts w:ascii="宋体" w:hAnsi="宋体" w:cs="仿宋"/>
          <w:sz w:val="24"/>
        </w:rPr>
        <w:t xml:space="preserve"> </w:t>
      </w:r>
      <w:r>
        <w:rPr>
          <w:rFonts w:hint="eastAsia" w:ascii="宋体" w:hAnsi="宋体" w:cs="仿宋"/>
          <w:sz w:val="24"/>
        </w:rPr>
        <w:t>竞争性磋商文件的</w:t>
      </w:r>
      <w:r>
        <w:rPr>
          <w:rFonts w:hint="eastAsia" w:ascii="宋体" w:hAnsi="宋体" w:cs="宋体"/>
          <w:sz w:val="24"/>
        </w:rPr>
        <w:t>变更或修改</w:t>
      </w:r>
      <w:r>
        <w:rPr>
          <w:rFonts w:hint="eastAsia" w:ascii="宋体" w:hAnsi="宋体" w:cs="仿宋"/>
          <w:sz w:val="24"/>
        </w:rPr>
        <w:t>将在</w:t>
      </w:r>
      <w:r>
        <w:rPr>
          <w:rFonts w:hint="eastAsia" w:ascii="宋体" w:hAnsi="宋体" w:cs="仿宋"/>
          <w:b/>
          <w:sz w:val="24"/>
          <w:u w:val="single"/>
        </w:rPr>
        <w:t>供应商须知前附表</w:t>
      </w:r>
      <w:r>
        <w:rPr>
          <w:rFonts w:hint="eastAsia" w:ascii="宋体" w:hAnsi="宋体" w:cs="仿宋"/>
          <w:sz w:val="24"/>
        </w:rPr>
        <w:t>规定的时间给供应商，但不指明变更问题的来源。</w:t>
      </w:r>
    </w:p>
    <w:p w14:paraId="587D9657">
      <w:pPr>
        <w:wordWrap w:val="0"/>
        <w:spacing w:line="360" w:lineRule="auto"/>
        <w:ind w:left="720" w:hanging="720" w:hangingChars="300"/>
        <w:rPr>
          <w:rFonts w:hint="eastAsia" w:ascii="宋体" w:hAnsi="宋体" w:cs="仿宋"/>
          <w:sz w:val="24"/>
        </w:rPr>
      </w:pPr>
      <w:r>
        <w:rPr>
          <w:rFonts w:ascii="宋体" w:hAnsi="宋体" w:cs="仿宋"/>
          <w:sz w:val="24"/>
        </w:rPr>
        <w:t>3</w:t>
      </w:r>
      <w:r>
        <w:rPr>
          <w:rFonts w:hint="eastAsia" w:ascii="宋体" w:hAnsi="宋体" w:cs="仿宋"/>
          <w:sz w:val="24"/>
        </w:rPr>
        <w:t>.2.4 采购代理机构对已发出的竞争性磋商文件进行的变更或修改，变更或修改的内容将作为竞争性磋商文件的组成部分，对所有竞争性磋商文件的收受人具有约束力。</w:t>
      </w:r>
      <w:bookmarkStart w:id="184" w:name="_Hlk86850663"/>
    </w:p>
    <w:p w14:paraId="64FD60B1">
      <w:pPr>
        <w:wordWrap w:val="0"/>
        <w:spacing w:line="360" w:lineRule="auto"/>
        <w:ind w:left="720" w:hanging="720" w:hangingChars="300"/>
        <w:rPr>
          <w:rFonts w:hint="eastAsia" w:ascii="宋体" w:hAnsi="宋体" w:cs="仿宋"/>
          <w:b/>
          <w:bCs/>
          <w:strike/>
          <w:sz w:val="24"/>
        </w:rPr>
      </w:pPr>
      <w:r>
        <w:rPr>
          <w:rFonts w:ascii="宋体" w:hAnsi="宋体" w:cs="仿宋"/>
          <w:sz w:val="24"/>
        </w:rPr>
        <w:t>3</w:t>
      </w:r>
      <w:r>
        <w:rPr>
          <w:rFonts w:hint="eastAsia" w:ascii="宋体" w:hAnsi="宋体" w:cs="仿宋"/>
          <w:sz w:val="24"/>
        </w:rPr>
        <w:t>.2</w:t>
      </w:r>
      <w:r>
        <w:rPr>
          <w:rFonts w:ascii="宋体" w:hAnsi="宋体" w:cs="仿宋"/>
          <w:sz w:val="24"/>
        </w:rPr>
        <w:t>.</w:t>
      </w:r>
      <w:r>
        <w:rPr>
          <w:rFonts w:hint="eastAsia" w:ascii="宋体" w:hAnsi="宋体" w:cs="仿宋"/>
          <w:sz w:val="24"/>
        </w:rPr>
        <w:t>5供应商信息在提交响应文件截止时间之前具有保密性。</w:t>
      </w:r>
    </w:p>
    <w:bookmarkEnd w:id="184"/>
    <w:p w14:paraId="67736561">
      <w:pPr>
        <w:pStyle w:val="8"/>
        <w:tabs>
          <w:tab w:val="left" w:pos="900"/>
        </w:tabs>
        <w:wordWrap w:val="0"/>
        <w:spacing w:before="0" w:after="0" w:line="360" w:lineRule="auto"/>
        <w:rPr>
          <w:rFonts w:hint="eastAsia" w:ascii="黑体" w:hAnsi="黑体" w:eastAsia="黑体" w:cs="宋体"/>
          <w:b w:val="0"/>
          <w:bCs w:val="0"/>
          <w:sz w:val="24"/>
        </w:rPr>
      </w:pPr>
      <w:bookmarkStart w:id="185" w:name="_Toc57211948"/>
      <w:bookmarkStart w:id="186" w:name="_Toc15204250"/>
      <w:bookmarkStart w:id="187" w:name="_Toc14181"/>
      <w:bookmarkStart w:id="188" w:name="_Toc36564736"/>
      <w:bookmarkStart w:id="189" w:name="_Toc40972811"/>
      <w:r>
        <w:rPr>
          <w:rFonts w:ascii="黑体" w:hAnsi="黑体" w:eastAsia="黑体"/>
          <w:b w:val="0"/>
          <w:bCs w:val="0"/>
          <w:sz w:val="24"/>
          <w:szCs w:val="24"/>
        </w:rPr>
        <w:t>3</w:t>
      </w:r>
      <w:r>
        <w:rPr>
          <w:rFonts w:hint="eastAsia" w:ascii="黑体" w:hAnsi="黑体" w:eastAsia="黑体"/>
          <w:b w:val="0"/>
          <w:bCs w:val="0"/>
          <w:sz w:val="24"/>
          <w:szCs w:val="24"/>
        </w:rPr>
        <w:t>.3 竞争性磋商文件的解释</w:t>
      </w:r>
      <w:bookmarkEnd w:id="185"/>
      <w:bookmarkEnd w:id="186"/>
      <w:bookmarkEnd w:id="187"/>
      <w:bookmarkEnd w:id="188"/>
      <w:bookmarkEnd w:id="189"/>
    </w:p>
    <w:p w14:paraId="51051679">
      <w:pPr>
        <w:wordWrap w:val="0"/>
        <w:spacing w:line="360" w:lineRule="auto"/>
        <w:ind w:left="720" w:hanging="720" w:hangingChars="300"/>
        <w:rPr>
          <w:rFonts w:hint="eastAsia" w:ascii="宋体" w:hAnsi="宋体"/>
          <w:sz w:val="24"/>
        </w:rPr>
      </w:pPr>
      <w:r>
        <w:rPr>
          <w:rFonts w:ascii="宋体" w:hAnsi="宋体"/>
          <w:sz w:val="24"/>
        </w:rPr>
        <w:t xml:space="preserve">3.3.1 </w:t>
      </w:r>
      <w:r>
        <w:rPr>
          <w:rFonts w:hint="eastAsia" w:ascii="宋体" w:hAnsi="宋体"/>
          <w:sz w:val="24"/>
        </w:rPr>
        <w:t>竞争性磋商文件的最终解释权归采购人，所有解释均依据本竞争性磋商文件及有关的法律法规；在评审时，若出现竞争性磋商文件无明确说明和处理的情况时，由磋商小组讨论确定处理方案；磋商小组成员之间对处理方案有争议时，采取少数服从多数的方式确定。</w:t>
      </w:r>
    </w:p>
    <w:p w14:paraId="4B3C10CC">
      <w:pPr>
        <w:pStyle w:val="8"/>
        <w:tabs>
          <w:tab w:val="left" w:pos="900"/>
        </w:tabs>
        <w:wordWrap w:val="0"/>
        <w:spacing w:before="0" w:after="0" w:line="360" w:lineRule="auto"/>
        <w:rPr>
          <w:rFonts w:hint="eastAsia" w:ascii="黑体" w:hAnsi="黑体" w:eastAsia="黑体"/>
          <w:b w:val="0"/>
          <w:bCs w:val="0"/>
          <w:sz w:val="24"/>
          <w:szCs w:val="24"/>
        </w:rPr>
      </w:pPr>
      <w:bookmarkStart w:id="190" w:name="_Toc24082"/>
      <w:bookmarkStart w:id="191" w:name="_Toc57211949"/>
      <w:r>
        <w:rPr>
          <w:rFonts w:ascii="黑体" w:hAnsi="黑体" w:eastAsia="黑体"/>
          <w:b w:val="0"/>
          <w:bCs w:val="0"/>
          <w:sz w:val="24"/>
          <w:szCs w:val="24"/>
        </w:rPr>
        <w:t>3</w:t>
      </w:r>
      <w:r>
        <w:rPr>
          <w:rFonts w:hint="eastAsia" w:ascii="黑体" w:hAnsi="黑体" w:eastAsia="黑体"/>
          <w:b w:val="0"/>
          <w:bCs w:val="0"/>
          <w:sz w:val="24"/>
          <w:szCs w:val="24"/>
        </w:rPr>
        <w:t>.4 响应文件提交截止</w:t>
      </w:r>
      <w:r>
        <w:rPr>
          <w:rFonts w:ascii="黑体" w:hAnsi="黑体" w:eastAsia="黑体"/>
          <w:b w:val="0"/>
          <w:bCs w:val="0"/>
          <w:sz w:val="24"/>
          <w:szCs w:val="24"/>
        </w:rPr>
        <w:t>时间的顺延</w:t>
      </w:r>
      <w:bookmarkEnd w:id="190"/>
      <w:bookmarkEnd w:id="191"/>
    </w:p>
    <w:p w14:paraId="5A5D5114">
      <w:pPr>
        <w:wordWrap w:val="0"/>
        <w:spacing w:line="360" w:lineRule="auto"/>
        <w:ind w:left="720" w:hanging="720" w:hangingChars="300"/>
        <w:rPr>
          <w:rFonts w:hint="eastAsia" w:ascii="宋体" w:hAnsi="宋体"/>
          <w:sz w:val="24"/>
        </w:rPr>
      </w:pPr>
      <w:r>
        <w:rPr>
          <w:rFonts w:ascii="宋体" w:hAnsi="宋体"/>
          <w:sz w:val="24"/>
        </w:rPr>
        <w:t xml:space="preserve">3.4.1 </w:t>
      </w:r>
      <w:r>
        <w:rPr>
          <w:rFonts w:hint="eastAsia" w:ascii="宋体" w:hAnsi="宋体"/>
          <w:sz w:val="24"/>
        </w:rPr>
        <w:t>为使供应商有足够的时间对竞争性磋商文件的</w:t>
      </w:r>
      <w:r>
        <w:rPr>
          <w:rFonts w:hint="eastAsia" w:ascii="宋体" w:hAnsi="宋体" w:cs="仿宋"/>
          <w:sz w:val="24"/>
        </w:rPr>
        <w:t>变更（答疑、澄清、更正）</w:t>
      </w:r>
      <w:r>
        <w:rPr>
          <w:rFonts w:hint="eastAsia" w:ascii="宋体" w:hAnsi="宋体"/>
          <w:sz w:val="24"/>
        </w:rPr>
        <w:t>或者修改部分进行研究而准备编制响应文件或因其他原因，采购人将依法决定是否顺延提交响应文件截止时间。</w:t>
      </w:r>
    </w:p>
    <w:p w14:paraId="48FC467B">
      <w:pPr>
        <w:pStyle w:val="5"/>
        <w:wordWrap w:val="0"/>
      </w:pPr>
    </w:p>
    <w:p w14:paraId="1128AAD6">
      <w:pPr>
        <w:pStyle w:val="7"/>
        <w:numPr>
          <w:ilvl w:val="0"/>
          <w:numId w:val="1"/>
        </w:numPr>
        <w:wordWrap w:val="0"/>
        <w:spacing w:before="0" w:after="0" w:line="360" w:lineRule="auto"/>
        <w:jc w:val="center"/>
        <w:rPr>
          <w:rFonts w:hint="eastAsia" w:ascii="黑体" w:hAnsi="黑体"/>
          <w:b w:val="0"/>
          <w:bCs w:val="0"/>
          <w:sz w:val="28"/>
        </w:rPr>
      </w:pPr>
      <w:bookmarkStart w:id="192" w:name="_Toc8511"/>
      <w:bookmarkStart w:id="193" w:name="_Toc10618"/>
      <w:bookmarkStart w:id="194" w:name="_Toc12496"/>
      <w:bookmarkStart w:id="195" w:name="_Toc16136"/>
      <w:r>
        <w:rPr>
          <w:rFonts w:hint="eastAsia" w:ascii="黑体" w:hAnsi="黑体"/>
          <w:b w:val="0"/>
          <w:bCs w:val="0"/>
          <w:sz w:val="28"/>
        </w:rPr>
        <w:t>响  应</w:t>
      </w:r>
      <w:bookmarkEnd w:id="192"/>
      <w:bookmarkEnd w:id="193"/>
      <w:bookmarkEnd w:id="194"/>
      <w:bookmarkEnd w:id="195"/>
    </w:p>
    <w:p w14:paraId="602E9886">
      <w:pPr>
        <w:pStyle w:val="5"/>
        <w:wordWrap w:val="0"/>
      </w:pPr>
    </w:p>
    <w:p w14:paraId="769E4323">
      <w:pPr>
        <w:pStyle w:val="7"/>
        <w:tabs>
          <w:tab w:val="left" w:pos="900"/>
        </w:tabs>
        <w:wordWrap w:val="0"/>
        <w:spacing w:before="0" w:after="0" w:line="360" w:lineRule="auto"/>
        <w:rPr>
          <w:rFonts w:hint="eastAsia" w:ascii="黑体" w:hAnsi="黑体"/>
          <w:b w:val="0"/>
          <w:bCs w:val="0"/>
          <w:sz w:val="28"/>
        </w:rPr>
      </w:pPr>
      <w:bookmarkStart w:id="196" w:name="_Toc2777"/>
      <w:bookmarkStart w:id="197" w:name="_Toc28008"/>
      <w:bookmarkStart w:id="198" w:name="_Toc57211950"/>
      <w:bookmarkStart w:id="199" w:name="_Toc26222"/>
      <w:bookmarkStart w:id="200" w:name="_Toc1389"/>
      <w:bookmarkStart w:id="201" w:name="_Toc9109"/>
      <w:r>
        <w:rPr>
          <w:rFonts w:hint="eastAsia" w:ascii="黑体" w:hAnsi="黑体"/>
          <w:b w:val="0"/>
          <w:bCs w:val="0"/>
          <w:sz w:val="28"/>
        </w:rPr>
        <w:t>4.响应文件的编制</w:t>
      </w:r>
      <w:bookmarkEnd w:id="196"/>
      <w:bookmarkEnd w:id="197"/>
      <w:bookmarkEnd w:id="198"/>
      <w:bookmarkEnd w:id="199"/>
      <w:bookmarkEnd w:id="200"/>
      <w:bookmarkEnd w:id="201"/>
    </w:p>
    <w:p w14:paraId="30829C96">
      <w:pPr>
        <w:pStyle w:val="8"/>
        <w:tabs>
          <w:tab w:val="left" w:pos="900"/>
        </w:tabs>
        <w:wordWrap w:val="0"/>
        <w:spacing w:before="0" w:after="0" w:line="360" w:lineRule="auto"/>
        <w:rPr>
          <w:rFonts w:hint="eastAsia" w:ascii="黑体" w:hAnsi="黑体" w:eastAsia="黑体"/>
          <w:b w:val="0"/>
          <w:bCs w:val="0"/>
          <w:sz w:val="24"/>
          <w:szCs w:val="24"/>
        </w:rPr>
      </w:pPr>
      <w:bookmarkStart w:id="202" w:name="_Toc57211951"/>
      <w:bookmarkStart w:id="203" w:name="_Toc16862"/>
      <w:r>
        <w:rPr>
          <w:rFonts w:ascii="黑体" w:hAnsi="黑体" w:eastAsia="黑体"/>
          <w:b w:val="0"/>
          <w:bCs w:val="0"/>
          <w:sz w:val="24"/>
          <w:szCs w:val="24"/>
        </w:rPr>
        <w:t>4</w:t>
      </w:r>
      <w:r>
        <w:rPr>
          <w:rFonts w:hint="eastAsia" w:ascii="黑体" w:hAnsi="黑体" w:eastAsia="黑体"/>
          <w:b w:val="0"/>
          <w:bCs w:val="0"/>
          <w:sz w:val="24"/>
          <w:szCs w:val="24"/>
        </w:rPr>
        <w:t>.1 提交响应文件范围、响应文件中的标准和计量单位的使用</w:t>
      </w:r>
      <w:bookmarkEnd w:id="202"/>
      <w:r>
        <w:rPr>
          <w:rFonts w:hint="eastAsia" w:ascii="黑体" w:hAnsi="黑体" w:eastAsia="黑体"/>
          <w:b w:val="0"/>
          <w:bCs w:val="0"/>
          <w:sz w:val="24"/>
          <w:szCs w:val="24"/>
        </w:rPr>
        <w:t>及投标语言</w:t>
      </w:r>
      <w:bookmarkEnd w:id="203"/>
    </w:p>
    <w:p w14:paraId="1DBDFE89">
      <w:pPr>
        <w:wordWrap w:val="0"/>
        <w:spacing w:line="360" w:lineRule="auto"/>
        <w:ind w:left="720" w:hanging="720" w:hangingChars="300"/>
        <w:rPr>
          <w:rFonts w:hint="eastAsia" w:ascii="宋体" w:hAnsi="宋体"/>
          <w:sz w:val="24"/>
        </w:rPr>
      </w:pPr>
      <w:bookmarkStart w:id="204" w:name="_Hlk86850922"/>
      <w:r>
        <w:rPr>
          <w:rFonts w:ascii="宋体" w:hAnsi="宋体"/>
          <w:sz w:val="24"/>
        </w:rPr>
        <w:t xml:space="preserve">4.1.1 </w:t>
      </w:r>
      <w:r>
        <w:rPr>
          <w:rFonts w:hint="eastAsia" w:ascii="宋体" w:hAnsi="宋体"/>
          <w:b/>
          <w:bCs/>
          <w:sz w:val="24"/>
        </w:rPr>
        <w:t>当采购项目未划分“包”或“标段”的，供应商应当按竞争性磋商文件中规定的内容编制响应文件；供应商应当</w:t>
      </w:r>
      <w:r>
        <w:rPr>
          <w:rFonts w:ascii="宋体" w:hAnsi="宋体"/>
          <w:b/>
          <w:bCs/>
          <w:sz w:val="24"/>
        </w:rPr>
        <w:t>对</w:t>
      </w:r>
      <w:r>
        <w:rPr>
          <w:rFonts w:hint="eastAsia" w:ascii="宋体" w:hAnsi="宋体"/>
          <w:b/>
          <w:bCs/>
          <w:sz w:val="24"/>
        </w:rPr>
        <w:t>竞争性磋商文件中所列的所有采购内容进行提交响应文件及报价，</w:t>
      </w:r>
      <w:r>
        <w:rPr>
          <w:rFonts w:ascii="宋体" w:hAnsi="宋体"/>
          <w:b/>
          <w:bCs/>
          <w:sz w:val="24"/>
        </w:rPr>
        <w:t>如</w:t>
      </w:r>
      <w:r>
        <w:rPr>
          <w:rFonts w:hint="eastAsia" w:ascii="宋体" w:hAnsi="宋体"/>
          <w:b/>
          <w:bCs/>
          <w:sz w:val="24"/>
        </w:rPr>
        <w:t>仅对竞争性磋商文件中的部分内容进行提交响应文件（或报价）</w:t>
      </w:r>
      <w:r>
        <w:rPr>
          <w:rFonts w:ascii="宋体" w:hAnsi="宋体"/>
          <w:b/>
          <w:bCs/>
          <w:sz w:val="24"/>
        </w:rPr>
        <w:t>，</w:t>
      </w:r>
      <w:r>
        <w:rPr>
          <w:rFonts w:hint="eastAsia" w:ascii="宋体" w:hAnsi="宋体"/>
          <w:b/>
          <w:bCs/>
          <w:sz w:val="24"/>
        </w:rPr>
        <w:t>该响应文件将被认定为无效响应文件。竞争性磋商文件中允许的偏差除外。</w:t>
      </w:r>
      <w:bookmarkEnd w:id="204"/>
    </w:p>
    <w:p w14:paraId="1CDA91A8">
      <w:pPr>
        <w:wordWrap w:val="0"/>
        <w:spacing w:line="360" w:lineRule="auto"/>
        <w:ind w:left="720" w:hanging="720" w:hangingChars="300"/>
        <w:rPr>
          <w:rFonts w:hint="eastAsia" w:ascii="宋体" w:hAnsi="宋体"/>
          <w:sz w:val="24"/>
        </w:rPr>
      </w:pPr>
      <w:r>
        <w:rPr>
          <w:rFonts w:ascii="宋体" w:hAnsi="宋体"/>
          <w:sz w:val="24"/>
        </w:rPr>
        <w:t>4</w:t>
      </w:r>
      <w:r>
        <w:rPr>
          <w:rFonts w:hint="eastAsia" w:ascii="宋体" w:hAnsi="宋体"/>
          <w:sz w:val="24"/>
        </w:rPr>
        <w:t>.1.</w:t>
      </w:r>
      <w:r>
        <w:rPr>
          <w:rFonts w:ascii="宋体" w:hAnsi="宋体"/>
          <w:sz w:val="24"/>
        </w:rPr>
        <w:t>2</w:t>
      </w:r>
      <w:r>
        <w:rPr>
          <w:rFonts w:hint="eastAsia" w:ascii="宋体" w:hAnsi="宋体"/>
          <w:sz w:val="24"/>
        </w:rPr>
        <w:t xml:space="preserve"> 当采购项目分为两个及以上不同“包”或“标段”的，供应商可以同时参加各个“包”或“标段”的采购活动，除非在</w:t>
      </w:r>
      <w:r>
        <w:rPr>
          <w:rFonts w:hint="eastAsia" w:ascii="宋体" w:hAnsi="宋体"/>
          <w:b/>
          <w:sz w:val="24"/>
          <w:u w:val="single"/>
        </w:rPr>
        <w:t>供应商须知前附表</w:t>
      </w:r>
      <w:r>
        <w:rPr>
          <w:rFonts w:hint="eastAsia" w:ascii="宋体" w:hAnsi="宋体"/>
          <w:sz w:val="24"/>
        </w:rPr>
        <w:t>中另有规定。</w:t>
      </w:r>
    </w:p>
    <w:p w14:paraId="0812A33D">
      <w:pPr>
        <w:wordWrap w:val="0"/>
        <w:spacing w:line="360" w:lineRule="auto"/>
        <w:ind w:left="720" w:hanging="720" w:hangingChars="300"/>
        <w:rPr>
          <w:rFonts w:hint="eastAsia" w:ascii="宋体" w:hAnsi="宋体"/>
          <w:sz w:val="24"/>
        </w:rPr>
      </w:pPr>
      <w:bookmarkStart w:id="205" w:name="_Hlk86851159"/>
      <w:r>
        <w:rPr>
          <w:rFonts w:ascii="宋体" w:hAnsi="宋体"/>
          <w:sz w:val="24"/>
        </w:rPr>
        <w:t>4</w:t>
      </w:r>
      <w:r>
        <w:rPr>
          <w:rFonts w:hint="eastAsia" w:ascii="宋体" w:hAnsi="宋体"/>
          <w:sz w:val="24"/>
        </w:rPr>
        <w:t>.1.</w:t>
      </w:r>
      <w:r>
        <w:rPr>
          <w:rFonts w:ascii="宋体" w:hAnsi="宋体"/>
          <w:sz w:val="24"/>
        </w:rPr>
        <w:t>3</w:t>
      </w:r>
      <w:r>
        <w:rPr>
          <w:rFonts w:hint="eastAsia" w:ascii="宋体" w:hAnsi="宋体"/>
          <w:sz w:val="24"/>
        </w:rPr>
        <w:t xml:space="preserve"> </w:t>
      </w:r>
      <w:r>
        <w:rPr>
          <w:rFonts w:hint="eastAsia" w:ascii="宋体" w:hAnsi="宋体"/>
          <w:b/>
          <w:bCs/>
          <w:sz w:val="24"/>
        </w:rPr>
        <w:t>当采购项目分为两个及以上不同“包”或“标段”的，供应商应当以竞争性磋商文件中的“包”或“标段”为单位编制响应文件；供应商应当</w:t>
      </w:r>
      <w:r>
        <w:rPr>
          <w:rFonts w:ascii="宋体" w:hAnsi="宋体"/>
          <w:b/>
          <w:bCs/>
          <w:sz w:val="24"/>
        </w:rPr>
        <w:t>对所</w:t>
      </w:r>
      <w:r>
        <w:rPr>
          <w:rFonts w:hint="eastAsia" w:ascii="宋体" w:hAnsi="宋体"/>
          <w:b/>
          <w:bCs/>
          <w:sz w:val="24"/>
        </w:rPr>
        <w:t>投“包”或“标段”按照竞争性磋商文件中对应“包”或“标段”的 “采购需求”中所列的所有采购内容进行提交响应文件及报价；</w:t>
      </w:r>
      <w:r>
        <w:rPr>
          <w:rFonts w:ascii="宋体" w:hAnsi="宋体"/>
          <w:b/>
          <w:bCs/>
          <w:sz w:val="24"/>
        </w:rPr>
        <w:t>如</w:t>
      </w:r>
      <w:r>
        <w:rPr>
          <w:rFonts w:hint="eastAsia" w:ascii="宋体" w:hAnsi="宋体"/>
          <w:b/>
          <w:bCs/>
          <w:sz w:val="24"/>
        </w:rPr>
        <w:t>仅对“包”或“标段”中“采购需求”的部分内容进行提交响应文件（或报价）</w:t>
      </w:r>
      <w:r>
        <w:rPr>
          <w:rFonts w:ascii="宋体" w:hAnsi="宋体"/>
          <w:b/>
          <w:bCs/>
          <w:sz w:val="24"/>
        </w:rPr>
        <w:t>，其</w:t>
      </w:r>
      <w:r>
        <w:rPr>
          <w:rFonts w:hint="eastAsia" w:ascii="宋体" w:hAnsi="宋体"/>
          <w:b/>
          <w:bCs/>
          <w:sz w:val="24"/>
        </w:rPr>
        <w:t>该包（或标段）的响应文件将被认定为无效响应文件。竞争性磋商文件中允许的偏差除外。</w:t>
      </w:r>
    </w:p>
    <w:bookmarkEnd w:id="205"/>
    <w:p w14:paraId="4E0D2065">
      <w:pPr>
        <w:wordWrap w:val="0"/>
        <w:spacing w:line="360" w:lineRule="auto"/>
        <w:ind w:left="720" w:hanging="720" w:hangingChars="300"/>
        <w:rPr>
          <w:rFonts w:hint="eastAsia" w:ascii="宋体" w:hAnsi="宋体"/>
          <w:sz w:val="24"/>
        </w:rPr>
      </w:pPr>
      <w:r>
        <w:rPr>
          <w:rFonts w:ascii="宋体" w:hAnsi="宋体"/>
          <w:sz w:val="24"/>
        </w:rPr>
        <w:t>4</w:t>
      </w:r>
      <w:r>
        <w:rPr>
          <w:rFonts w:hint="eastAsia" w:ascii="宋体" w:hAnsi="宋体"/>
          <w:sz w:val="24"/>
        </w:rPr>
        <w:t>.1.</w:t>
      </w:r>
      <w:r>
        <w:rPr>
          <w:rFonts w:ascii="宋体" w:hAnsi="宋体"/>
          <w:sz w:val="24"/>
        </w:rPr>
        <w:t xml:space="preserve">4 </w:t>
      </w:r>
      <w:r>
        <w:rPr>
          <w:rFonts w:hint="eastAsia" w:ascii="宋体" w:hAnsi="宋体"/>
          <w:sz w:val="24"/>
        </w:rPr>
        <w:t>无论竞争性磋商文件中是否要求，供应商所提供的工程（伴随的货物及服务）均应符合国家强制性标准。</w:t>
      </w:r>
    </w:p>
    <w:p w14:paraId="68A0963C">
      <w:pPr>
        <w:wordWrap w:val="0"/>
        <w:spacing w:line="360" w:lineRule="auto"/>
        <w:ind w:left="720" w:hanging="720" w:hangingChars="300"/>
        <w:rPr>
          <w:rFonts w:hint="eastAsia" w:ascii="宋体" w:hAnsi="宋体"/>
          <w:sz w:val="24"/>
        </w:rPr>
      </w:pPr>
      <w:bookmarkStart w:id="206" w:name="_Hlk86851390"/>
      <w:r>
        <w:rPr>
          <w:rFonts w:ascii="宋体" w:hAnsi="宋体"/>
          <w:sz w:val="24"/>
        </w:rPr>
        <w:t>4</w:t>
      </w:r>
      <w:r>
        <w:rPr>
          <w:rFonts w:hint="eastAsia" w:ascii="宋体" w:hAnsi="宋体"/>
          <w:sz w:val="24"/>
        </w:rPr>
        <w:t>.1.</w:t>
      </w:r>
      <w:r>
        <w:rPr>
          <w:rFonts w:ascii="宋体" w:hAnsi="宋体"/>
          <w:sz w:val="24"/>
        </w:rPr>
        <w:t>5</w:t>
      </w:r>
      <w:r>
        <w:rPr>
          <w:rFonts w:hint="eastAsia" w:ascii="宋体" w:hAnsi="宋体"/>
          <w:sz w:val="24"/>
        </w:rPr>
        <w:t xml:space="preserve"> </w:t>
      </w:r>
      <w:r>
        <w:rPr>
          <w:rFonts w:hint="eastAsia" w:ascii="宋体" w:hAnsi="宋体" w:cs="仿宋"/>
          <w:sz w:val="24"/>
        </w:rPr>
        <w:t>计量单位：</w:t>
      </w:r>
      <w:r>
        <w:rPr>
          <w:rFonts w:hint="eastAsia" w:ascii="宋体" w:hAnsi="宋体"/>
          <w:sz w:val="24"/>
        </w:rPr>
        <w:t>除竞争性磋商文件中有特殊要求外，响应文件中所使用的计量单位，均应采用中华人民共和国法定计量单位。</w:t>
      </w:r>
      <w:bookmarkEnd w:id="206"/>
    </w:p>
    <w:p w14:paraId="73B069F0">
      <w:pPr>
        <w:tabs>
          <w:tab w:val="left" w:pos="360"/>
          <w:tab w:val="left" w:pos="1904"/>
        </w:tabs>
        <w:wordWrap w:val="0"/>
        <w:spacing w:line="360" w:lineRule="auto"/>
        <w:ind w:left="720" w:hanging="720" w:hangingChars="300"/>
        <w:rPr>
          <w:rFonts w:hint="eastAsia" w:ascii="宋体" w:hAnsi="宋体"/>
          <w:b/>
          <w:bCs/>
          <w:sz w:val="24"/>
        </w:rPr>
      </w:pPr>
      <w:r>
        <w:rPr>
          <w:rFonts w:ascii="宋体" w:hAnsi="宋体" w:cs="仿宋"/>
          <w:sz w:val="24"/>
        </w:rPr>
        <w:t>4</w:t>
      </w:r>
      <w:r>
        <w:rPr>
          <w:rFonts w:hint="eastAsia" w:ascii="宋体" w:hAnsi="宋体" w:cs="仿宋"/>
          <w:sz w:val="24"/>
        </w:rPr>
        <w:t>.1.</w:t>
      </w:r>
      <w:r>
        <w:rPr>
          <w:rFonts w:ascii="宋体" w:hAnsi="宋体" w:cs="仿宋"/>
          <w:sz w:val="24"/>
        </w:rPr>
        <w:t>6</w:t>
      </w:r>
      <w:r>
        <w:rPr>
          <w:rFonts w:hint="eastAsia" w:ascii="宋体" w:hAnsi="宋体" w:cs="仿宋"/>
          <w:sz w:val="24"/>
        </w:rPr>
        <w:t xml:space="preserve"> 提交响应文件语言文字：除专用术语外，响应文件以及供应商所有与采购人及采购代理机构就提交响应文件来往的文件、资料均使用中文。</w:t>
      </w:r>
      <w:r>
        <w:rPr>
          <w:sz w:val="24"/>
        </w:rPr>
        <w:t>必要时专用术语应附有中文解释。</w:t>
      </w:r>
      <w:r>
        <w:rPr>
          <w:rFonts w:hint="eastAsia" w:ascii="宋体" w:hAnsi="宋体" w:cs="仿宋"/>
          <w:sz w:val="24"/>
        </w:rPr>
        <w:t>供应商</w:t>
      </w:r>
      <w:r>
        <w:rPr>
          <w:sz w:val="24"/>
        </w:rPr>
        <w:t>提交的支持资料和已印制的文献可以用外文，但相应内容应附有中文翻译本，在解释</w:t>
      </w:r>
      <w:r>
        <w:rPr>
          <w:rFonts w:hint="eastAsia"/>
          <w:sz w:val="24"/>
        </w:rPr>
        <w:t>响应文件</w:t>
      </w:r>
      <w:r>
        <w:rPr>
          <w:sz w:val="24"/>
        </w:rPr>
        <w:t>时以中文翻译本为准。未附中文翻译本或翻译本中文内容明显与外文内容不一致的，其不利后果由</w:t>
      </w:r>
      <w:r>
        <w:rPr>
          <w:rFonts w:hint="eastAsia"/>
          <w:sz w:val="24"/>
        </w:rPr>
        <w:t>供应商</w:t>
      </w:r>
      <w:r>
        <w:rPr>
          <w:sz w:val="24"/>
        </w:rPr>
        <w:t>自行承担。</w:t>
      </w:r>
    </w:p>
    <w:p w14:paraId="51DD1CD7">
      <w:pPr>
        <w:pStyle w:val="8"/>
        <w:tabs>
          <w:tab w:val="left" w:pos="900"/>
        </w:tabs>
        <w:wordWrap w:val="0"/>
        <w:spacing w:before="0" w:after="0" w:line="360" w:lineRule="auto"/>
        <w:rPr>
          <w:rFonts w:hint="eastAsia" w:ascii="黑体" w:hAnsi="黑体" w:eastAsia="黑体"/>
          <w:b w:val="0"/>
          <w:bCs w:val="0"/>
          <w:sz w:val="24"/>
          <w:szCs w:val="24"/>
        </w:rPr>
      </w:pPr>
      <w:bookmarkStart w:id="207" w:name="_Toc27560"/>
      <w:bookmarkStart w:id="208" w:name="_Toc57211952"/>
      <w:r>
        <w:rPr>
          <w:rFonts w:ascii="黑体" w:hAnsi="黑体" w:eastAsia="黑体"/>
          <w:b w:val="0"/>
          <w:bCs w:val="0"/>
          <w:sz w:val="24"/>
          <w:szCs w:val="24"/>
        </w:rPr>
        <w:t>4</w:t>
      </w:r>
      <w:r>
        <w:rPr>
          <w:rFonts w:hint="eastAsia" w:ascii="黑体" w:hAnsi="黑体" w:eastAsia="黑体"/>
          <w:b w:val="0"/>
          <w:bCs w:val="0"/>
          <w:sz w:val="24"/>
          <w:szCs w:val="24"/>
        </w:rPr>
        <w:t>.2 响应文件组成</w:t>
      </w:r>
      <w:bookmarkEnd w:id="207"/>
      <w:bookmarkEnd w:id="208"/>
    </w:p>
    <w:p w14:paraId="2AA8394D">
      <w:pPr>
        <w:tabs>
          <w:tab w:val="left" w:pos="900"/>
          <w:tab w:val="left" w:pos="5580"/>
        </w:tabs>
        <w:wordWrap w:val="0"/>
        <w:spacing w:line="360" w:lineRule="auto"/>
        <w:ind w:left="720" w:hanging="720" w:hangingChars="300"/>
        <w:rPr>
          <w:rFonts w:hint="eastAsia" w:ascii="宋体" w:hAnsi="宋体"/>
          <w:sz w:val="24"/>
        </w:rPr>
      </w:pPr>
      <w:r>
        <w:rPr>
          <w:rFonts w:ascii="宋体" w:hAnsi="宋体"/>
          <w:sz w:val="24"/>
        </w:rPr>
        <w:t>4</w:t>
      </w:r>
      <w:r>
        <w:rPr>
          <w:rFonts w:hint="eastAsia" w:ascii="宋体" w:hAnsi="宋体"/>
          <w:sz w:val="24"/>
        </w:rPr>
        <w:t>.2.1 供应商</w:t>
      </w:r>
      <w:r>
        <w:rPr>
          <w:sz w:val="24"/>
        </w:rPr>
        <w:t>应当按照</w:t>
      </w:r>
      <w:r>
        <w:rPr>
          <w:rFonts w:hint="eastAsia"/>
          <w:sz w:val="24"/>
        </w:rPr>
        <w:t>竞争性磋商文件</w:t>
      </w:r>
      <w:r>
        <w:rPr>
          <w:sz w:val="24"/>
        </w:rPr>
        <w:t>的要求编制</w:t>
      </w:r>
      <w:r>
        <w:rPr>
          <w:rFonts w:hint="eastAsia"/>
          <w:sz w:val="24"/>
        </w:rPr>
        <w:t>响应文件，</w:t>
      </w:r>
      <w:r>
        <w:rPr>
          <w:rFonts w:hint="eastAsia" w:ascii="宋体" w:hAnsi="宋体"/>
          <w:sz w:val="24"/>
        </w:rPr>
        <w:t>供应商需按照竞争性磋商文件“响应文件格式”中提供的格式、要求及顺序，编制响应文件。</w:t>
      </w:r>
    </w:p>
    <w:p w14:paraId="12AB069B">
      <w:pPr>
        <w:wordWrap w:val="0"/>
        <w:spacing w:line="360" w:lineRule="auto"/>
        <w:ind w:left="720" w:hanging="720" w:hangingChars="300"/>
        <w:rPr>
          <w:rFonts w:hint="eastAsia" w:ascii="宋体" w:hAnsi="宋体"/>
          <w:sz w:val="24"/>
        </w:rPr>
      </w:pPr>
      <w:bookmarkStart w:id="209" w:name="_Hlk218415588"/>
      <w:r>
        <w:rPr>
          <w:rFonts w:ascii="宋体" w:hAnsi="宋体"/>
          <w:sz w:val="24"/>
        </w:rPr>
        <w:t>4.2.2 除</w:t>
      </w:r>
      <w:r>
        <w:rPr>
          <w:rFonts w:hint="eastAsia" w:ascii="宋体" w:hAnsi="宋体"/>
          <w:sz w:val="24"/>
        </w:rPr>
        <w:t>竞争性磋商文件</w:t>
      </w:r>
      <w:r>
        <w:rPr>
          <w:rFonts w:ascii="宋体" w:hAnsi="宋体"/>
          <w:sz w:val="24"/>
        </w:rPr>
        <w:t>另有规定外，</w:t>
      </w:r>
      <w:r>
        <w:rPr>
          <w:rFonts w:hint="eastAsia" w:ascii="宋体" w:hAnsi="宋体"/>
          <w:sz w:val="24"/>
        </w:rPr>
        <w:t>供应商</w:t>
      </w:r>
      <w:r>
        <w:rPr>
          <w:rFonts w:ascii="宋体" w:hAnsi="宋体"/>
          <w:sz w:val="24"/>
        </w:rPr>
        <w:t>不得改变格式中给定的文字所表达的含义，不得删减格式中的实质性内容，不得自行添加与格式中给定的文字内容相矛盾的内容，不得对实质性</w:t>
      </w:r>
      <w:r>
        <w:rPr>
          <w:rFonts w:hint="eastAsia" w:ascii="宋体" w:hAnsi="宋体"/>
          <w:sz w:val="24"/>
        </w:rPr>
        <w:t>内容不</w:t>
      </w:r>
      <w:r>
        <w:rPr>
          <w:rFonts w:ascii="宋体" w:hAnsi="宋体"/>
          <w:sz w:val="24"/>
        </w:rPr>
        <w:t>响应，否则</w:t>
      </w:r>
      <w:r>
        <w:rPr>
          <w:rFonts w:hint="eastAsia" w:ascii="宋体" w:hAnsi="宋体"/>
          <w:sz w:val="24"/>
        </w:rPr>
        <w:t>提交响应文件</w:t>
      </w:r>
      <w:r>
        <w:rPr>
          <w:rFonts w:ascii="宋体" w:hAnsi="宋体"/>
          <w:sz w:val="24"/>
        </w:rPr>
        <w:t>无效。</w:t>
      </w:r>
      <w:bookmarkEnd w:id="209"/>
    </w:p>
    <w:p w14:paraId="462934A9">
      <w:pPr>
        <w:wordWrap w:val="0"/>
        <w:adjustRightInd w:val="0"/>
        <w:snapToGrid w:val="0"/>
        <w:spacing w:line="360" w:lineRule="auto"/>
        <w:ind w:left="720" w:hanging="720" w:hangingChars="300"/>
        <w:rPr>
          <w:rFonts w:hint="eastAsia" w:ascii="宋体" w:hAnsi="宋体"/>
          <w:sz w:val="24"/>
        </w:rPr>
      </w:pPr>
      <w:r>
        <w:rPr>
          <w:rFonts w:ascii="宋体" w:hAnsi="宋体"/>
          <w:sz w:val="24"/>
        </w:rPr>
        <w:t>4.2.</w:t>
      </w:r>
      <w:r>
        <w:rPr>
          <w:rFonts w:hint="eastAsia" w:ascii="宋体" w:hAnsi="宋体"/>
          <w:sz w:val="24"/>
        </w:rPr>
        <w:t>3</w:t>
      </w:r>
      <w:r>
        <w:rPr>
          <w:rFonts w:ascii="宋体" w:hAnsi="宋体"/>
          <w:sz w:val="24"/>
        </w:rPr>
        <w:t xml:space="preserve"> </w:t>
      </w:r>
      <w:r>
        <w:rPr>
          <w:rFonts w:hint="eastAsia" w:ascii="宋体" w:hAnsi="宋体"/>
          <w:sz w:val="24"/>
        </w:rPr>
        <w:t>竞争性磋商文件</w:t>
      </w:r>
      <w:r>
        <w:rPr>
          <w:rFonts w:ascii="宋体" w:hAnsi="宋体"/>
          <w:sz w:val="24"/>
        </w:rPr>
        <w:t>未提供格式的</w:t>
      </w:r>
      <w:r>
        <w:rPr>
          <w:rFonts w:hint="eastAsia" w:ascii="宋体" w:hAnsi="宋体"/>
          <w:sz w:val="24"/>
        </w:rPr>
        <w:t>或写明可以由供应商自行编制的</w:t>
      </w:r>
      <w:r>
        <w:rPr>
          <w:rFonts w:ascii="宋体" w:hAnsi="宋体"/>
          <w:sz w:val="24"/>
        </w:rPr>
        <w:t>，可由</w:t>
      </w:r>
      <w:r>
        <w:rPr>
          <w:rFonts w:hint="eastAsia" w:ascii="宋体" w:hAnsi="宋体"/>
          <w:sz w:val="24"/>
        </w:rPr>
        <w:t>供应商</w:t>
      </w:r>
      <w:r>
        <w:rPr>
          <w:rFonts w:ascii="宋体" w:hAnsi="宋体"/>
          <w:sz w:val="24"/>
        </w:rPr>
        <w:t>自行编写。</w:t>
      </w:r>
    </w:p>
    <w:p w14:paraId="35D614C2">
      <w:pPr>
        <w:wordWrap w:val="0"/>
        <w:adjustRightInd w:val="0"/>
        <w:snapToGrid w:val="0"/>
        <w:spacing w:line="360" w:lineRule="auto"/>
        <w:ind w:left="720" w:hanging="720" w:hangingChars="300"/>
        <w:rPr>
          <w:rFonts w:hint="eastAsia" w:ascii="宋体" w:hAnsi="宋体"/>
          <w:sz w:val="24"/>
        </w:rPr>
      </w:pPr>
      <w:r>
        <w:rPr>
          <w:rFonts w:ascii="宋体" w:hAnsi="宋体"/>
          <w:sz w:val="24"/>
        </w:rPr>
        <w:t>4</w:t>
      </w:r>
      <w:r>
        <w:rPr>
          <w:rFonts w:hint="eastAsia" w:ascii="宋体" w:hAnsi="宋体"/>
          <w:sz w:val="24"/>
        </w:rPr>
        <w:t>.2.4</w:t>
      </w:r>
      <w:r>
        <w:rPr>
          <w:rFonts w:ascii="宋体" w:hAnsi="宋体"/>
          <w:sz w:val="24"/>
        </w:rPr>
        <w:t xml:space="preserve"> </w:t>
      </w:r>
      <w:r>
        <w:rPr>
          <w:rFonts w:hint="eastAsia" w:ascii="宋体" w:hAnsi="宋体"/>
          <w:sz w:val="24"/>
        </w:rPr>
        <w:t>样品</w:t>
      </w:r>
      <w:bookmarkStart w:id="210" w:name="_Hlk166223063"/>
      <w:r>
        <w:rPr>
          <w:rFonts w:hint="eastAsia" w:ascii="宋体" w:hAnsi="宋体"/>
          <w:sz w:val="24"/>
        </w:rPr>
        <w:t>（如有）</w:t>
      </w:r>
      <w:bookmarkEnd w:id="210"/>
      <w:r>
        <w:rPr>
          <w:rFonts w:hint="eastAsia" w:ascii="宋体" w:hAnsi="宋体"/>
          <w:sz w:val="24"/>
        </w:rPr>
        <w:t>要求详见供应商须知前附表及竞争性磋商文件中的相关要求。</w:t>
      </w:r>
    </w:p>
    <w:p w14:paraId="70E71663">
      <w:pPr>
        <w:pStyle w:val="8"/>
        <w:tabs>
          <w:tab w:val="left" w:pos="900"/>
        </w:tabs>
        <w:wordWrap w:val="0"/>
        <w:spacing w:before="0" w:after="0" w:line="360" w:lineRule="auto"/>
        <w:jc w:val="left"/>
        <w:rPr>
          <w:rFonts w:hint="eastAsia" w:ascii="黑体" w:hAnsi="黑体" w:eastAsia="黑体"/>
          <w:b w:val="0"/>
          <w:bCs w:val="0"/>
          <w:sz w:val="24"/>
          <w:szCs w:val="24"/>
        </w:rPr>
      </w:pPr>
      <w:bookmarkStart w:id="211" w:name="_Toc57211953"/>
      <w:bookmarkStart w:id="212" w:name="_Toc8439"/>
      <w:r>
        <w:rPr>
          <w:rFonts w:ascii="黑体" w:hAnsi="黑体" w:eastAsia="黑体"/>
          <w:b w:val="0"/>
          <w:bCs w:val="0"/>
          <w:sz w:val="24"/>
          <w:szCs w:val="24"/>
        </w:rPr>
        <w:t>4</w:t>
      </w:r>
      <w:r>
        <w:rPr>
          <w:rFonts w:hint="eastAsia" w:ascii="黑体" w:hAnsi="黑体" w:eastAsia="黑体"/>
          <w:b w:val="0"/>
          <w:bCs w:val="0"/>
          <w:sz w:val="24"/>
          <w:szCs w:val="24"/>
        </w:rPr>
        <w:t>.3  供应商证明提交响应文件标的的合格性和符合竞争性磋商文件规定的技术文件</w:t>
      </w:r>
      <w:bookmarkEnd w:id="211"/>
      <w:bookmarkEnd w:id="212"/>
    </w:p>
    <w:p w14:paraId="6C52D1D8">
      <w:pPr>
        <w:wordWrap w:val="0"/>
        <w:spacing w:line="360" w:lineRule="auto"/>
        <w:ind w:left="720" w:hanging="720" w:hangingChars="300"/>
        <w:rPr>
          <w:rFonts w:hint="eastAsia" w:ascii="宋体" w:hAnsi="宋体"/>
          <w:sz w:val="24"/>
        </w:rPr>
      </w:pPr>
      <w:r>
        <w:rPr>
          <w:rFonts w:ascii="宋体" w:hAnsi="宋体"/>
          <w:sz w:val="24"/>
        </w:rPr>
        <w:t>4</w:t>
      </w:r>
      <w:r>
        <w:rPr>
          <w:rFonts w:hint="eastAsia" w:ascii="宋体" w:hAnsi="宋体"/>
          <w:sz w:val="24"/>
        </w:rPr>
        <w:t>.3.1 供应商应按竞争性磋商文件中的具体要求提交证明文件（如需要），证明所提供产品符合竞争性磋商文件的规定。该证明文件是响应文件的技术文件。</w:t>
      </w:r>
    </w:p>
    <w:p w14:paraId="40492B4D">
      <w:pPr>
        <w:wordWrap w:val="0"/>
        <w:spacing w:line="360" w:lineRule="auto"/>
        <w:rPr>
          <w:rFonts w:hint="eastAsia" w:ascii="宋体" w:hAnsi="宋体"/>
          <w:sz w:val="24"/>
        </w:rPr>
      </w:pPr>
      <w:r>
        <w:rPr>
          <w:rFonts w:ascii="宋体" w:hAnsi="宋体"/>
          <w:sz w:val="24"/>
        </w:rPr>
        <w:t>4</w:t>
      </w:r>
      <w:r>
        <w:rPr>
          <w:rFonts w:hint="eastAsia" w:ascii="宋体" w:hAnsi="宋体"/>
          <w:sz w:val="24"/>
        </w:rPr>
        <w:t>.3.2 上款所述的证明文件，可以是文字资料、图纸和数据，包括：货物主要技术指标和性能的详细说明；</w:t>
      </w:r>
    </w:p>
    <w:p w14:paraId="520F0F19">
      <w:pPr>
        <w:wordWrap w:val="0"/>
        <w:spacing w:line="360" w:lineRule="auto"/>
        <w:ind w:left="960" w:hanging="960" w:hangingChars="400"/>
        <w:rPr>
          <w:rFonts w:hint="eastAsia" w:ascii="宋体" w:hAnsi="宋体"/>
          <w:sz w:val="24"/>
        </w:rPr>
      </w:pPr>
      <w:bookmarkStart w:id="213" w:name="_Hlk57102979"/>
      <w:r>
        <w:rPr>
          <w:rFonts w:ascii="宋体" w:hAnsi="宋体"/>
          <w:sz w:val="24"/>
        </w:rPr>
        <w:t xml:space="preserve">4.3.3 </w:t>
      </w:r>
      <w:r>
        <w:rPr>
          <w:rFonts w:hint="eastAsia" w:ascii="宋体" w:hAnsi="宋体"/>
          <w:sz w:val="24"/>
        </w:rPr>
        <w:t>若竞争性磋商文件未明确要求提供相应技术证明文件的，供应商可不提供。</w:t>
      </w:r>
      <w:bookmarkEnd w:id="213"/>
    </w:p>
    <w:p w14:paraId="26C32207">
      <w:pPr>
        <w:pStyle w:val="8"/>
        <w:wordWrap w:val="0"/>
        <w:spacing w:before="0" w:after="0" w:line="360" w:lineRule="auto"/>
        <w:rPr>
          <w:rFonts w:hint="eastAsia" w:ascii="黑体" w:hAnsi="黑体" w:eastAsia="黑体"/>
          <w:b w:val="0"/>
          <w:bCs w:val="0"/>
          <w:sz w:val="24"/>
          <w:szCs w:val="24"/>
        </w:rPr>
      </w:pPr>
      <w:bookmarkStart w:id="214" w:name="_Toc12407"/>
      <w:bookmarkStart w:id="215" w:name="_Toc57211954"/>
      <w:r>
        <w:rPr>
          <w:rFonts w:ascii="黑体" w:hAnsi="黑体" w:eastAsia="黑体"/>
          <w:b w:val="0"/>
          <w:bCs w:val="0"/>
          <w:sz w:val="24"/>
          <w:szCs w:val="24"/>
        </w:rPr>
        <w:t>4</w:t>
      </w:r>
      <w:r>
        <w:rPr>
          <w:rFonts w:hint="eastAsia" w:ascii="黑体" w:hAnsi="黑体" w:eastAsia="黑体"/>
          <w:b w:val="0"/>
          <w:bCs w:val="0"/>
          <w:sz w:val="24"/>
          <w:szCs w:val="24"/>
        </w:rPr>
        <w:t>.4</w:t>
      </w:r>
      <w:r>
        <w:rPr>
          <w:rFonts w:ascii="黑体" w:hAnsi="黑体" w:eastAsia="黑体"/>
          <w:b w:val="0"/>
          <w:bCs w:val="0"/>
          <w:sz w:val="24"/>
          <w:szCs w:val="24"/>
        </w:rPr>
        <w:t xml:space="preserve"> </w:t>
      </w:r>
      <w:r>
        <w:rPr>
          <w:rFonts w:hint="eastAsia" w:ascii="黑体" w:hAnsi="黑体" w:eastAsia="黑体"/>
          <w:b w:val="0"/>
          <w:bCs w:val="0"/>
          <w:sz w:val="24"/>
          <w:szCs w:val="24"/>
        </w:rPr>
        <w:t>响应报价</w:t>
      </w:r>
      <w:bookmarkEnd w:id="214"/>
      <w:bookmarkEnd w:id="215"/>
    </w:p>
    <w:p w14:paraId="26FD2842">
      <w:pPr>
        <w:wordWrap w:val="0"/>
        <w:spacing w:line="360" w:lineRule="auto"/>
        <w:ind w:left="720" w:hanging="720" w:hangingChars="300"/>
        <w:rPr>
          <w:rFonts w:hint="eastAsia" w:ascii="宋体" w:hAnsi="宋体" w:cs="仿宋"/>
          <w:sz w:val="24"/>
        </w:rPr>
      </w:pPr>
      <w:bookmarkStart w:id="216" w:name="_Hlk56443665"/>
      <w:r>
        <w:rPr>
          <w:rFonts w:hint="eastAsia" w:ascii="宋体" w:hAnsi="宋体" w:cs="仿宋"/>
          <w:sz w:val="24"/>
        </w:rPr>
        <w:t>4</w:t>
      </w:r>
      <w:r>
        <w:rPr>
          <w:rFonts w:ascii="宋体" w:hAnsi="宋体" w:cs="仿宋"/>
          <w:sz w:val="24"/>
        </w:rPr>
        <w:t xml:space="preserve">.4.1 </w:t>
      </w:r>
      <w:r>
        <w:rPr>
          <w:rFonts w:hint="eastAsia" w:ascii="宋体" w:hAnsi="宋体" w:cs="宋体"/>
          <w:sz w:val="24"/>
        </w:rPr>
        <w:t>所有响应报价均应以人民币报价。</w:t>
      </w:r>
    </w:p>
    <w:p w14:paraId="58FE2AEA">
      <w:pPr>
        <w:wordWrap w:val="0"/>
        <w:spacing w:line="360" w:lineRule="auto"/>
        <w:ind w:left="720" w:hanging="720" w:hangingChars="300"/>
        <w:rPr>
          <w:rFonts w:hint="eastAsia" w:ascii="宋体" w:hAnsi="宋体"/>
          <w:sz w:val="24"/>
        </w:rPr>
      </w:pPr>
      <w:r>
        <w:rPr>
          <w:rFonts w:ascii="宋体" w:hAnsi="宋体"/>
          <w:sz w:val="24"/>
        </w:rPr>
        <w:t xml:space="preserve">4.4.2 </w:t>
      </w:r>
      <w:r>
        <w:rPr>
          <w:rFonts w:hint="eastAsia" w:ascii="宋体" w:hAnsi="宋体"/>
          <w:sz w:val="24"/>
        </w:rPr>
        <w:t>当采购项目未划分“包”或“标段”的，供应商</w:t>
      </w:r>
      <w:r>
        <w:rPr>
          <w:sz w:val="24"/>
        </w:rPr>
        <w:t>的报价应包括为完成本项目所发生的一切费用和税费，采购人将不再</w:t>
      </w:r>
      <w:r>
        <w:rPr>
          <w:spacing w:val="-2"/>
          <w:sz w:val="24"/>
        </w:rPr>
        <w:t>支付报价以外的任何费用。</w:t>
      </w:r>
    </w:p>
    <w:p w14:paraId="29C14307">
      <w:pPr>
        <w:wordWrap w:val="0"/>
        <w:spacing w:line="360" w:lineRule="auto"/>
        <w:ind w:left="720" w:hanging="720" w:hangingChars="300"/>
        <w:rPr>
          <w:rFonts w:hint="eastAsia" w:ascii="宋体" w:hAnsi="宋体"/>
          <w:sz w:val="24"/>
        </w:rPr>
      </w:pPr>
      <w:r>
        <w:rPr>
          <w:rFonts w:ascii="宋体" w:hAnsi="宋体"/>
          <w:sz w:val="24"/>
        </w:rPr>
        <w:t>4</w:t>
      </w:r>
      <w:r>
        <w:rPr>
          <w:rFonts w:hint="eastAsia" w:ascii="宋体" w:hAnsi="宋体"/>
          <w:sz w:val="24"/>
        </w:rPr>
        <w:t>.</w:t>
      </w:r>
      <w:r>
        <w:rPr>
          <w:rFonts w:ascii="宋体" w:hAnsi="宋体"/>
          <w:sz w:val="24"/>
        </w:rPr>
        <w:t>4</w:t>
      </w:r>
      <w:r>
        <w:rPr>
          <w:rFonts w:hint="eastAsia" w:ascii="宋体" w:hAnsi="宋体"/>
          <w:sz w:val="24"/>
        </w:rPr>
        <w:t>.</w:t>
      </w:r>
      <w:r>
        <w:rPr>
          <w:rFonts w:ascii="宋体" w:hAnsi="宋体"/>
          <w:sz w:val="24"/>
        </w:rPr>
        <w:t>3</w:t>
      </w:r>
      <w:r>
        <w:rPr>
          <w:rFonts w:hint="eastAsia" w:ascii="宋体" w:hAnsi="宋体"/>
          <w:sz w:val="24"/>
        </w:rPr>
        <w:t xml:space="preserve"> 当采购项目分为两个及以上不同“包”或“标段”的，供应商应当</w:t>
      </w:r>
      <w:r>
        <w:rPr>
          <w:rFonts w:ascii="宋体" w:hAnsi="宋体"/>
          <w:sz w:val="24"/>
        </w:rPr>
        <w:t>对所</w:t>
      </w:r>
      <w:r>
        <w:rPr>
          <w:rFonts w:hint="eastAsia" w:ascii="宋体" w:hAnsi="宋体"/>
          <w:sz w:val="24"/>
        </w:rPr>
        <w:t>响应“包”或“标段”按照竞争性磋商文件中对应“包”或“标段”</w:t>
      </w:r>
      <w:r>
        <w:rPr>
          <w:rFonts w:hint="eastAsia" w:ascii="宋体" w:hAnsi="宋体" w:cs="宋体"/>
          <w:sz w:val="24"/>
        </w:rPr>
        <w:t>所应提供</w:t>
      </w:r>
      <w:r>
        <w:rPr>
          <w:rFonts w:hint="eastAsia" w:ascii="宋体" w:hAnsi="宋体"/>
          <w:sz w:val="24"/>
        </w:rPr>
        <w:t>工程（伴随的货物及服务）的全部内容（除</w:t>
      </w:r>
      <w:r>
        <w:rPr>
          <w:rFonts w:hint="eastAsia" w:ascii="宋体" w:hAnsi="宋体" w:cs="宋体"/>
          <w:sz w:val="24"/>
        </w:rPr>
        <w:t>非在</w:t>
      </w:r>
      <w:r>
        <w:rPr>
          <w:rFonts w:hint="eastAsia" w:ascii="宋体" w:hAnsi="宋体"/>
          <w:b/>
          <w:sz w:val="24"/>
          <w:u w:val="single"/>
        </w:rPr>
        <w:t>供应商须知前附表</w:t>
      </w:r>
      <w:r>
        <w:rPr>
          <w:rFonts w:hint="eastAsia" w:ascii="宋体" w:hAnsi="宋体" w:cs="宋体"/>
          <w:sz w:val="24"/>
        </w:rPr>
        <w:t>中另有规定）</w:t>
      </w:r>
      <w:r>
        <w:rPr>
          <w:rFonts w:hint="eastAsia" w:ascii="宋体" w:hAnsi="宋体"/>
          <w:sz w:val="24"/>
        </w:rPr>
        <w:t>进行报价，该报价</w:t>
      </w:r>
      <w:r>
        <w:rPr>
          <w:sz w:val="24"/>
        </w:rPr>
        <w:t>应包括为完成</w:t>
      </w:r>
      <w:r>
        <w:rPr>
          <w:rFonts w:hint="eastAsia"/>
          <w:sz w:val="24"/>
        </w:rPr>
        <w:t>所投</w:t>
      </w:r>
      <w:r>
        <w:rPr>
          <w:rFonts w:hint="eastAsia" w:ascii="宋体" w:hAnsi="宋体"/>
          <w:sz w:val="24"/>
        </w:rPr>
        <w:t>“包”或“标段”</w:t>
      </w:r>
      <w:r>
        <w:rPr>
          <w:sz w:val="24"/>
        </w:rPr>
        <w:t>发生的一切费用和税费，采购人将不再</w:t>
      </w:r>
      <w:r>
        <w:rPr>
          <w:spacing w:val="-2"/>
          <w:sz w:val="24"/>
        </w:rPr>
        <w:t>支付报价以外的任何费用。</w:t>
      </w:r>
    </w:p>
    <w:p w14:paraId="76352C38">
      <w:pPr>
        <w:wordWrap w:val="0"/>
        <w:spacing w:line="360" w:lineRule="auto"/>
        <w:ind w:left="720" w:hanging="720" w:hangingChars="300"/>
        <w:rPr>
          <w:rFonts w:hint="eastAsia" w:ascii="宋体" w:hAnsi="宋体" w:cs="仿宋"/>
          <w:sz w:val="24"/>
        </w:rPr>
      </w:pPr>
      <w:bookmarkStart w:id="217" w:name="_Hlk164348686"/>
      <w:r>
        <w:rPr>
          <w:rFonts w:hint="eastAsia" w:ascii="宋体" w:hAnsi="宋体" w:cs="宋体"/>
          <w:sz w:val="24"/>
        </w:rPr>
        <w:t>4</w:t>
      </w:r>
      <w:r>
        <w:rPr>
          <w:rFonts w:ascii="宋体" w:hAnsi="宋体" w:cs="宋体"/>
          <w:sz w:val="24"/>
        </w:rPr>
        <w:t xml:space="preserve">.4.4 </w:t>
      </w:r>
      <w:r>
        <w:rPr>
          <w:rFonts w:hint="eastAsia" w:ascii="宋体" w:hAnsi="宋体" w:cs="宋体"/>
          <w:sz w:val="24"/>
        </w:rPr>
        <w:t>供应商提交响应文件报价应遵守《中华人民共和国价格法》。</w:t>
      </w:r>
    </w:p>
    <w:bookmarkEnd w:id="216"/>
    <w:bookmarkEnd w:id="217"/>
    <w:p w14:paraId="70EE67E3">
      <w:pPr>
        <w:wordWrap w:val="0"/>
        <w:spacing w:line="360" w:lineRule="auto"/>
        <w:ind w:left="720" w:hanging="720" w:hangingChars="300"/>
        <w:rPr>
          <w:rFonts w:hint="eastAsia" w:ascii="宋体" w:hAnsi="宋体" w:cs="仿宋"/>
          <w:sz w:val="24"/>
        </w:rPr>
      </w:pPr>
      <w:bookmarkStart w:id="218" w:name="_Hlk56443788"/>
      <w:r>
        <w:rPr>
          <w:rFonts w:ascii="宋体" w:hAnsi="宋体" w:cs="仿宋"/>
          <w:sz w:val="24"/>
        </w:rPr>
        <w:t>4</w:t>
      </w:r>
      <w:r>
        <w:rPr>
          <w:rFonts w:hint="eastAsia" w:ascii="宋体" w:hAnsi="宋体" w:cs="仿宋"/>
          <w:sz w:val="24"/>
        </w:rPr>
        <w:t>.4.</w:t>
      </w:r>
      <w:r>
        <w:rPr>
          <w:rFonts w:ascii="宋体" w:hAnsi="宋体" w:cs="仿宋"/>
          <w:sz w:val="24"/>
        </w:rPr>
        <w:t>5</w:t>
      </w:r>
      <w:r>
        <w:rPr>
          <w:rFonts w:hint="eastAsia" w:ascii="宋体" w:hAnsi="宋体" w:cs="仿宋"/>
          <w:sz w:val="24"/>
        </w:rPr>
        <w:t xml:space="preserve"> </w:t>
      </w:r>
      <w:r>
        <w:rPr>
          <w:rFonts w:hint="eastAsia" w:ascii="宋体" w:hAnsi="宋体" w:cs="仿宋"/>
          <w:b/>
          <w:bCs/>
          <w:sz w:val="24"/>
        </w:rPr>
        <w:t>供应商应按照竞争性磋商文件中所提供的采购需求、质量要求、采购预算等全部内容，结合本项目实际情况和供应商自身成本、市场行情等因素，自主报价，且不得高于采购人给定的预算价或最高限价，否则响应文件将被认定为无效响应文件。</w:t>
      </w:r>
    </w:p>
    <w:p w14:paraId="05145FF0">
      <w:pPr>
        <w:wordWrap w:val="0"/>
        <w:spacing w:line="360" w:lineRule="auto"/>
        <w:ind w:left="720" w:hanging="720" w:hangingChars="300"/>
        <w:rPr>
          <w:rFonts w:hint="eastAsia" w:ascii="宋体" w:hAnsi="宋体"/>
          <w:sz w:val="24"/>
        </w:rPr>
      </w:pPr>
      <w:bookmarkStart w:id="219" w:name="_Hlk218416102"/>
      <w:r>
        <w:rPr>
          <w:rFonts w:ascii="宋体" w:hAnsi="宋体"/>
          <w:sz w:val="24"/>
        </w:rPr>
        <w:t xml:space="preserve">4.4.6 </w:t>
      </w:r>
      <w:r>
        <w:rPr>
          <w:rFonts w:hint="eastAsia" w:ascii="宋体" w:hAnsi="宋体"/>
          <w:b/>
          <w:bCs/>
          <w:sz w:val="24"/>
        </w:rPr>
        <w:t>磋商小组认为</w:t>
      </w:r>
      <w:r>
        <w:rPr>
          <w:rFonts w:hint="eastAsia" w:ascii="宋体" w:hAnsi="宋体" w:cs="仿宋"/>
          <w:b/>
          <w:bCs/>
          <w:sz w:val="24"/>
        </w:rPr>
        <w:t>供应商</w:t>
      </w:r>
      <w:r>
        <w:rPr>
          <w:rFonts w:hint="eastAsia" w:ascii="宋体" w:hAnsi="宋体"/>
          <w:b/>
          <w:bCs/>
          <w:sz w:val="24"/>
        </w:rPr>
        <w:t>的报价明显低于其他通过符合性审查</w:t>
      </w:r>
      <w:r>
        <w:rPr>
          <w:rFonts w:hint="eastAsia" w:ascii="宋体" w:hAnsi="宋体" w:cs="仿宋"/>
          <w:b/>
          <w:bCs/>
          <w:sz w:val="24"/>
        </w:rPr>
        <w:t>供应商</w:t>
      </w:r>
      <w:r>
        <w:rPr>
          <w:rFonts w:hint="eastAsia" w:ascii="宋体" w:hAnsi="宋体"/>
          <w:b/>
          <w:bCs/>
          <w:sz w:val="24"/>
        </w:rPr>
        <w:t>的报价，有可能影响产品质量或者不能诚信履约的，应当要求其在评审现场合理的时间内提供书面说明，必要时提交相关证明材料；</w:t>
      </w:r>
      <w:r>
        <w:rPr>
          <w:rFonts w:hint="eastAsia" w:ascii="宋体" w:hAnsi="宋体" w:cs="仿宋"/>
          <w:b/>
          <w:bCs/>
          <w:sz w:val="24"/>
        </w:rPr>
        <w:t>供应商</w:t>
      </w:r>
      <w:r>
        <w:rPr>
          <w:rFonts w:hint="eastAsia" w:ascii="宋体" w:hAnsi="宋体"/>
          <w:b/>
          <w:bCs/>
          <w:sz w:val="24"/>
        </w:rPr>
        <w:t>不能证明其报价合理性的，磋商小组应当将其作为无效提交响应文件处理。</w:t>
      </w:r>
      <w:bookmarkEnd w:id="219"/>
    </w:p>
    <w:bookmarkEnd w:id="218"/>
    <w:p w14:paraId="79B12006">
      <w:pPr>
        <w:wordWrap w:val="0"/>
        <w:spacing w:line="360" w:lineRule="auto"/>
        <w:ind w:left="720" w:hanging="720" w:hangingChars="300"/>
        <w:rPr>
          <w:rFonts w:hint="eastAsia" w:ascii="宋体" w:hAnsi="宋体" w:cs="仿宋"/>
          <w:bCs/>
          <w:sz w:val="24"/>
        </w:rPr>
      </w:pPr>
      <w:bookmarkStart w:id="220" w:name="_Hlk56443824"/>
      <w:bookmarkStart w:id="221" w:name="_Hlk86854370"/>
      <w:r>
        <w:rPr>
          <w:rFonts w:ascii="宋体" w:hAnsi="宋体" w:cs="仿宋"/>
          <w:sz w:val="24"/>
        </w:rPr>
        <w:t>4</w:t>
      </w:r>
      <w:r>
        <w:rPr>
          <w:rFonts w:hint="eastAsia" w:ascii="宋体" w:hAnsi="宋体" w:cs="仿宋"/>
          <w:sz w:val="24"/>
        </w:rPr>
        <w:t>.4.</w:t>
      </w:r>
      <w:r>
        <w:rPr>
          <w:rFonts w:ascii="宋体" w:hAnsi="宋体" w:cs="仿宋"/>
          <w:sz w:val="24"/>
        </w:rPr>
        <w:t>7</w:t>
      </w:r>
      <w:r>
        <w:rPr>
          <w:rFonts w:hint="eastAsia" w:ascii="宋体" w:hAnsi="宋体" w:cs="仿宋"/>
          <w:sz w:val="24"/>
        </w:rPr>
        <w:t xml:space="preserve"> 供应商应当按照竞争性磋商文件提供的报价表格式如实填写各项</w:t>
      </w:r>
      <w:r>
        <w:rPr>
          <w:rFonts w:hint="eastAsia" w:ascii="宋体" w:hAnsi="宋体"/>
          <w:sz w:val="24"/>
        </w:rPr>
        <w:t>工程（伴随的货物及服务）</w:t>
      </w:r>
      <w:r>
        <w:rPr>
          <w:rFonts w:hint="eastAsia" w:ascii="宋体" w:hAnsi="宋体" w:cs="仿宋"/>
          <w:sz w:val="24"/>
        </w:rPr>
        <w:t>的单价、分项总价和提交响应文件总报价。</w:t>
      </w:r>
      <w:r>
        <w:rPr>
          <w:rFonts w:hint="eastAsia" w:ascii="宋体" w:hAnsi="宋体"/>
          <w:sz w:val="24"/>
        </w:rPr>
        <w:t>供应商应认真填报所有项目的单价和合价，响应文件中若有漏项、漏报，采购人视为该部分的报价供应商已包含在提交响应文件总报价中，风险由供应商自行承担，采购人将不再给予调整。供应商如果被确定为成交人，该供应商所报价格，</w:t>
      </w:r>
      <w:r>
        <w:rPr>
          <w:rFonts w:hint="eastAsia" w:ascii="宋体" w:hAnsi="宋体" w:cs="仿宋"/>
          <w:sz w:val="24"/>
        </w:rPr>
        <w:t>在合同履行过程中是固定不变的，</w:t>
      </w:r>
      <w:r>
        <w:rPr>
          <w:rFonts w:hint="eastAsia" w:ascii="宋体" w:hAnsi="宋体"/>
          <w:sz w:val="24"/>
        </w:rPr>
        <w:t>除因设计或采购人原因引起的变更外，不予调整。供应商</w:t>
      </w:r>
      <w:r>
        <w:rPr>
          <w:rFonts w:hint="eastAsia" w:ascii="宋体" w:hAnsi="宋体"/>
          <w:bCs/>
          <w:sz w:val="24"/>
        </w:rPr>
        <w:t>报价有算术错误的，其风险由供应商承担。</w:t>
      </w:r>
      <w:bookmarkEnd w:id="220"/>
    </w:p>
    <w:bookmarkEnd w:id="221"/>
    <w:p w14:paraId="1B267BF8">
      <w:pPr>
        <w:wordWrap w:val="0"/>
        <w:spacing w:line="360" w:lineRule="auto"/>
        <w:ind w:left="720" w:hanging="720" w:hangingChars="300"/>
        <w:rPr>
          <w:rFonts w:hint="eastAsia" w:ascii="宋体" w:hAnsi="宋体" w:cs="仿宋"/>
          <w:sz w:val="24"/>
        </w:rPr>
      </w:pPr>
      <w:bookmarkStart w:id="222" w:name="_Hlk165216890"/>
      <w:bookmarkStart w:id="223" w:name="_Hlk56443893"/>
      <w:r>
        <w:rPr>
          <w:rFonts w:ascii="宋体" w:hAnsi="宋体" w:cs="仿宋"/>
          <w:sz w:val="24"/>
        </w:rPr>
        <w:t>4</w:t>
      </w:r>
      <w:r>
        <w:rPr>
          <w:rFonts w:hint="eastAsia" w:ascii="宋体" w:hAnsi="宋体" w:cs="仿宋"/>
          <w:sz w:val="24"/>
        </w:rPr>
        <w:t>.4.</w:t>
      </w:r>
      <w:r>
        <w:rPr>
          <w:rFonts w:ascii="宋体" w:hAnsi="宋体" w:cs="仿宋"/>
          <w:sz w:val="24"/>
        </w:rPr>
        <w:t>8</w:t>
      </w:r>
      <w:r>
        <w:rPr>
          <w:rFonts w:hint="eastAsia" w:ascii="宋体" w:hAnsi="宋体" w:cs="仿宋"/>
          <w:sz w:val="24"/>
        </w:rPr>
        <w:t xml:space="preserve"> </w:t>
      </w:r>
      <w:bookmarkStart w:id="224" w:name="OLE_LINK34"/>
      <w:bookmarkStart w:id="225" w:name="OLE_LINK33"/>
      <w:r>
        <w:rPr>
          <w:rFonts w:hint="eastAsia" w:ascii="宋体" w:hAnsi="宋体" w:cs="仿宋"/>
          <w:sz w:val="24"/>
        </w:rPr>
        <w:t>供应商的响应总报价应当包括：</w:t>
      </w:r>
      <w:bookmarkEnd w:id="224"/>
      <w:bookmarkEnd w:id="225"/>
      <w:r>
        <w:rPr>
          <w:rFonts w:hint="eastAsia" w:ascii="宋体" w:hAnsi="宋体" w:cs="仿宋"/>
          <w:sz w:val="24"/>
        </w:rPr>
        <w:t>供应商认为成交后针对完成采购文件规定的工程</w:t>
      </w:r>
      <w:r>
        <w:rPr>
          <w:rFonts w:hint="eastAsia" w:ascii="宋体" w:hAnsi="宋体"/>
          <w:sz w:val="24"/>
        </w:rPr>
        <w:t>（伴随的货物及服务）</w:t>
      </w:r>
      <w:r>
        <w:rPr>
          <w:rFonts w:hint="eastAsia" w:ascii="宋体" w:hAnsi="宋体" w:cs="仿宋"/>
          <w:sz w:val="24"/>
        </w:rPr>
        <w:t>所有费用（包括人员工资以及税收等一切因素）以及伴随的其他服务费、采购项目未考虑的但项目实施过程中必要的费用，及采购项目履行过程中所需的而竞争性磋商文件中未列出的相关辅助材料和费用等的全部成本、保险、税金及利润，并考虑了应承担的风险及相关费用。</w:t>
      </w:r>
    </w:p>
    <w:bookmarkEnd w:id="222"/>
    <w:bookmarkEnd w:id="223"/>
    <w:p w14:paraId="2E6EA140">
      <w:pPr>
        <w:tabs>
          <w:tab w:val="left" w:pos="720"/>
        </w:tabs>
        <w:wordWrap w:val="0"/>
        <w:spacing w:line="360" w:lineRule="auto"/>
        <w:ind w:left="720" w:hanging="720" w:hangingChars="300"/>
        <w:rPr>
          <w:rFonts w:hint="eastAsia" w:ascii="宋体" w:hAnsi="宋体"/>
          <w:sz w:val="24"/>
        </w:rPr>
      </w:pPr>
      <w:bookmarkStart w:id="226" w:name="_Hlk56443945"/>
      <w:r>
        <w:rPr>
          <w:rFonts w:ascii="宋体" w:hAnsi="宋体" w:cs="仿宋"/>
          <w:snapToGrid w:val="0"/>
          <w:kern w:val="0"/>
          <w:sz w:val="24"/>
        </w:rPr>
        <w:t>4</w:t>
      </w:r>
      <w:r>
        <w:rPr>
          <w:rFonts w:hint="eastAsia" w:ascii="宋体" w:hAnsi="宋体" w:cs="仿宋"/>
          <w:snapToGrid w:val="0"/>
          <w:kern w:val="0"/>
          <w:sz w:val="24"/>
        </w:rPr>
        <w:t>.4.</w:t>
      </w:r>
      <w:r>
        <w:rPr>
          <w:rFonts w:ascii="宋体" w:hAnsi="宋体" w:cs="仿宋"/>
          <w:snapToGrid w:val="0"/>
          <w:kern w:val="0"/>
          <w:sz w:val="24"/>
        </w:rPr>
        <w:t>9</w:t>
      </w:r>
      <w:r>
        <w:rPr>
          <w:rFonts w:hint="eastAsia" w:ascii="宋体" w:hAnsi="宋体" w:cs="仿宋"/>
          <w:snapToGrid w:val="0"/>
          <w:kern w:val="0"/>
          <w:sz w:val="24"/>
        </w:rPr>
        <w:t xml:space="preserve"> </w:t>
      </w:r>
      <w:r>
        <w:rPr>
          <w:rFonts w:hint="eastAsia" w:ascii="宋体" w:hAnsi="宋体" w:cs="仿宋"/>
          <w:b/>
          <w:bCs/>
          <w:snapToGrid w:val="0"/>
          <w:kern w:val="0"/>
          <w:sz w:val="24"/>
        </w:rPr>
        <w:t>除非竞争性磋商文件另有规定，每一“包”或“标段”只允许有一个总报价，供应商不能提供任何有选择性或可调整的最后报价（竞争性磋商文件另有规定的除外），否则其响应无效。</w:t>
      </w:r>
    </w:p>
    <w:bookmarkEnd w:id="226"/>
    <w:p w14:paraId="652CEB04">
      <w:pPr>
        <w:wordWrap w:val="0"/>
        <w:spacing w:line="360" w:lineRule="auto"/>
        <w:ind w:left="720" w:hanging="720" w:hangingChars="300"/>
        <w:rPr>
          <w:rFonts w:hint="eastAsia" w:ascii="宋体" w:hAnsi="宋体" w:cs="仿宋"/>
          <w:sz w:val="24"/>
        </w:rPr>
      </w:pPr>
      <w:bookmarkStart w:id="227" w:name="_Hlk56443977"/>
      <w:r>
        <w:rPr>
          <w:rFonts w:ascii="宋体" w:hAnsi="宋体" w:cs="仿宋"/>
          <w:sz w:val="24"/>
        </w:rPr>
        <w:t>4</w:t>
      </w:r>
      <w:r>
        <w:rPr>
          <w:rFonts w:hint="eastAsia" w:ascii="宋体" w:hAnsi="宋体" w:cs="仿宋"/>
          <w:sz w:val="24"/>
        </w:rPr>
        <w:t>.4.</w:t>
      </w:r>
      <w:r>
        <w:rPr>
          <w:rFonts w:ascii="宋体" w:hAnsi="宋体" w:cs="仿宋"/>
          <w:sz w:val="24"/>
        </w:rPr>
        <w:t>10</w:t>
      </w:r>
      <w:r>
        <w:rPr>
          <w:rFonts w:hint="eastAsia" w:ascii="宋体" w:hAnsi="宋体" w:cs="仿宋"/>
          <w:sz w:val="24"/>
        </w:rPr>
        <w:t xml:space="preserve"> 供应商在提交最后总报价后，不得以任何理由再对最后总报价予以修改，最后总报价在响应文件有效期内是固定的，除竞争性磋商文件中约定的原因外，不能随意改变。</w:t>
      </w:r>
    </w:p>
    <w:p w14:paraId="0740DF55">
      <w:pPr>
        <w:wordWrap w:val="0"/>
        <w:spacing w:line="360" w:lineRule="auto"/>
        <w:ind w:left="720" w:hanging="720" w:hangingChars="300"/>
        <w:rPr>
          <w:rFonts w:hint="eastAsia" w:ascii="宋体" w:hAnsi="宋体" w:cs="宋体"/>
          <w:sz w:val="24"/>
        </w:rPr>
      </w:pPr>
      <w:r>
        <w:rPr>
          <w:rFonts w:ascii="宋体" w:hAnsi="宋体" w:cs="仿宋"/>
          <w:sz w:val="24"/>
        </w:rPr>
        <w:t>4</w:t>
      </w:r>
      <w:r>
        <w:rPr>
          <w:rFonts w:hint="eastAsia" w:ascii="宋体" w:hAnsi="宋体" w:cs="仿宋"/>
          <w:sz w:val="24"/>
        </w:rPr>
        <w:t>.4.</w:t>
      </w:r>
      <w:r>
        <w:rPr>
          <w:rFonts w:ascii="宋体" w:hAnsi="宋体" w:cs="仿宋"/>
          <w:sz w:val="24"/>
        </w:rPr>
        <w:t>11</w:t>
      </w:r>
      <w:r>
        <w:rPr>
          <w:rFonts w:hint="eastAsia" w:ascii="宋体" w:hAnsi="宋体" w:cs="仿宋"/>
          <w:sz w:val="24"/>
        </w:rPr>
        <w:t xml:space="preserve"> 供应商</w:t>
      </w:r>
      <w:r>
        <w:rPr>
          <w:rFonts w:hint="eastAsia" w:ascii="宋体" w:hAnsi="宋体" w:cs="宋体"/>
          <w:sz w:val="24"/>
        </w:rPr>
        <w:t>在报价时应考虑期间的物价上涨，政策性调整等诸多因素以及由此引起的费用变动并计入最终总报价。</w:t>
      </w:r>
    </w:p>
    <w:p w14:paraId="5EC4826A">
      <w:pPr>
        <w:wordWrap w:val="0"/>
        <w:spacing w:line="360" w:lineRule="auto"/>
        <w:ind w:left="480" w:hanging="480" w:hangingChars="200"/>
        <w:rPr>
          <w:rFonts w:hint="eastAsia" w:ascii="宋体" w:hAnsi="宋体" w:cs="宋体"/>
          <w:b/>
          <w:bCs/>
          <w:sz w:val="24"/>
        </w:rPr>
      </w:pPr>
      <w:r>
        <w:rPr>
          <w:rFonts w:ascii="宋体" w:hAnsi="宋体" w:cs="宋体"/>
          <w:sz w:val="24"/>
        </w:rPr>
        <w:t>4</w:t>
      </w:r>
      <w:r>
        <w:rPr>
          <w:rFonts w:hint="eastAsia" w:ascii="宋体" w:hAnsi="宋体" w:cs="宋体"/>
          <w:sz w:val="24"/>
        </w:rPr>
        <w:t>.4.</w:t>
      </w:r>
      <w:r>
        <w:rPr>
          <w:rFonts w:ascii="宋体" w:hAnsi="宋体" w:cs="宋体"/>
          <w:sz w:val="24"/>
        </w:rPr>
        <w:t>12</w:t>
      </w:r>
      <w:r>
        <w:rPr>
          <w:rFonts w:hint="eastAsia" w:ascii="宋体" w:hAnsi="宋体" w:cs="宋体"/>
          <w:sz w:val="24"/>
        </w:rPr>
        <w:t xml:space="preserve"> 采购人不接受具有附加条件的最后总报价或多个方案的最后总报价。</w:t>
      </w:r>
    </w:p>
    <w:p w14:paraId="33CC01BD">
      <w:pPr>
        <w:tabs>
          <w:tab w:val="left" w:pos="720"/>
        </w:tabs>
        <w:wordWrap w:val="0"/>
        <w:spacing w:line="360" w:lineRule="auto"/>
        <w:ind w:left="720" w:hanging="720" w:hangingChars="300"/>
        <w:rPr>
          <w:rFonts w:hint="eastAsia" w:ascii="宋体" w:hAnsi="宋体" w:cs="仿宋"/>
          <w:sz w:val="24"/>
        </w:rPr>
      </w:pPr>
      <w:r>
        <w:rPr>
          <w:rFonts w:ascii="宋体" w:hAnsi="宋体" w:cs="仿宋"/>
          <w:sz w:val="24"/>
        </w:rPr>
        <w:t>4</w:t>
      </w:r>
      <w:r>
        <w:rPr>
          <w:rFonts w:hint="eastAsia" w:ascii="宋体" w:hAnsi="宋体" w:cs="仿宋"/>
          <w:sz w:val="24"/>
        </w:rPr>
        <w:t>.4.</w:t>
      </w:r>
      <w:r>
        <w:rPr>
          <w:rFonts w:ascii="宋体" w:hAnsi="宋体" w:cs="仿宋"/>
          <w:sz w:val="24"/>
        </w:rPr>
        <w:t>13</w:t>
      </w:r>
      <w:r>
        <w:rPr>
          <w:rFonts w:hint="eastAsia" w:ascii="宋体" w:hAnsi="宋体" w:cs="仿宋"/>
          <w:sz w:val="24"/>
        </w:rPr>
        <w:t xml:space="preserve"> 供应商的最后总报价应是采购人指定地点完成工程</w:t>
      </w:r>
      <w:r>
        <w:rPr>
          <w:rFonts w:hint="eastAsia" w:ascii="宋体" w:hAnsi="宋体"/>
          <w:sz w:val="24"/>
        </w:rPr>
        <w:t>（伴随的货物及服务）</w:t>
      </w:r>
      <w:r>
        <w:rPr>
          <w:rFonts w:hint="eastAsia" w:ascii="宋体" w:hAnsi="宋体" w:cs="仿宋"/>
          <w:sz w:val="24"/>
        </w:rPr>
        <w:t>的价格总和，包括交付前发生的各种税费、保险费，以及伴随的其他服务费总和。</w:t>
      </w:r>
    </w:p>
    <w:p w14:paraId="346B7259">
      <w:pPr>
        <w:tabs>
          <w:tab w:val="left" w:pos="0"/>
        </w:tabs>
        <w:wordWrap w:val="0"/>
        <w:autoSpaceDE w:val="0"/>
        <w:autoSpaceDN w:val="0"/>
        <w:adjustRightInd w:val="0"/>
        <w:spacing w:before="100" w:after="100" w:line="360" w:lineRule="auto"/>
        <w:ind w:left="826" w:right="44" w:hanging="825" w:hangingChars="344"/>
        <w:jc w:val="left"/>
        <w:rPr>
          <w:rFonts w:hint="eastAsia" w:ascii="宋体" w:hAnsi="宋体" w:cs="仿宋"/>
          <w:sz w:val="24"/>
        </w:rPr>
      </w:pPr>
      <w:r>
        <w:rPr>
          <w:rFonts w:ascii="宋体" w:hAnsi="宋体"/>
          <w:kern w:val="0"/>
          <w:sz w:val="24"/>
          <w:szCs w:val="20"/>
        </w:rPr>
        <w:t>4</w:t>
      </w:r>
      <w:r>
        <w:rPr>
          <w:rFonts w:hint="eastAsia" w:ascii="宋体" w:hAnsi="宋体"/>
          <w:kern w:val="0"/>
          <w:sz w:val="24"/>
          <w:szCs w:val="20"/>
        </w:rPr>
        <w:t>.4.1</w:t>
      </w:r>
      <w:r>
        <w:rPr>
          <w:rFonts w:ascii="宋体" w:hAnsi="宋体"/>
          <w:kern w:val="0"/>
          <w:sz w:val="24"/>
          <w:szCs w:val="20"/>
        </w:rPr>
        <w:t>4</w:t>
      </w:r>
      <w:r>
        <w:rPr>
          <w:rFonts w:hint="eastAsia" w:ascii="宋体" w:hAnsi="宋体"/>
          <w:kern w:val="0"/>
          <w:sz w:val="24"/>
          <w:szCs w:val="20"/>
        </w:rPr>
        <w:t xml:space="preserve"> </w:t>
      </w:r>
      <w:r>
        <w:rPr>
          <w:rFonts w:hint="eastAsia" w:ascii="宋体" w:hAnsi="宋体" w:cs="仿宋"/>
          <w:sz w:val="24"/>
        </w:rPr>
        <w:t>供应商的提交响应文件总报价应是</w:t>
      </w:r>
      <w:r>
        <w:rPr>
          <w:rFonts w:hint="eastAsia" w:ascii="宋体" w:hAnsi="宋体"/>
          <w:kern w:val="0"/>
          <w:sz w:val="24"/>
          <w:szCs w:val="20"/>
        </w:rPr>
        <w:t>由供应商计算的完成竞争性磋商文件中规定的全部工作内容所需一切费用的期望值。</w:t>
      </w:r>
      <w:bookmarkEnd w:id="227"/>
    </w:p>
    <w:p w14:paraId="190E8D23">
      <w:pPr>
        <w:pStyle w:val="8"/>
        <w:wordWrap w:val="0"/>
        <w:spacing w:before="0" w:after="0" w:line="360" w:lineRule="auto"/>
        <w:rPr>
          <w:rFonts w:hint="eastAsia" w:ascii="黑体" w:hAnsi="黑体" w:eastAsia="黑体"/>
          <w:b w:val="0"/>
          <w:bCs w:val="0"/>
          <w:sz w:val="24"/>
          <w:szCs w:val="24"/>
        </w:rPr>
      </w:pPr>
      <w:bookmarkStart w:id="228" w:name="_Toc23901"/>
      <w:bookmarkStart w:id="229" w:name="_Toc57211957"/>
      <w:r>
        <w:rPr>
          <w:rFonts w:ascii="黑体" w:hAnsi="黑体" w:eastAsia="黑体"/>
          <w:b w:val="0"/>
          <w:bCs w:val="0"/>
          <w:sz w:val="24"/>
          <w:szCs w:val="24"/>
        </w:rPr>
        <w:t>4</w:t>
      </w:r>
      <w:r>
        <w:rPr>
          <w:rFonts w:hint="eastAsia" w:ascii="黑体" w:hAnsi="黑体" w:eastAsia="黑体"/>
          <w:b w:val="0"/>
          <w:bCs w:val="0"/>
          <w:sz w:val="24"/>
          <w:szCs w:val="24"/>
        </w:rPr>
        <w:t>.</w:t>
      </w:r>
      <w:r>
        <w:rPr>
          <w:rFonts w:ascii="黑体" w:hAnsi="黑体" w:eastAsia="黑体"/>
          <w:b w:val="0"/>
          <w:bCs w:val="0"/>
          <w:sz w:val="24"/>
          <w:szCs w:val="24"/>
        </w:rPr>
        <w:t>5</w:t>
      </w:r>
      <w:r>
        <w:rPr>
          <w:rFonts w:hint="eastAsia" w:ascii="黑体" w:hAnsi="黑体" w:eastAsia="黑体"/>
          <w:b w:val="0"/>
          <w:bCs w:val="0"/>
          <w:sz w:val="24"/>
          <w:szCs w:val="24"/>
        </w:rPr>
        <w:t xml:space="preserve"> 响应文件的制作</w:t>
      </w:r>
      <w:bookmarkEnd w:id="228"/>
      <w:bookmarkEnd w:id="229"/>
    </w:p>
    <w:p w14:paraId="5E493228">
      <w:pPr>
        <w:wordWrap w:val="0"/>
        <w:spacing w:line="360" w:lineRule="auto"/>
        <w:ind w:left="720" w:hanging="720" w:hangingChars="300"/>
        <w:rPr>
          <w:rFonts w:hint="eastAsia" w:ascii="宋体" w:hAnsi="宋体" w:cs="仿宋"/>
          <w:strike/>
          <w:sz w:val="24"/>
        </w:rPr>
      </w:pPr>
      <w:r>
        <w:rPr>
          <w:rFonts w:ascii="宋体" w:hAnsi="宋体" w:cs="仿宋"/>
          <w:sz w:val="24"/>
        </w:rPr>
        <w:t>4</w:t>
      </w:r>
      <w:r>
        <w:rPr>
          <w:rFonts w:hint="eastAsia" w:ascii="宋体" w:hAnsi="宋体" w:cs="仿宋"/>
          <w:sz w:val="24"/>
        </w:rPr>
        <w:t>.</w:t>
      </w:r>
      <w:r>
        <w:rPr>
          <w:rFonts w:ascii="宋体" w:hAnsi="宋体" w:cs="仿宋"/>
          <w:sz w:val="24"/>
        </w:rPr>
        <w:t>5</w:t>
      </w:r>
      <w:r>
        <w:rPr>
          <w:rFonts w:hint="eastAsia" w:ascii="宋体" w:hAnsi="宋体" w:cs="仿宋"/>
          <w:sz w:val="24"/>
        </w:rPr>
        <w:t>.1 响应文件格式所要求包含的全部资料应全部制作在响应文件内（格式中写明可以不提供的除外），按照本项目竞争性磋商文件中提供的所有格式如实填写（不涉及的内容除外），不应存在漏项或缺项，否则将存在响应文件被拒绝的风险。</w:t>
      </w:r>
    </w:p>
    <w:p w14:paraId="39161C72">
      <w:pPr>
        <w:wordWrap w:val="0"/>
        <w:spacing w:line="360" w:lineRule="auto"/>
        <w:ind w:left="720" w:hanging="720" w:hangingChars="300"/>
        <w:rPr>
          <w:rFonts w:hint="eastAsia" w:ascii="宋体" w:hAnsi="宋体" w:cs="仿宋"/>
          <w:sz w:val="24"/>
        </w:rPr>
      </w:pPr>
      <w:bookmarkStart w:id="230" w:name="_Hlk164349714"/>
      <w:r>
        <w:rPr>
          <w:rFonts w:ascii="宋体" w:hAnsi="宋体"/>
          <w:sz w:val="24"/>
        </w:rPr>
        <w:t>4</w:t>
      </w:r>
      <w:r>
        <w:rPr>
          <w:rFonts w:hint="eastAsia" w:ascii="宋体" w:hAnsi="宋体"/>
          <w:sz w:val="24"/>
        </w:rPr>
        <w:t>.</w:t>
      </w:r>
      <w:r>
        <w:rPr>
          <w:rFonts w:ascii="宋体" w:hAnsi="宋体"/>
          <w:sz w:val="24"/>
        </w:rPr>
        <w:t>5</w:t>
      </w:r>
      <w:r>
        <w:rPr>
          <w:rFonts w:hint="eastAsia" w:ascii="宋体" w:hAnsi="宋体"/>
          <w:sz w:val="24"/>
        </w:rPr>
        <w:t xml:space="preserve">.2 </w:t>
      </w:r>
      <w:r>
        <w:rPr>
          <w:rFonts w:hint="eastAsia" w:ascii="宋体" w:hAnsi="宋体" w:cs="仿宋"/>
          <w:sz w:val="24"/>
        </w:rPr>
        <w:t>响应文件的签字或盖章：供应商必须按照竞争性磋商文件的要求签字、盖章</w:t>
      </w:r>
      <w:bookmarkEnd w:id="230"/>
      <w:bookmarkStart w:id="231" w:name="_Hlk56444404"/>
      <w:bookmarkStart w:id="232" w:name="_Hlk86854982"/>
      <w:r>
        <w:rPr>
          <w:rFonts w:hint="eastAsia" w:ascii="宋体" w:hAnsi="宋体" w:cs="仿宋"/>
          <w:sz w:val="24"/>
        </w:rPr>
        <w:t>。</w:t>
      </w:r>
    </w:p>
    <w:bookmarkEnd w:id="231"/>
    <w:bookmarkEnd w:id="232"/>
    <w:p w14:paraId="204E1B2E">
      <w:pPr>
        <w:wordWrap w:val="0"/>
        <w:spacing w:line="360" w:lineRule="auto"/>
        <w:ind w:left="720" w:hanging="720" w:hangingChars="300"/>
        <w:rPr>
          <w:rFonts w:hint="eastAsia" w:ascii="宋体" w:hAnsi="宋体" w:cs="仿宋"/>
          <w:sz w:val="24"/>
        </w:rPr>
      </w:pPr>
      <w:bookmarkStart w:id="233" w:name="_Hlk57218246"/>
      <w:bookmarkStart w:id="234" w:name="_Hlk57213248"/>
      <w:r>
        <w:rPr>
          <w:rFonts w:ascii="宋体" w:hAnsi="宋体" w:cs="仿宋"/>
          <w:sz w:val="24"/>
        </w:rPr>
        <w:t>4.5.</w:t>
      </w:r>
      <w:r>
        <w:rPr>
          <w:rFonts w:hint="eastAsia" w:ascii="宋体" w:hAnsi="宋体" w:cs="仿宋"/>
          <w:sz w:val="24"/>
        </w:rPr>
        <w:t>3</w:t>
      </w:r>
      <w:r>
        <w:rPr>
          <w:rFonts w:ascii="宋体" w:hAnsi="宋体" w:cs="仿宋"/>
          <w:sz w:val="24"/>
        </w:rPr>
        <w:t xml:space="preserve"> </w:t>
      </w:r>
      <w:r>
        <w:rPr>
          <w:rFonts w:hint="eastAsia" w:ascii="宋体" w:hAnsi="宋体" w:cs="仿宋"/>
          <w:sz w:val="24"/>
        </w:rPr>
        <w:t>响应文件的修改：在提交响应文件截止时间之前，供应商如果对响应文件进行了修改，则应在修改处加</w:t>
      </w:r>
      <w:bookmarkStart w:id="235" w:name="_Hlk166399646"/>
      <w:r>
        <w:rPr>
          <w:rFonts w:hint="eastAsia" w:ascii="宋体" w:hAnsi="宋体" w:cs="仿宋"/>
          <w:sz w:val="24"/>
        </w:rPr>
        <w:t>盖</w:t>
      </w:r>
      <w:r>
        <w:rPr>
          <w:rFonts w:hint="eastAsia" w:ascii="宋体" w:hAnsi="宋体" w:cs="宋体"/>
          <w:sz w:val="24"/>
        </w:rPr>
        <w:t>单位的公章</w:t>
      </w:r>
      <w:r>
        <w:rPr>
          <w:rFonts w:hint="eastAsia" w:ascii="宋体" w:hAnsi="宋体" w:cs="仿宋"/>
          <w:sz w:val="24"/>
        </w:rPr>
        <w:t>。</w:t>
      </w:r>
      <w:bookmarkEnd w:id="233"/>
      <w:bookmarkEnd w:id="235"/>
    </w:p>
    <w:p w14:paraId="6F757E69">
      <w:pPr>
        <w:pStyle w:val="8"/>
        <w:wordWrap w:val="0"/>
        <w:spacing w:before="0" w:after="0" w:line="360" w:lineRule="auto"/>
        <w:rPr>
          <w:rFonts w:hint="eastAsia" w:ascii="黑体" w:hAnsi="黑体" w:eastAsia="黑体"/>
          <w:b w:val="0"/>
          <w:bCs w:val="0"/>
          <w:sz w:val="24"/>
          <w:szCs w:val="24"/>
        </w:rPr>
      </w:pPr>
      <w:bookmarkStart w:id="236" w:name="_Toc18286"/>
      <w:bookmarkStart w:id="237" w:name="_Toc57211955"/>
      <w:r>
        <w:rPr>
          <w:rFonts w:ascii="黑体" w:hAnsi="黑体" w:eastAsia="黑体"/>
          <w:b w:val="0"/>
          <w:bCs w:val="0"/>
          <w:sz w:val="24"/>
          <w:szCs w:val="24"/>
        </w:rPr>
        <w:t>4</w:t>
      </w:r>
      <w:r>
        <w:rPr>
          <w:rFonts w:hint="eastAsia" w:ascii="黑体" w:hAnsi="黑体" w:eastAsia="黑体"/>
          <w:b w:val="0"/>
          <w:bCs w:val="0"/>
          <w:sz w:val="24"/>
          <w:szCs w:val="24"/>
        </w:rPr>
        <w:t>.</w:t>
      </w:r>
      <w:r>
        <w:rPr>
          <w:rFonts w:ascii="黑体" w:hAnsi="黑体" w:eastAsia="黑体"/>
          <w:b w:val="0"/>
          <w:bCs w:val="0"/>
          <w:sz w:val="24"/>
          <w:szCs w:val="24"/>
        </w:rPr>
        <w:t>6</w:t>
      </w:r>
      <w:r>
        <w:rPr>
          <w:rFonts w:hint="eastAsia" w:ascii="黑体" w:hAnsi="黑体" w:eastAsia="黑体"/>
          <w:b w:val="0"/>
          <w:bCs w:val="0"/>
          <w:sz w:val="24"/>
          <w:szCs w:val="24"/>
        </w:rPr>
        <w:t xml:space="preserve"> 提交响应文件保证金</w:t>
      </w:r>
      <w:bookmarkEnd w:id="236"/>
      <w:bookmarkEnd w:id="237"/>
    </w:p>
    <w:p w14:paraId="097F8606">
      <w:pPr>
        <w:wordWrap w:val="0"/>
        <w:spacing w:line="360" w:lineRule="auto"/>
        <w:rPr>
          <w:rFonts w:hint="eastAsia" w:ascii="宋体" w:hAnsi="宋体"/>
          <w:sz w:val="24"/>
        </w:rPr>
      </w:pPr>
      <w:r>
        <w:rPr>
          <w:rFonts w:ascii="宋体" w:hAnsi="宋体"/>
          <w:sz w:val="24"/>
        </w:rPr>
        <w:t>4.6.1</w:t>
      </w:r>
      <w:r>
        <w:rPr>
          <w:rFonts w:hint="eastAsia" w:ascii="宋体" w:hAnsi="宋体"/>
          <w:sz w:val="24"/>
        </w:rPr>
        <w:t>参加本项目采购活动的供应商无需交纳提交响应文件保证金。</w:t>
      </w:r>
    </w:p>
    <w:p w14:paraId="7C453BAA">
      <w:pPr>
        <w:pStyle w:val="8"/>
        <w:wordWrap w:val="0"/>
        <w:spacing w:before="0" w:after="0" w:line="360" w:lineRule="auto"/>
        <w:rPr>
          <w:rFonts w:hint="eastAsia" w:ascii="黑体" w:hAnsi="黑体" w:eastAsia="黑体"/>
          <w:b w:val="0"/>
          <w:bCs w:val="0"/>
          <w:sz w:val="24"/>
          <w:szCs w:val="24"/>
        </w:rPr>
      </w:pPr>
      <w:bookmarkStart w:id="238" w:name="_Toc28191"/>
      <w:bookmarkStart w:id="239" w:name="_Toc57211956"/>
      <w:r>
        <w:rPr>
          <w:rFonts w:ascii="黑体" w:hAnsi="黑体" w:eastAsia="黑体"/>
          <w:b w:val="0"/>
          <w:bCs w:val="0"/>
          <w:sz w:val="24"/>
          <w:szCs w:val="24"/>
        </w:rPr>
        <w:t>4</w:t>
      </w:r>
      <w:r>
        <w:rPr>
          <w:rFonts w:hint="eastAsia" w:ascii="黑体" w:hAnsi="黑体" w:eastAsia="黑体"/>
          <w:b w:val="0"/>
          <w:bCs w:val="0"/>
          <w:sz w:val="24"/>
          <w:szCs w:val="24"/>
        </w:rPr>
        <w:t>.</w:t>
      </w:r>
      <w:r>
        <w:rPr>
          <w:rFonts w:ascii="黑体" w:hAnsi="黑体" w:eastAsia="黑体"/>
          <w:b w:val="0"/>
          <w:bCs w:val="0"/>
          <w:sz w:val="24"/>
          <w:szCs w:val="24"/>
        </w:rPr>
        <w:t>7</w:t>
      </w:r>
      <w:r>
        <w:rPr>
          <w:rFonts w:hint="eastAsia" w:ascii="黑体" w:hAnsi="黑体" w:eastAsia="黑体"/>
          <w:b w:val="0"/>
          <w:bCs w:val="0"/>
          <w:sz w:val="24"/>
          <w:szCs w:val="24"/>
        </w:rPr>
        <w:t xml:space="preserve"> 提交响应文件有效期</w:t>
      </w:r>
      <w:bookmarkEnd w:id="238"/>
      <w:bookmarkEnd w:id="239"/>
    </w:p>
    <w:p w14:paraId="070EDE66">
      <w:pPr>
        <w:wordWrap w:val="0"/>
        <w:spacing w:line="360" w:lineRule="auto"/>
        <w:ind w:left="720" w:hanging="720" w:hangingChars="300"/>
        <w:rPr>
          <w:rFonts w:hint="eastAsia" w:ascii="宋体" w:hAnsi="宋体"/>
          <w:sz w:val="24"/>
        </w:rPr>
      </w:pPr>
      <w:r>
        <w:rPr>
          <w:rFonts w:ascii="宋体" w:hAnsi="宋体"/>
          <w:sz w:val="24"/>
        </w:rPr>
        <w:t>4</w:t>
      </w:r>
      <w:r>
        <w:rPr>
          <w:rFonts w:hint="eastAsia" w:ascii="宋体" w:hAnsi="宋体"/>
          <w:sz w:val="24"/>
        </w:rPr>
        <w:t>.</w:t>
      </w:r>
      <w:r>
        <w:rPr>
          <w:rFonts w:ascii="宋体" w:hAnsi="宋体"/>
          <w:sz w:val="24"/>
        </w:rPr>
        <w:t>7</w:t>
      </w:r>
      <w:r>
        <w:rPr>
          <w:rFonts w:hint="eastAsia" w:ascii="宋体" w:hAnsi="宋体"/>
          <w:sz w:val="24"/>
        </w:rPr>
        <w:t xml:space="preserve">.1 </w:t>
      </w:r>
      <w:r>
        <w:rPr>
          <w:rFonts w:hint="eastAsia" w:ascii="宋体" w:hAnsi="宋体"/>
          <w:b/>
          <w:bCs/>
          <w:sz w:val="24"/>
        </w:rPr>
        <w:t>响应文件应在</w:t>
      </w:r>
      <w:r>
        <w:rPr>
          <w:rFonts w:hint="eastAsia" w:ascii="宋体" w:hAnsi="宋体"/>
          <w:b/>
          <w:bCs/>
          <w:sz w:val="24"/>
          <w:u w:val="single"/>
        </w:rPr>
        <w:t>供应商须知前附表</w:t>
      </w:r>
      <w:r>
        <w:rPr>
          <w:rFonts w:hint="eastAsia" w:ascii="宋体" w:hAnsi="宋体"/>
          <w:b/>
          <w:bCs/>
          <w:sz w:val="24"/>
        </w:rPr>
        <w:t>中规定时间内保持有效。提交响应文件有效期不满足要求的响应文件，将被认定为无效响应文件</w:t>
      </w:r>
      <w:r>
        <w:rPr>
          <w:rFonts w:hint="eastAsia" w:ascii="宋体" w:hAnsi="宋体"/>
          <w:sz w:val="24"/>
        </w:rPr>
        <w:t>。</w:t>
      </w:r>
    </w:p>
    <w:p w14:paraId="6076A96C">
      <w:pPr>
        <w:wordWrap w:val="0"/>
        <w:spacing w:line="360" w:lineRule="auto"/>
        <w:ind w:left="720" w:hanging="720" w:hangingChars="300"/>
        <w:rPr>
          <w:rFonts w:hint="eastAsia" w:ascii="宋体" w:hAnsi="宋体"/>
          <w:sz w:val="24"/>
        </w:rPr>
      </w:pPr>
      <w:r>
        <w:rPr>
          <w:rFonts w:ascii="宋体" w:hAnsi="宋体"/>
          <w:sz w:val="24"/>
        </w:rPr>
        <w:t>4</w:t>
      </w:r>
      <w:r>
        <w:rPr>
          <w:rFonts w:hint="eastAsia" w:ascii="宋体" w:hAnsi="宋体"/>
          <w:sz w:val="24"/>
        </w:rPr>
        <w:t>.</w:t>
      </w:r>
      <w:r>
        <w:rPr>
          <w:rFonts w:ascii="宋体" w:hAnsi="宋体"/>
          <w:sz w:val="24"/>
        </w:rPr>
        <w:t>7</w:t>
      </w:r>
      <w:r>
        <w:rPr>
          <w:rFonts w:hint="eastAsia" w:ascii="宋体" w:hAnsi="宋体"/>
          <w:sz w:val="24"/>
        </w:rPr>
        <w:t>.2 因特殊原因，采购人或采购代理机构可在原提交响应文件有效期截止之前，要求供应商延长响应文件的有效期。接受该要求的供应商将不会被要求和允许修正其响应文件。供应商也可以拒绝延长响应文件</w:t>
      </w:r>
      <w:r>
        <w:rPr>
          <w:rFonts w:ascii="宋体" w:hAnsi="宋体"/>
          <w:sz w:val="24"/>
        </w:rPr>
        <w:t>有效期的</w:t>
      </w:r>
      <w:r>
        <w:rPr>
          <w:rFonts w:hint="eastAsia" w:ascii="宋体" w:hAnsi="宋体"/>
          <w:sz w:val="24"/>
        </w:rPr>
        <w:t>要求，且不承担任何责任。上述要求和答复都应以书面形式提交。</w:t>
      </w:r>
    </w:p>
    <w:bookmarkEnd w:id="234"/>
    <w:p w14:paraId="434E812E">
      <w:pPr>
        <w:pStyle w:val="7"/>
        <w:wordWrap w:val="0"/>
        <w:spacing w:before="0" w:after="0" w:line="360" w:lineRule="auto"/>
        <w:rPr>
          <w:rFonts w:hint="eastAsia" w:ascii="黑体" w:hAnsi="黑体"/>
          <w:b w:val="0"/>
          <w:bCs w:val="0"/>
          <w:sz w:val="24"/>
        </w:rPr>
      </w:pPr>
      <w:bookmarkStart w:id="240" w:name="_Toc57211958"/>
      <w:bookmarkStart w:id="241" w:name="_Toc10897"/>
      <w:bookmarkStart w:id="242" w:name="_Toc10708"/>
      <w:bookmarkStart w:id="243" w:name="_Toc26063"/>
      <w:bookmarkStart w:id="244" w:name="_Toc4862"/>
      <w:bookmarkStart w:id="245" w:name="_Toc31574"/>
      <w:r>
        <w:rPr>
          <w:rFonts w:hint="eastAsia" w:ascii="黑体" w:hAnsi="黑体"/>
          <w:b w:val="0"/>
          <w:bCs w:val="0"/>
          <w:sz w:val="24"/>
        </w:rPr>
        <w:t>5.响应文件的</w:t>
      </w:r>
      <w:bookmarkEnd w:id="240"/>
      <w:r>
        <w:rPr>
          <w:rFonts w:hint="eastAsia" w:ascii="黑体" w:hAnsi="黑体"/>
          <w:b w:val="0"/>
          <w:bCs w:val="0"/>
          <w:sz w:val="24"/>
        </w:rPr>
        <w:t>提交</w:t>
      </w:r>
      <w:bookmarkEnd w:id="241"/>
      <w:bookmarkEnd w:id="242"/>
      <w:bookmarkEnd w:id="243"/>
      <w:bookmarkEnd w:id="244"/>
      <w:bookmarkEnd w:id="245"/>
    </w:p>
    <w:p w14:paraId="35BE9F99">
      <w:pPr>
        <w:pStyle w:val="8"/>
        <w:wordWrap w:val="0"/>
        <w:spacing w:before="0" w:after="0" w:line="360" w:lineRule="auto"/>
        <w:rPr>
          <w:rFonts w:hint="eastAsia" w:ascii="黑体" w:hAnsi="黑体" w:eastAsia="黑体"/>
          <w:b w:val="0"/>
          <w:bCs w:val="0"/>
          <w:sz w:val="24"/>
          <w:szCs w:val="24"/>
        </w:rPr>
      </w:pPr>
      <w:bookmarkStart w:id="246" w:name="_Toc11298"/>
      <w:bookmarkStart w:id="247" w:name="_Toc57211959"/>
      <w:r>
        <w:rPr>
          <w:rFonts w:ascii="黑体" w:hAnsi="黑体" w:eastAsia="黑体"/>
          <w:b w:val="0"/>
          <w:bCs w:val="0"/>
          <w:sz w:val="24"/>
          <w:szCs w:val="24"/>
        </w:rPr>
        <w:t>5</w:t>
      </w:r>
      <w:r>
        <w:rPr>
          <w:rFonts w:hint="eastAsia" w:ascii="黑体" w:hAnsi="黑体" w:eastAsia="黑体"/>
          <w:b w:val="0"/>
          <w:bCs w:val="0"/>
          <w:sz w:val="24"/>
          <w:szCs w:val="24"/>
        </w:rPr>
        <w:t>.1 响应文件的密封和标记</w:t>
      </w:r>
      <w:bookmarkEnd w:id="246"/>
      <w:bookmarkEnd w:id="247"/>
    </w:p>
    <w:p w14:paraId="6CFD7AE9">
      <w:pPr>
        <w:wordWrap w:val="0"/>
        <w:adjustRightInd w:val="0"/>
        <w:snapToGrid w:val="0"/>
        <w:spacing w:line="360" w:lineRule="auto"/>
        <w:ind w:left="480" w:hanging="480" w:hangingChars="200"/>
        <w:rPr>
          <w:rFonts w:hint="eastAsia" w:ascii="宋体" w:hAnsi="宋体"/>
          <w:sz w:val="24"/>
        </w:rPr>
      </w:pPr>
      <w:bookmarkStart w:id="248" w:name="_Hlk164350440"/>
      <w:r>
        <w:rPr>
          <w:rFonts w:ascii="宋体" w:hAnsi="宋体"/>
          <w:sz w:val="24"/>
        </w:rPr>
        <w:t>5</w:t>
      </w:r>
      <w:r>
        <w:rPr>
          <w:rFonts w:hint="eastAsia" w:ascii="宋体" w:hAnsi="宋体"/>
          <w:sz w:val="24"/>
        </w:rPr>
        <w:t>.1.1响应文件的密封和标记：</w:t>
      </w:r>
      <w:r>
        <w:rPr>
          <w:rFonts w:hint="eastAsia" w:ascii="宋体" w:hAnsi="宋体"/>
          <w:b/>
          <w:sz w:val="24"/>
          <w:u w:val="single"/>
        </w:rPr>
        <w:t>见供应商须知前附表</w:t>
      </w:r>
      <w:r>
        <w:rPr>
          <w:rFonts w:hint="eastAsia" w:ascii="宋体" w:hAnsi="宋体"/>
          <w:sz w:val="24"/>
        </w:rPr>
        <w:t>。</w:t>
      </w:r>
    </w:p>
    <w:p w14:paraId="53611DAD">
      <w:pPr>
        <w:wordWrap w:val="0"/>
        <w:adjustRightInd w:val="0"/>
        <w:snapToGrid w:val="0"/>
        <w:spacing w:line="360" w:lineRule="auto"/>
        <w:ind w:left="480" w:hanging="480" w:hangingChars="200"/>
        <w:rPr>
          <w:rFonts w:hint="eastAsia" w:ascii="宋体" w:hAnsi="宋体"/>
          <w:sz w:val="24"/>
        </w:rPr>
      </w:pPr>
      <w:r>
        <w:rPr>
          <w:rFonts w:hint="eastAsia" w:ascii="宋体" w:hAnsi="宋体"/>
          <w:sz w:val="24"/>
        </w:rPr>
        <w:t>5.1.2响应文件的份数和其他要求：</w:t>
      </w:r>
      <w:r>
        <w:rPr>
          <w:rFonts w:hint="eastAsia" w:ascii="宋体" w:hAnsi="宋体"/>
          <w:b/>
          <w:sz w:val="24"/>
          <w:u w:val="single"/>
        </w:rPr>
        <w:t>见供应商须知前附表</w:t>
      </w:r>
      <w:r>
        <w:rPr>
          <w:rFonts w:hint="eastAsia" w:ascii="宋体" w:hAnsi="宋体"/>
          <w:sz w:val="24"/>
        </w:rPr>
        <w:t>。</w:t>
      </w:r>
    </w:p>
    <w:bookmarkEnd w:id="248"/>
    <w:p w14:paraId="4FBC5861">
      <w:pPr>
        <w:pStyle w:val="8"/>
        <w:wordWrap w:val="0"/>
        <w:spacing w:before="0" w:after="0" w:line="360" w:lineRule="auto"/>
        <w:rPr>
          <w:rFonts w:hint="eastAsia" w:ascii="黑体" w:hAnsi="黑体" w:eastAsia="黑体"/>
          <w:b w:val="0"/>
          <w:bCs w:val="0"/>
          <w:sz w:val="24"/>
          <w:szCs w:val="24"/>
        </w:rPr>
      </w:pPr>
      <w:bookmarkStart w:id="249" w:name="_Toc16114"/>
      <w:bookmarkStart w:id="250" w:name="_Toc57211960"/>
      <w:r>
        <w:rPr>
          <w:rFonts w:ascii="黑体" w:hAnsi="黑体" w:eastAsia="黑体"/>
          <w:b w:val="0"/>
          <w:bCs w:val="0"/>
          <w:sz w:val="24"/>
          <w:szCs w:val="24"/>
        </w:rPr>
        <w:t>5</w:t>
      </w:r>
      <w:r>
        <w:rPr>
          <w:rFonts w:hint="eastAsia" w:ascii="黑体" w:hAnsi="黑体" w:eastAsia="黑体"/>
          <w:b w:val="0"/>
          <w:bCs w:val="0"/>
          <w:sz w:val="24"/>
          <w:szCs w:val="24"/>
        </w:rPr>
        <w:t>.2 提交响应文件截止时间</w:t>
      </w:r>
      <w:bookmarkEnd w:id="249"/>
      <w:bookmarkEnd w:id="250"/>
    </w:p>
    <w:p w14:paraId="0797559C">
      <w:pPr>
        <w:tabs>
          <w:tab w:val="left" w:pos="360"/>
          <w:tab w:val="left" w:pos="720"/>
          <w:tab w:val="left" w:pos="1185"/>
        </w:tabs>
        <w:wordWrap w:val="0"/>
        <w:spacing w:line="360" w:lineRule="auto"/>
        <w:rPr>
          <w:rFonts w:hint="eastAsia" w:ascii="宋体" w:hAnsi="宋体" w:cs="仿宋"/>
          <w:sz w:val="24"/>
        </w:rPr>
      </w:pPr>
      <w:r>
        <w:rPr>
          <w:rFonts w:ascii="宋体" w:hAnsi="宋体"/>
          <w:sz w:val="24"/>
        </w:rPr>
        <w:t>5</w:t>
      </w:r>
      <w:r>
        <w:rPr>
          <w:rFonts w:hint="eastAsia" w:ascii="宋体" w:hAnsi="宋体"/>
          <w:sz w:val="24"/>
        </w:rPr>
        <w:t>.2.1 提交响应文件截止时间（响应文件提交的截止时间）：</w:t>
      </w:r>
      <w:r>
        <w:rPr>
          <w:rFonts w:hint="eastAsia" w:ascii="宋体" w:hAnsi="宋体"/>
          <w:b/>
          <w:sz w:val="24"/>
          <w:u w:val="single"/>
        </w:rPr>
        <w:t>见供应商须知前附表</w:t>
      </w:r>
      <w:r>
        <w:rPr>
          <w:rFonts w:hint="eastAsia" w:ascii="宋体" w:hAnsi="宋体"/>
          <w:sz w:val="24"/>
        </w:rPr>
        <w:t>。</w:t>
      </w:r>
    </w:p>
    <w:p w14:paraId="53BC0961">
      <w:pPr>
        <w:tabs>
          <w:tab w:val="left" w:pos="360"/>
          <w:tab w:val="left" w:pos="720"/>
          <w:tab w:val="left" w:pos="1185"/>
        </w:tabs>
        <w:wordWrap w:val="0"/>
        <w:spacing w:line="360" w:lineRule="auto"/>
        <w:ind w:left="720" w:hanging="720" w:hangingChars="300"/>
        <w:rPr>
          <w:rFonts w:hint="eastAsia" w:ascii="宋体" w:hAnsi="宋体" w:cs="仿宋"/>
          <w:sz w:val="24"/>
        </w:rPr>
      </w:pPr>
      <w:r>
        <w:rPr>
          <w:rFonts w:ascii="宋体" w:hAnsi="宋体" w:cs="仿宋"/>
          <w:sz w:val="24"/>
        </w:rPr>
        <w:t>5</w:t>
      </w:r>
      <w:r>
        <w:rPr>
          <w:rFonts w:hint="eastAsia" w:ascii="宋体" w:hAnsi="宋体" w:cs="仿宋"/>
          <w:sz w:val="24"/>
        </w:rPr>
        <w:t>.2.2 采购人和采购代理机构可以按本章的规定，通过修改竞争性磋商文件自行决定是否酌情延长</w:t>
      </w:r>
      <w:r>
        <w:rPr>
          <w:rFonts w:hint="eastAsia" w:ascii="宋体" w:hAnsi="宋体"/>
          <w:sz w:val="24"/>
        </w:rPr>
        <w:t>响应文件提交截止时间的</w:t>
      </w:r>
      <w:r>
        <w:rPr>
          <w:rFonts w:hint="eastAsia" w:ascii="宋体" w:hAnsi="宋体" w:cs="仿宋"/>
          <w:sz w:val="24"/>
        </w:rPr>
        <w:t>期限。</w:t>
      </w:r>
      <w:bookmarkStart w:id="251" w:name="_Hlk57213292"/>
      <w:r>
        <w:rPr>
          <w:rFonts w:hint="eastAsia" w:ascii="宋体" w:hAnsi="宋体" w:cs="仿宋"/>
          <w:sz w:val="24"/>
        </w:rPr>
        <w:t>如果采购人和采购代理机构延长了</w:t>
      </w:r>
      <w:r>
        <w:rPr>
          <w:rFonts w:hint="eastAsia" w:ascii="宋体" w:hAnsi="宋体"/>
          <w:sz w:val="24"/>
        </w:rPr>
        <w:t>响应文件提交截止时间的</w:t>
      </w:r>
      <w:r>
        <w:rPr>
          <w:rFonts w:hint="eastAsia" w:ascii="宋体" w:hAnsi="宋体" w:cs="仿宋"/>
          <w:sz w:val="24"/>
        </w:rPr>
        <w:t>期限，供应商提交响应文件的截止时间则以延长后的时间为准。</w:t>
      </w:r>
      <w:bookmarkEnd w:id="251"/>
    </w:p>
    <w:p w14:paraId="6FC0A18E">
      <w:pPr>
        <w:tabs>
          <w:tab w:val="left" w:pos="360"/>
          <w:tab w:val="left" w:pos="720"/>
          <w:tab w:val="left" w:pos="1185"/>
        </w:tabs>
        <w:wordWrap w:val="0"/>
        <w:spacing w:line="360" w:lineRule="auto"/>
        <w:rPr>
          <w:rFonts w:hint="eastAsia" w:ascii="宋体" w:hAnsi="宋体"/>
          <w:sz w:val="24"/>
        </w:rPr>
      </w:pPr>
      <w:r>
        <w:rPr>
          <w:rFonts w:ascii="宋体" w:hAnsi="宋体" w:cs="仿宋"/>
          <w:b/>
          <w:bCs/>
          <w:sz w:val="24"/>
        </w:rPr>
        <w:t>5</w:t>
      </w:r>
      <w:r>
        <w:rPr>
          <w:rFonts w:hint="eastAsia" w:ascii="宋体" w:hAnsi="宋体" w:cs="仿宋"/>
          <w:b/>
          <w:bCs/>
          <w:sz w:val="24"/>
        </w:rPr>
        <w:t>.2.3迟交的响应文件</w:t>
      </w:r>
    </w:p>
    <w:p w14:paraId="4C02C430">
      <w:pPr>
        <w:tabs>
          <w:tab w:val="left" w:pos="360"/>
          <w:tab w:val="left" w:pos="720"/>
          <w:tab w:val="left" w:pos="1185"/>
        </w:tabs>
        <w:wordWrap w:val="0"/>
        <w:spacing w:line="360" w:lineRule="auto"/>
        <w:ind w:firstLine="720" w:firstLineChars="300"/>
        <w:rPr>
          <w:rFonts w:hint="eastAsia" w:ascii="宋体" w:hAnsi="宋体"/>
          <w:sz w:val="24"/>
        </w:rPr>
      </w:pPr>
      <w:r>
        <w:rPr>
          <w:rFonts w:hint="eastAsia" w:ascii="宋体" w:hAnsi="宋体" w:cs="仿宋"/>
          <w:sz w:val="24"/>
        </w:rPr>
        <w:t>采购人和采购代理机构将拒绝在规定的时间内未提交的响应文件。</w:t>
      </w:r>
    </w:p>
    <w:p w14:paraId="212D4C2B">
      <w:pPr>
        <w:pStyle w:val="8"/>
        <w:wordWrap w:val="0"/>
        <w:spacing w:before="0" w:after="0" w:line="360" w:lineRule="auto"/>
        <w:rPr>
          <w:rFonts w:hint="eastAsia" w:ascii="黑体" w:hAnsi="黑体" w:eastAsia="黑体"/>
          <w:b w:val="0"/>
          <w:bCs w:val="0"/>
          <w:sz w:val="24"/>
          <w:szCs w:val="24"/>
        </w:rPr>
      </w:pPr>
      <w:bookmarkStart w:id="252" w:name="_Toc57211961"/>
      <w:bookmarkStart w:id="253" w:name="_Toc19289"/>
      <w:r>
        <w:rPr>
          <w:rFonts w:ascii="黑体" w:hAnsi="黑体" w:eastAsia="黑体"/>
          <w:b w:val="0"/>
          <w:bCs w:val="0"/>
          <w:sz w:val="24"/>
          <w:szCs w:val="24"/>
        </w:rPr>
        <w:t>5</w:t>
      </w:r>
      <w:r>
        <w:rPr>
          <w:rFonts w:hint="eastAsia" w:ascii="黑体" w:hAnsi="黑体" w:eastAsia="黑体"/>
          <w:b w:val="0"/>
          <w:bCs w:val="0"/>
          <w:sz w:val="24"/>
          <w:szCs w:val="24"/>
        </w:rPr>
        <w:t>.3 响应文件的提交、修改与撤回</w:t>
      </w:r>
      <w:bookmarkEnd w:id="252"/>
      <w:bookmarkEnd w:id="253"/>
    </w:p>
    <w:p w14:paraId="61CFC238">
      <w:pPr>
        <w:tabs>
          <w:tab w:val="left" w:pos="360"/>
          <w:tab w:val="left" w:pos="720"/>
        </w:tabs>
        <w:wordWrap w:val="0"/>
        <w:spacing w:line="360" w:lineRule="auto"/>
        <w:rPr>
          <w:rFonts w:hint="eastAsia" w:ascii="宋体" w:hAnsi="宋体" w:cs="仿宋"/>
          <w:b/>
          <w:bCs/>
          <w:sz w:val="24"/>
        </w:rPr>
      </w:pPr>
      <w:r>
        <w:rPr>
          <w:rFonts w:ascii="宋体" w:hAnsi="宋体" w:cs="仿宋"/>
          <w:b/>
          <w:bCs/>
          <w:sz w:val="24"/>
        </w:rPr>
        <w:t>5</w:t>
      </w:r>
      <w:r>
        <w:rPr>
          <w:rFonts w:hint="eastAsia" w:ascii="宋体" w:hAnsi="宋体" w:cs="仿宋"/>
          <w:b/>
          <w:bCs/>
          <w:sz w:val="24"/>
        </w:rPr>
        <w:t>.3.1 响应文件的提交</w:t>
      </w:r>
    </w:p>
    <w:p w14:paraId="7A5ACBD0">
      <w:pPr>
        <w:wordWrap w:val="0"/>
        <w:adjustRightInd w:val="0"/>
        <w:snapToGrid w:val="0"/>
        <w:spacing w:line="360" w:lineRule="auto"/>
        <w:ind w:left="960" w:hanging="960" w:hangingChars="400"/>
        <w:rPr>
          <w:rFonts w:hint="eastAsia" w:ascii="宋体" w:hAnsi="宋体"/>
          <w:strike/>
          <w:sz w:val="24"/>
        </w:rPr>
      </w:pPr>
      <w:r>
        <w:rPr>
          <w:rFonts w:ascii="宋体" w:hAnsi="宋体" w:cs="仿宋"/>
          <w:sz w:val="24"/>
        </w:rPr>
        <w:t>5</w:t>
      </w:r>
      <w:r>
        <w:rPr>
          <w:rFonts w:hint="eastAsia" w:ascii="宋体" w:hAnsi="宋体" w:cs="仿宋"/>
          <w:sz w:val="24"/>
        </w:rPr>
        <w:t>.3.1.1 供应商应在提交响应文件</w:t>
      </w:r>
      <w:r>
        <w:rPr>
          <w:rFonts w:hint="eastAsia" w:ascii="宋体" w:hAnsi="宋体"/>
          <w:sz w:val="24"/>
        </w:rPr>
        <w:t>截止时间</w:t>
      </w:r>
      <w:r>
        <w:rPr>
          <w:rFonts w:hint="eastAsia" w:ascii="宋体" w:hAnsi="宋体" w:cs="仿宋"/>
          <w:sz w:val="24"/>
        </w:rPr>
        <w:t>前</w:t>
      </w:r>
      <w:bookmarkStart w:id="254" w:name="_Hlk164350837"/>
      <w:r>
        <w:rPr>
          <w:rFonts w:hint="eastAsia" w:ascii="宋体" w:hAnsi="宋体" w:cs="仿宋"/>
          <w:sz w:val="24"/>
        </w:rPr>
        <w:t>提交响应文件。</w:t>
      </w:r>
    </w:p>
    <w:bookmarkEnd w:id="254"/>
    <w:p w14:paraId="0849D2DE">
      <w:pPr>
        <w:wordWrap w:val="0"/>
        <w:spacing w:line="360" w:lineRule="auto"/>
        <w:ind w:left="960" w:hanging="960" w:hangingChars="400"/>
        <w:rPr>
          <w:rFonts w:hint="eastAsia" w:ascii="宋体" w:hAnsi="宋体"/>
          <w:sz w:val="24"/>
        </w:rPr>
      </w:pPr>
      <w:bookmarkStart w:id="255" w:name="_Hlk164350982"/>
      <w:r>
        <w:rPr>
          <w:rFonts w:ascii="宋体" w:hAnsi="宋体" w:cs="仿宋"/>
          <w:sz w:val="24"/>
        </w:rPr>
        <w:t>5</w:t>
      </w:r>
      <w:r>
        <w:rPr>
          <w:rFonts w:hint="eastAsia" w:ascii="宋体" w:hAnsi="宋体" w:cs="仿宋"/>
          <w:sz w:val="24"/>
        </w:rPr>
        <w:t>.3.1.2</w:t>
      </w:r>
      <w:r>
        <w:rPr>
          <w:rFonts w:ascii="宋体" w:hAnsi="宋体" w:cs="仿宋"/>
          <w:sz w:val="24"/>
        </w:rPr>
        <w:t xml:space="preserve"> </w:t>
      </w:r>
      <w:r>
        <w:rPr>
          <w:rFonts w:ascii="宋体" w:hAnsi="宋体"/>
          <w:sz w:val="24"/>
        </w:rPr>
        <w:t>采购人及采购代理机构拒绝接受</w:t>
      </w:r>
      <w:r>
        <w:rPr>
          <w:rFonts w:hint="eastAsia" w:ascii="宋体" w:hAnsi="宋体"/>
          <w:sz w:val="24"/>
        </w:rPr>
        <w:t>规定</w:t>
      </w:r>
      <w:r>
        <w:rPr>
          <w:rFonts w:ascii="宋体" w:hAnsi="宋体"/>
          <w:sz w:val="24"/>
        </w:rPr>
        <w:t>以外任何形式提交的</w:t>
      </w:r>
      <w:bookmarkStart w:id="256" w:name="_Hlk164351037"/>
      <w:r>
        <w:rPr>
          <w:rFonts w:hint="eastAsia" w:ascii="宋体" w:hAnsi="宋体"/>
          <w:sz w:val="24"/>
        </w:rPr>
        <w:t>响应文件（样品、演示资料除外）</w:t>
      </w:r>
      <w:bookmarkEnd w:id="256"/>
      <w:r>
        <w:rPr>
          <w:rFonts w:ascii="宋体" w:hAnsi="宋体"/>
          <w:sz w:val="24"/>
        </w:rPr>
        <w:t>。</w:t>
      </w:r>
      <w:bookmarkEnd w:id="255"/>
    </w:p>
    <w:p w14:paraId="132B3C22">
      <w:pPr>
        <w:tabs>
          <w:tab w:val="left" w:pos="360"/>
          <w:tab w:val="left" w:pos="720"/>
        </w:tabs>
        <w:wordWrap w:val="0"/>
        <w:spacing w:line="360" w:lineRule="auto"/>
        <w:rPr>
          <w:rFonts w:hint="eastAsia" w:ascii="宋体" w:hAnsi="宋体"/>
          <w:b/>
          <w:bCs/>
          <w:sz w:val="24"/>
        </w:rPr>
      </w:pPr>
      <w:r>
        <w:rPr>
          <w:rFonts w:ascii="宋体" w:hAnsi="宋体" w:cs="仿宋"/>
          <w:b/>
          <w:bCs/>
          <w:sz w:val="24"/>
        </w:rPr>
        <w:t>5</w:t>
      </w:r>
      <w:r>
        <w:rPr>
          <w:rFonts w:hint="eastAsia" w:ascii="宋体" w:hAnsi="宋体" w:cs="仿宋"/>
          <w:b/>
          <w:bCs/>
          <w:sz w:val="24"/>
        </w:rPr>
        <w:t>.3.2 响应文件的修改和撤回</w:t>
      </w:r>
    </w:p>
    <w:p w14:paraId="7CAEA1A4">
      <w:pPr>
        <w:wordWrap w:val="0"/>
        <w:spacing w:line="360" w:lineRule="auto"/>
        <w:ind w:left="960" w:hanging="960" w:hangingChars="400"/>
        <w:rPr>
          <w:rFonts w:cs="仿宋"/>
          <w:sz w:val="24"/>
        </w:rPr>
      </w:pPr>
      <w:r>
        <w:rPr>
          <w:rFonts w:ascii="宋体" w:hAnsi="宋体" w:cs="仿宋"/>
          <w:sz w:val="24"/>
        </w:rPr>
        <w:t>5</w:t>
      </w:r>
      <w:r>
        <w:rPr>
          <w:rFonts w:hint="eastAsia" w:ascii="宋体" w:hAnsi="宋体" w:cs="仿宋"/>
          <w:sz w:val="24"/>
        </w:rPr>
        <w:t>.3.2.1 供应商在提交响应文件</w:t>
      </w:r>
      <w:r>
        <w:rPr>
          <w:rFonts w:hint="eastAsia" w:cs="仿宋"/>
          <w:sz w:val="24"/>
        </w:rPr>
        <w:t>后，在提交响应文件</w:t>
      </w:r>
      <w:r>
        <w:rPr>
          <w:rFonts w:hint="eastAsia" w:ascii="宋体" w:hAnsi="宋体"/>
          <w:sz w:val="24"/>
        </w:rPr>
        <w:t>截止时间</w:t>
      </w:r>
      <w:r>
        <w:rPr>
          <w:rFonts w:hint="eastAsia" w:cs="仿宋"/>
          <w:sz w:val="24"/>
        </w:rPr>
        <w:t>之前可以修改或撤回其响应文件</w:t>
      </w:r>
      <w:r>
        <w:rPr>
          <w:rFonts w:hint="eastAsia" w:ascii="宋体" w:hAnsi="宋体" w:cs="仿宋"/>
          <w:sz w:val="24"/>
        </w:rPr>
        <w:t>。</w:t>
      </w:r>
    </w:p>
    <w:p w14:paraId="527C00BF">
      <w:pPr>
        <w:wordWrap w:val="0"/>
        <w:spacing w:line="360" w:lineRule="auto"/>
        <w:ind w:left="960" w:hanging="960" w:hangingChars="400"/>
        <w:rPr>
          <w:rFonts w:hint="eastAsia" w:ascii="宋体" w:hAnsi="宋体"/>
          <w:sz w:val="24"/>
        </w:rPr>
      </w:pPr>
      <w:bookmarkStart w:id="257" w:name="_Hlk57218343"/>
      <w:r>
        <w:rPr>
          <w:rFonts w:ascii="宋体" w:hAnsi="宋体" w:cs="仿宋"/>
          <w:sz w:val="24"/>
        </w:rPr>
        <w:t>5</w:t>
      </w:r>
      <w:r>
        <w:rPr>
          <w:rFonts w:hint="eastAsia" w:ascii="宋体" w:hAnsi="宋体" w:cs="仿宋"/>
          <w:sz w:val="24"/>
        </w:rPr>
        <w:t xml:space="preserve">.3.2.2 </w:t>
      </w:r>
      <w:bookmarkEnd w:id="257"/>
      <w:r>
        <w:rPr>
          <w:rFonts w:hint="eastAsia" w:ascii="宋体" w:hAnsi="宋体" w:cs="仿宋"/>
          <w:sz w:val="24"/>
        </w:rPr>
        <w:t>供应商在提交了最后报价之后至供应商在响应文件中载明的响应文件有效期满期间，供应商不得撤回（撤销）其响应文件，否则应当承担相应的法律责任。</w:t>
      </w:r>
    </w:p>
    <w:p w14:paraId="7A357613">
      <w:pPr>
        <w:pStyle w:val="5"/>
        <w:wordWrap w:val="0"/>
        <w:rPr>
          <w:rFonts w:hint="eastAsia" w:ascii="宋体" w:hAnsi="宋体"/>
          <w:sz w:val="24"/>
        </w:rPr>
      </w:pPr>
    </w:p>
    <w:p w14:paraId="6FFFBD2C">
      <w:pPr>
        <w:pStyle w:val="7"/>
        <w:numPr>
          <w:ilvl w:val="0"/>
          <w:numId w:val="1"/>
        </w:numPr>
        <w:wordWrap w:val="0"/>
        <w:spacing w:before="0" w:after="0" w:line="360" w:lineRule="auto"/>
        <w:jc w:val="center"/>
        <w:rPr>
          <w:rFonts w:hint="eastAsia" w:ascii="黑体" w:hAnsi="黑体"/>
          <w:b w:val="0"/>
          <w:bCs w:val="0"/>
          <w:sz w:val="28"/>
        </w:rPr>
      </w:pPr>
      <w:bookmarkStart w:id="258" w:name="_Toc21699"/>
      <w:bookmarkStart w:id="259" w:name="_Toc23753"/>
      <w:bookmarkStart w:id="260" w:name="_Toc13580"/>
      <w:bookmarkStart w:id="261" w:name="_Toc6582"/>
      <w:r>
        <w:rPr>
          <w:rFonts w:hint="eastAsia" w:ascii="黑体" w:hAnsi="黑体"/>
          <w:sz w:val="28"/>
        </w:rPr>
        <w:t>磋商及评审</w:t>
      </w:r>
      <w:bookmarkEnd w:id="258"/>
      <w:bookmarkEnd w:id="259"/>
      <w:bookmarkEnd w:id="260"/>
      <w:bookmarkEnd w:id="261"/>
    </w:p>
    <w:p w14:paraId="41092E01">
      <w:pPr>
        <w:pStyle w:val="46"/>
        <w:wordWrap w:val="0"/>
        <w:rPr>
          <w:rFonts w:hint="eastAsia" w:ascii="宋体" w:hAnsi="宋体"/>
          <w:sz w:val="24"/>
        </w:rPr>
      </w:pPr>
    </w:p>
    <w:p w14:paraId="1836C14B">
      <w:pPr>
        <w:pStyle w:val="8"/>
        <w:wordWrap w:val="0"/>
        <w:autoSpaceDE w:val="0"/>
        <w:autoSpaceDN w:val="0"/>
        <w:adjustRightInd w:val="0"/>
        <w:spacing w:before="0" w:after="0" w:line="360" w:lineRule="auto"/>
        <w:jc w:val="left"/>
        <w:rPr>
          <w:rFonts w:hint="eastAsia" w:ascii="黑体" w:hAnsi="黑体" w:eastAsia="黑体"/>
          <w:b w:val="0"/>
          <w:bCs w:val="0"/>
          <w:sz w:val="24"/>
          <w:szCs w:val="24"/>
        </w:rPr>
      </w:pPr>
      <w:bookmarkStart w:id="262" w:name="_Toc57211963"/>
      <w:bookmarkStart w:id="263" w:name="_Toc4412"/>
      <w:r>
        <w:rPr>
          <w:rFonts w:ascii="黑体" w:hAnsi="黑体" w:eastAsia="黑体"/>
          <w:b w:val="0"/>
          <w:bCs w:val="0"/>
          <w:sz w:val="24"/>
          <w:szCs w:val="24"/>
        </w:rPr>
        <w:t>6</w:t>
      </w:r>
      <w:r>
        <w:rPr>
          <w:rFonts w:hint="eastAsia" w:ascii="黑体" w:hAnsi="黑体" w:eastAsia="黑体"/>
          <w:b w:val="0"/>
          <w:bCs w:val="0"/>
          <w:sz w:val="24"/>
          <w:szCs w:val="24"/>
        </w:rPr>
        <w:t>.1</w:t>
      </w:r>
      <w:r>
        <w:rPr>
          <w:rFonts w:ascii="黑体" w:hAnsi="黑体" w:eastAsia="黑体"/>
          <w:b w:val="0"/>
          <w:bCs w:val="0"/>
          <w:sz w:val="24"/>
          <w:szCs w:val="24"/>
        </w:rPr>
        <w:t xml:space="preserve"> </w:t>
      </w:r>
      <w:bookmarkEnd w:id="262"/>
      <w:r>
        <w:rPr>
          <w:rFonts w:hint="eastAsia" w:ascii="黑体" w:hAnsi="黑体" w:eastAsia="黑体"/>
          <w:b w:val="0"/>
          <w:bCs w:val="0"/>
          <w:sz w:val="24"/>
          <w:szCs w:val="24"/>
        </w:rPr>
        <w:t>公开开标</w:t>
      </w:r>
      <w:bookmarkEnd w:id="263"/>
    </w:p>
    <w:p w14:paraId="07A2276D">
      <w:pPr>
        <w:wordWrap w:val="0"/>
        <w:adjustRightInd w:val="0"/>
        <w:snapToGrid w:val="0"/>
        <w:spacing w:line="360" w:lineRule="auto"/>
        <w:ind w:left="480" w:hanging="480" w:hangingChars="200"/>
        <w:rPr>
          <w:rFonts w:hint="eastAsia" w:ascii="宋体" w:hAnsi="宋体"/>
          <w:strike/>
          <w:sz w:val="24"/>
        </w:rPr>
      </w:pPr>
      <w:bookmarkStart w:id="264" w:name="_Hlk86855542"/>
      <w:r>
        <w:rPr>
          <w:rFonts w:ascii="宋体" w:hAnsi="宋体" w:cs="仿宋"/>
          <w:sz w:val="24"/>
        </w:rPr>
        <w:t>6</w:t>
      </w:r>
      <w:r>
        <w:rPr>
          <w:rFonts w:hint="eastAsia" w:ascii="宋体" w:hAnsi="宋体" w:cs="仿宋"/>
          <w:sz w:val="24"/>
        </w:rPr>
        <w:t>.1.1 采购人和采购</w:t>
      </w:r>
      <w:r>
        <w:rPr>
          <w:rFonts w:hint="eastAsia" w:ascii="宋体" w:hAnsi="宋体"/>
          <w:sz w:val="24"/>
        </w:rPr>
        <w:t>代理机构将在“</w:t>
      </w:r>
      <w:r>
        <w:rPr>
          <w:rFonts w:hint="eastAsia" w:ascii="宋体" w:hAnsi="宋体"/>
          <w:b/>
          <w:sz w:val="24"/>
          <w:u w:val="single"/>
        </w:rPr>
        <w:t>供应商须知前附表</w:t>
      </w:r>
      <w:r>
        <w:rPr>
          <w:rFonts w:hint="eastAsia" w:ascii="宋体" w:hAnsi="宋体"/>
          <w:sz w:val="24"/>
        </w:rPr>
        <w:t>”中规定的时间和地点组织磋商。</w:t>
      </w:r>
    </w:p>
    <w:p w14:paraId="72CF3784">
      <w:pPr>
        <w:pStyle w:val="8"/>
        <w:wordWrap w:val="0"/>
        <w:autoSpaceDE w:val="0"/>
        <w:autoSpaceDN w:val="0"/>
        <w:adjustRightInd w:val="0"/>
        <w:spacing w:before="0" w:after="0" w:line="360" w:lineRule="auto"/>
        <w:jc w:val="left"/>
        <w:rPr>
          <w:rFonts w:hint="eastAsia" w:ascii="黑体" w:hAnsi="黑体" w:eastAsia="黑体"/>
          <w:b w:val="0"/>
          <w:bCs w:val="0"/>
          <w:sz w:val="24"/>
          <w:szCs w:val="24"/>
        </w:rPr>
      </w:pPr>
      <w:bookmarkStart w:id="265" w:name="_Toc5024"/>
      <w:bookmarkStart w:id="266" w:name="_Toc3861"/>
      <w:bookmarkStart w:id="267" w:name="_Toc39568655"/>
      <w:r>
        <w:rPr>
          <w:rFonts w:ascii="黑体" w:hAnsi="黑体" w:eastAsia="黑体"/>
          <w:b w:val="0"/>
          <w:bCs w:val="0"/>
          <w:sz w:val="24"/>
          <w:szCs w:val="24"/>
        </w:rPr>
        <w:t>6.2 响应文件的</w:t>
      </w:r>
      <w:bookmarkEnd w:id="265"/>
      <w:bookmarkEnd w:id="266"/>
      <w:r>
        <w:rPr>
          <w:rFonts w:hint="eastAsia" w:ascii="黑体" w:hAnsi="黑体" w:eastAsia="黑体"/>
          <w:b w:val="0"/>
          <w:bCs w:val="0"/>
          <w:sz w:val="24"/>
          <w:szCs w:val="24"/>
        </w:rPr>
        <w:t>密封性检查</w:t>
      </w:r>
    </w:p>
    <w:p w14:paraId="1291C8A1">
      <w:pPr>
        <w:wordWrap w:val="0"/>
        <w:adjustRightInd w:val="0"/>
        <w:snapToGrid w:val="0"/>
        <w:spacing w:line="360" w:lineRule="auto"/>
        <w:ind w:left="480" w:hanging="480" w:hangingChars="200"/>
        <w:rPr>
          <w:rFonts w:hint="eastAsia" w:ascii="宋体" w:hAnsi="宋体"/>
          <w:sz w:val="24"/>
        </w:rPr>
      </w:pPr>
      <w:r>
        <w:rPr>
          <w:rFonts w:ascii="宋体" w:hAnsi="宋体"/>
          <w:sz w:val="24"/>
        </w:rPr>
        <w:t>6.2.1 采购人或采购代理机构将按</w:t>
      </w:r>
      <w:r>
        <w:rPr>
          <w:rFonts w:hint="eastAsia" w:ascii="宋体" w:hAnsi="宋体"/>
          <w:sz w:val="24"/>
        </w:rPr>
        <w:t>竞争性磋商文件</w:t>
      </w:r>
      <w:r>
        <w:rPr>
          <w:rFonts w:ascii="宋体" w:hAnsi="宋体"/>
          <w:sz w:val="24"/>
        </w:rPr>
        <w:t>的规定，在响应文件提交截止时间的同一时间和</w:t>
      </w:r>
      <w:r>
        <w:rPr>
          <w:rFonts w:hint="eastAsia" w:ascii="宋体" w:hAnsi="宋体"/>
          <w:sz w:val="24"/>
        </w:rPr>
        <w:t>竞争性磋商文件</w:t>
      </w:r>
      <w:r>
        <w:rPr>
          <w:rFonts w:ascii="宋体" w:hAnsi="宋体"/>
          <w:sz w:val="24"/>
        </w:rPr>
        <w:t>预先确定的地点</w:t>
      </w:r>
      <w:r>
        <w:rPr>
          <w:rFonts w:hint="eastAsia" w:ascii="宋体" w:hAnsi="宋体"/>
          <w:sz w:val="24"/>
        </w:rPr>
        <w:t>宣读提交</w:t>
      </w:r>
      <w:r>
        <w:rPr>
          <w:rFonts w:ascii="宋体" w:hAnsi="宋体"/>
          <w:sz w:val="24"/>
        </w:rPr>
        <w:t>响应文件</w:t>
      </w:r>
      <w:r>
        <w:rPr>
          <w:rFonts w:hint="eastAsia" w:ascii="宋体" w:hAnsi="宋体"/>
          <w:sz w:val="24"/>
        </w:rPr>
        <w:t>的供应商名单</w:t>
      </w:r>
      <w:r>
        <w:rPr>
          <w:rFonts w:ascii="宋体" w:hAnsi="宋体"/>
          <w:sz w:val="24"/>
        </w:rPr>
        <w:t>。</w:t>
      </w:r>
    </w:p>
    <w:p w14:paraId="7DCA7DC2">
      <w:pPr>
        <w:tabs>
          <w:tab w:val="left" w:pos="360"/>
          <w:tab w:val="left" w:pos="720"/>
        </w:tabs>
        <w:wordWrap w:val="0"/>
        <w:spacing w:line="360" w:lineRule="auto"/>
        <w:ind w:left="727" w:hanging="727" w:hangingChars="303"/>
        <w:rPr>
          <w:rFonts w:hint="eastAsia" w:ascii="宋体" w:hAnsi="宋体" w:cs="仿宋"/>
          <w:sz w:val="24"/>
        </w:rPr>
      </w:pPr>
      <w:r>
        <w:rPr>
          <w:rFonts w:ascii="宋体" w:hAnsi="宋体" w:cs="仿宋"/>
          <w:sz w:val="24"/>
        </w:rPr>
        <w:t>6</w:t>
      </w:r>
      <w:r>
        <w:rPr>
          <w:rFonts w:hint="eastAsia" w:ascii="宋体" w:hAnsi="宋体" w:cs="仿宋"/>
          <w:sz w:val="24"/>
        </w:rPr>
        <w:t>.</w:t>
      </w:r>
      <w:r>
        <w:rPr>
          <w:rFonts w:ascii="宋体" w:hAnsi="宋体" w:cs="仿宋"/>
          <w:sz w:val="24"/>
        </w:rPr>
        <w:t>2</w:t>
      </w:r>
      <w:r>
        <w:rPr>
          <w:rFonts w:hint="eastAsia" w:ascii="宋体" w:hAnsi="宋体" w:cs="仿宋"/>
          <w:sz w:val="24"/>
        </w:rPr>
        <w:t>.2 响应文件密封性检查：见</w:t>
      </w:r>
      <w:r>
        <w:rPr>
          <w:rFonts w:hint="eastAsia" w:ascii="宋体" w:hAnsi="宋体" w:cs="仿宋"/>
          <w:b/>
          <w:sz w:val="24"/>
          <w:u w:val="single"/>
        </w:rPr>
        <w:t>供应商须知前附表</w:t>
      </w:r>
      <w:r>
        <w:rPr>
          <w:rFonts w:hint="eastAsia" w:ascii="宋体" w:hAnsi="宋体" w:cs="仿宋"/>
          <w:sz w:val="24"/>
        </w:rPr>
        <w:t>规定</w:t>
      </w:r>
      <w:r>
        <w:rPr>
          <w:rFonts w:hint="eastAsia" w:ascii="宋体" w:hAnsi="宋体"/>
          <w:sz w:val="24"/>
        </w:rPr>
        <w:t>。</w:t>
      </w:r>
    </w:p>
    <w:p w14:paraId="5C47814C">
      <w:pPr>
        <w:wordWrap w:val="0"/>
        <w:adjustRightInd w:val="0"/>
        <w:snapToGrid w:val="0"/>
        <w:spacing w:line="360" w:lineRule="auto"/>
        <w:rPr>
          <w:rFonts w:hint="eastAsia" w:ascii="宋体" w:hAnsi="宋体"/>
          <w:sz w:val="24"/>
        </w:rPr>
      </w:pPr>
      <w:r>
        <w:rPr>
          <w:rFonts w:ascii="宋体" w:hAnsi="宋体"/>
          <w:sz w:val="24"/>
        </w:rPr>
        <w:t xml:space="preserve">6.2.3 </w:t>
      </w:r>
      <w:r>
        <w:rPr>
          <w:rFonts w:hint="eastAsia" w:ascii="宋体" w:hAnsi="宋体"/>
          <w:sz w:val="24"/>
        </w:rPr>
        <w:t>在响应文件提交截止时间内，提交响应文件的</w:t>
      </w:r>
      <w:r>
        <w:rPr>
          <w:rFonts w:ascii="宋体" w:hAnsi="宋体"/>
          <w:sz w:val="24"/>
        </w:rPr>
        <w:t>供应商不足3家的，</w:t>
      </w:r>
      <w:r>
        <w:rPr>
          <w:rFonts w:hint="eastAsia" w:ascii="宋体" w:hAnsi="宋体"/>
          <w:sz w:val="24"/>
        </w:rPr>
        <w:t>本次采购失败</w:t>
      </w:r>
      <w:r>
        <w:rPr>
          <w:rFonts w:ascii="宋体" w:hAnsi="宋体"/>
          <w:sz w:val="24"/>
        </w:rPr>
        <w:t>。</w:t>
      </w:r>
    </w:p>
    <w:p w14:paraId="3E382A55">
      <w:pPr>
        <w:wordWrap w:val="0"/>
        <w:adjustRightInd w:val="0"/>
        <w:snapToGrid w:val="0"/>
        <w:spacing w:line="360" w:lineRule="auto"/>
        <w:rPr>
          <w:rFonts w:hint="eastAsia" w:ascii="宋体" w:hAnsi="宋体"/>
          <w:sz w:val="24"/>
        </w:rPr>
      </w:pPr>
      <w:r>
        <w:rPr>
          <w:rFonts w:ascii="宋体" w:hAnsi="宋体"/>
          <w:sz w:val="24"/>
        </w:rPr>
        <w:t>6.2.4 本项目不公开报价。</w:t>
      </w:r>
    </w:p>
    <w:p w14:paraId="0BBCE409">
      <w:pPr>
        <w:pStyle w:val="8"/>
        <w:wordWrap w:val="0"/>
        <w:spacing w:before="0" w:after="0" w:line="360" w:lineRule="auto"/>
        <w:rPr>
          <w:rFonts w:hint="eastAsia" w:ascii="黑体" w:hAnsi="黑体" w:eastAsia="黑体"/>
          <w:b w:val="0"/>
          <w:bCs w:val="0"/>
          <w:sz w:val="24"/>
          <w:szCs w:val="24"/>
        </w:rPr>
      </w:pPr>
      <w:bookmarkStart w:id="268" w:name="_Toc1290"/>
      <w:r>
        <w:rPr>
          <w:rFonts w:ascii="黑体" w:hAnsi="黑体" w:eastAsia="黑体"/>
          <w:b w:val="0"/>
          <w:bCs w:val="0"/>
          <w:sz w:val="24"/>
          <w:szCs w:val="24"/>
        </w:rPr>
        <w:t xml:space="preserve">6.3 </w:t>
      </w:r>
      <w:r>
        <w:rPr>
          <w:rFonts w:hint="eastAsia" w:ascii="黑体" w:hAnsi="黑体" w:eastAsia="黑体"/>
          <w:b w:val="0"/>
          <w:bCs w:val="0"/>
          <w:sz w:val="24"/>
          <w:szCs w:val="24"/>
        </w:rPr>
        <w:t>组建</w:t>
      </w:r>
      <w:bookmarkEnd w:id="267"/>
      <w:r>
        <w:rPr>
          <w:rFonts w:hint="eastAsia" w:ascii="黑体" w:hAnsi="黑体" w:eastAsia="黑体"/>
          <w:b w:val="0"/>
          <w:bCs w:val="0"/>
          <w:sz w:val="24"/>
          <w:szCs w:val="24"/>
        </w:rPr>
        <w:t>磋商小组</w:t>
      </w:r>
      <w:bookmarkEnd w:id="268"/>
    </w:p>
    <w:p w14:paraId="6884E8FC">
      <w:pPr>
        <w:wordWrap w:val="0"/>
        <w:adjustRightInd w:val="0"/>
        <w:snapToGrid w:val="0"/>
        <w:spacing w:line="360" w:lineRule="auto"/>
        <w:ind w:left="480" w:hanging="480" w:hangingChars="200"/>
        <w:rPr>
          <w:rFonts w:hint="eastAsia" w:ascii="宋体" w:hAnsi="宋体"/>
          <w:sz w:val="24"/>
        </w:rPr>
      </w:pPr>
      <w:bookmarkStart w:id="269" w:name="_Hlk87213047"/>
      <w:r>
        <w:rPr>
          <w:rFonts w:ascii="宋体" w:hAnsi="宋体"/>
          <w:sz w:val="24"/>
        </w:rPr>
        <w:t>6</w:t>
      </w:r>
      <w:r>
        <w:rPr>
          <w:rFonts w:hint="eastAsia" w:ascii="宋体" w:hAnsi="宋体"/>
          <w:sz w:val="24"/>
        </w:rPr>
        <w:t>.</w:t>
      </w:r>
      <w:r>
        <w:rPr>
          <w:rFonts w:ascii="宋体" w:hAnsi="宋体"/>
          <w:sz w:val="24"/>
        </w:rPr>
        <w:t>3</w:t>
      </w:r>
      <w:r>
        <w:rPr>
          <w:rFonts w:hint="eastAsia" w:ascii="宋体" w:hAnsi="宋体"/>
          <w:sz w:val="24"/>
        </w:rPr>
        <w:t>.1 采购人与采购代理机构将按照</w:t>
      </w:r>
      <w:r>
        <w:rPr>
          <w:rFonts w:ascii="宋体" w:hAnsi="宋体"/>
          <w:sz w:val="24"/>
        </w:rPr>
        <w:t>政府采购有关规定和本次采购项目的特点</w:t>
      </w:r>
      <w:r>
        <w:rPr>
          <w:rFonts w:hint="eastAsia" w:ascii="宋体" w:hAnsi="宋体"/>
          <w:sz w:val="24"/>
        </w:rPr>
        <w:t>依法组建竞争性磋商小组（以下简称磋商小组），负责本项目的磋商及评审工作。</w:t>
      </w:r>
    </w:p>
    <w:p w14:paraId="4DEB02D5">
      <w:pPr>
        <w:tabs>
          <w:tab w:val="left" w:pos="720"/>
        </w:tabs>
        <w:wordWrap w:val="0"/>
        <w:spacing w:line="360" w:lineRule="auto"/>
        <w:ind w:left="720" w:hanging="720" w:hangingChars="300"/>
        <w:rPr>
          <w:rFonts w:hint="eastAsia" w:ascii="宋体" w:hAnsi="宋体"/>
          <w:sz w:val="24"/>
        </w:rPr>
      </w:pPr>
      <w:r>
        <w:rPr>
          <w:rFonts w:ascii="宋体" w:hAnsi="宋体"/>
          <w:sz w:val="24"/>
        </w:rPr>
        <w:t>6</w:t>
      </w:r>
      <w:r>
        <w:rPr>
          <w:rFonts w:hint="eastAsia" w:ascii="宋体" w:hAnsi="宋体"/>
          <w:sz w:val="24"/>
        </w:rPr>
        <w:t>.</w:t>
      </w:r>
      <w:r>
        <w:rPr>
          <w:rFonts w:ascii="宋体" w:hAnsi="宋体"/>
          <w:sz w:val="24"/>
        </w:rPr>
        <w:t>3</w:t>
      </w:r>
      <w:r>
        <w:rPr>
          <w:rFonts w:hint="eastAsia" w:ascii="宋体" w:hAnsi="宋体"/>
          <w:sz w:val="24"/>
        </w:rPr>
        <w:t>.2磋商小组由采购人代表和评审专家组成，成员人数为三人以上单数。其中，评审专家不得少于成员总数的三分之二。具体成员人数见</w:t>
      </w:r>
      <w:r>
        <w:rPr>
          <w:rFonts w:hint="eastAsia" w:ascii="宋体" w:hAnsi="宋体"/>
          <w:b/>
          <w:sz w:val="24"/>
          <w:u w:val="single"/>
        </w:rPr>
        <w:t>供应商须知前附表</w:t>
      </w:r>
      <w:r>
        <w:rPr>
          <w:rFonts w:hint="eastAsia" w:ascii="宋体" w:hAnsi="宋体"/>
          <w:sz w:val="24"/>
        </w:rPr>
        <w:t>。</w:t>
      </w:r>
      <w:bookmarkEnd w:id="269"/>
      <w:bookmarkStart w:id="270" w:name="_Hlk87213105"/>
    </w:p>
    <w:bookmarkEnd w:id="270"/>
    <w:p w14:paraId="4BD885D0">
      <w:pPr>
        <w:pStyle w:val="8"/>
        <w:wordWrap w:val="0"/>
        <w:autoSpaceDE w:val="0"/>
        <w:autoSpaceDN w:val="0"/>
        <w:adjustRightInd w:val="0"/>
        <w:spacing w:before="0" w:after="0" w:line="360" w:lineRule="auto"/>
        <w:jc w:val="left"/>
        <w:rPr>
          <w:rFonts w:hint="eastAsia" w:ascii="宋体" w:hAnsi="宋体"/>
          <w:sz w:val="24"/>
        </w:rPr>
      </w:pPr>
      <w:bookmarkStart w:id="271" w:name="_Toc21952"/>
      <w:r>
        <w:rPr>
          <w:rFonts w:hint="eastAsia" w:ascii="黑体" w:hAnsi="黑体" w:eastAsia="黑体"/>
          <w:b w:val="0"/>
          <w:bCs w:val="0"/>
          <w:sz w:val="24"/>
          <w:szCs w:val="24"/>
        </w:rPr>
        <w:t>6</w:t>
      </w:r>
      <w:r>
        <w:rPr>
          <w:rFonts w:ascii="黑体" w:hAnsi="黑体" w:eastAsia="黑体"/>
          <w:b w:val="0"/>
          <w:bCs w:val="0"/>
          <w:sz w:val="24"/>
          <w:szCs w:val="24"/>
        </w:rPr>
        <w:t xml:space="preserve">.4 </w:t>
      </w:r>
      <w:r>
        <w:rPr>
          <w:rFonts w:hint="eastAsia" w:ascii="黑体" w:hAnsi="黑体" w:eastAsia="黑体"/>
          <w:b w:val="0"/>
          <w:bCs w:val="0"/>
          <w:sz w:val="24"/>
          <w:szCs w:val="24"/>
        </w:rPr>
        <w:t>磋商程序、评审方法及评审标准：</w:t>
      </w:r>
      <w:r>
        <w:rPr>
          <w:rFonts w:hint="eastAsia" w:ascii="宋体" w:hAnsi="宋体" w:eastAsia="黑体"/>
          <w:sz w:val="24"/>
        </w:rPr>
        <w:t>详见评审办法相关内容</w:t>
      </w:r>
      <w:r>
        <w:rPr>
          <w:rFonts w:hint="eastAsia" w:ascii="宋体" w:hAnsi="宋体"/>
          <w:sz w:val="24"/>
        </w:rPr>
        <w:t>。</w:t>
      </w:r>
      <w:bookmarkEnd w:id="271"/>
    </w:p>
    <w:p w14:paraId="4C924DA2">
      <w:pPr>
        <w:wordWrap w:val="0"/>
        <w:rPr>
          <w:rFonts w:hint="eastAsia" w:ascii="宋体" w:hAnsi="宋体"/>
          <w:sz w:val="24"/>
        </w:rPr>
      </w:pPr>
    </w:p>
    <w:p w14:paraId="23B92E39">
      <w:pPr>
        <w:pStyle w:val="7"/>
        <w:numPr>
          <w:ilvl w:val="0"/>
          <w:numId w:val="1"/>
        </w:numPr>
        <w:wordWrap w:val="0"/>
        <w:spacing w:before="0" w:after="0" w:line="360" w:lineRule="auto"/>
        <w:jc w:val="center"/>
        <w:rPr>
          <w:rFonts w:hint="eastAsia" w:ascii="黑体" w:hAnsi="黑体"/>
          <w:b w:val="0"/>
          <w:bCs w:val="0"/>
          <w:sz w:val="28"/>
        </w:rPr>
      </w:pPr>
      <w:bookmarkStart w:id="272" w:name="_Toc2223"/>
      <w:bookmarkStart w:id="273" w:name="_Toc27599"/>
      <w:bookmarkStart w:id="274" w:name="_Toc27271"/>
      <w:bookmarkStart w:id="275" w:name="_Toc27108"/>
      <w:r>
        <w:rPr>
          <w:rFonts w:hint="eastAsia" w:ascii="黑体" w:hAnsi="黑体"/>
          <w:sz w:val="28"/>
        </w:rPr>
        <w:t>成交和合同</w:t>
      </w:r>
      <w:bookmarkEnd w:id="272"/>
      <w:bookmarkEnd w:id="273"/>
      <w:bookmarkEnd w:id="274"/>
      <w:bookmarkEnd w:id="275"/>
    </w:p>
    <w:p w14:paraId="122F098A">
      <w:pPr>
        <w:pStyle w:val="46"/>
        <w:wordWrap w:val="0"/>
        <w:ind w:firstLine="0"/>
      </w:pPr>
    </w:p>
    <w:bookmarkEnd w:id="264"/>
    <w:p w14:paraId="318DBBE4">
      <w:pPr>
        <w:pStyle w:val="7"/>
        <w:wordWrap w:val="0"/>
        <w:spacing w:before="0" w:after="0" w:line="360" w:lineRule="auto"/>
        <w:rPr>
          <w:rFonts w:hint="eastAsia" w:ascii="黑体" w:hAnsi="黑体"/>
          <w:b w:val="0"/>
          <w:bCs w:val="0"/>
          <w:sz w:val="24"/>
        </w:rPr>
      </w:pPr>
      <w:bookmarkStart w:id="276" w:name="_Toc4732"/>
      <w:bookmarkStart w:id="277" w:name="_Toc3276"/>
      <w:bookmarkStart w:id="278" w:name="_Toc57211974"/>
      <w:bookmarkStart w:id="279" w:name="_Toc5394"/>
      <w:bookmarkStart w:id="280" w:name="_Toc28608"/>
      <w:bookmarkStart w:id="281" w:name="_Toc1240"/>
      <w:r>
        <w:rPr>
          <w:rFonts w:hint="eastAsia" w:ascii="黑体" w:hAnsi="黑体"/>
          <w:b w:val="0"/>
          <w:bCs w:val="0"/>
          <w:sz w:val="24"/>
        </w:rPr>
        <w:t>7.确定成交人</w:t>
      </w:r>
      <w:bookmarkEnd w:id="276"/>
      <w:bookmarkEnd w:id="277"/>
      <w:bookmarkEnd w:id="278"/>
      <w:bookmarkEnd w:id="279"/>
      <w:bookmarkEnd w:id="280"/>
      <w:bookmarkEnd w:id="281"/>
    </w:p>
    <w:p w14:paraId="256DDB9E">
      <w:pPr>
        <w:wordWrap w:val="0"/>
        <w:spacing w:line="360" w:lineRule="auto"/>
        <w:ind w:left="480" w:hanging="480" w:hangingChars="200"/>
        <w:rPr>
          <w:rFonts w:hint="eastAsia" w:ascii="宋体" w:hAnsi="宋体"/>
          <w:sz w:val="24"/>
        </w:rPr>
      </w:pPr>
      <w:bookmarkStart w:id="282" w:name="_Toc39568662"/>
      <w:bookmarkStart w:id="283" w:name="_Hlk164354320"/>
      <w:bookmarkStart w:id="284" w:name="_Toc57211975"/>
      <w:r>
        <w:rPr>
          <w:rFonts w:ascii="宋体" w:hAnsi="宋体"/>
          <w:sz w:val="24"/>
        </w:rPr>
        <w:t xml:space="preserve">7.1 </w:t>
      </w:r>
      <w:bookmarkEnd w:id="282"/>
      <w:bookmarkEnd w:id="283"/>
      <w:r>
        <w:rPr>
          <w:rFonts w:hint="eastAsia" w:ascii="宋体" w:hAnsi="宋体"/>
          <w:sz w:val="24"/>
        </w:rPr>
        <w:t>磋商小组将根据评审标准，按</w:t>
      </w:r>
      <w:r>
        <w:rPr>
          <w:rFonts w:hint="eastAsia" w:ascii="宋体" w:hAnsi="宋体"/>
          <w:b/>
          <w:bCs/>
          <w:sz w:val="24"/>
          <w:u w:val="single"/>
        </w:rPr>
        <w:t>供应商须知前附表</w:t>
      </w:r>
      <w:r>
        <w:rPr>
          <w:rFonts w:hint="eastAsia" w:ascii="宋体" w:hAnsi="宋体"/>
          <w:sz w:val="24"/>
        </w:rPr>
        <w:t>中规定的数量推荐成交候选人或确定成交人。</w:t>
      </w:r>
    </w:p>
    <w:p w14:paraId="028F0250">
      <w:pPr>
        <w:pStyle w:val="7"/>
        <w:wordWrap w:val="0"/>
        <w:spacing w:before="0" w:after="0" w:line="360" w:lineRule="auto"/>
        <w:rPr>
          <w:rFonts w:hint="eastAsia" w:ascii="黑体" w:hAnsi="黑体"/>
          <w:b w:val="0"/>
          <w:bCs w:val="0"/>
          <w:sz w:val="24"/>
        </w:rPr>
      </w:pPr>
      <w:bookmarkStart w:id="285" w:name="_Toc9573"/>
      <w:bookmarkStart w:id="286" w:name="_Toc1260"/>
      <w:bookmarkStart w:id="287" w:name="_Toc213"/>
      <w:bookmarkStart w:id="288" w:name="_Toc14616"/>
      <w:bookmarkStart w:id="289" w:name="_Toc31957"/>
      <w:r>
        <w:rPr>
          <w:rFonts w:hint="eastAsia" w:ascii="黑体" w:hAnsi="黑体"/>
          <w:b w:val="0"/>
          <w:bCs w:val="0"/>
          <w:sz w:val="24"/>
        </w:rPr>
        <w:t>8.采购任务取消</w:t>
      </w:r>
      <w:bookmarkEnd w:id="285"/>
      <w:bookmarkEnd w:id="286"/>
      <w:bookmarkEnd w:id="287"/>
      <w:bookmarkEnd w:id="288"/>
      <w:bookmarkEnd w:id="289"/>
    </w:p>
    <w:p w14:paraId="4358563C">
      <w:pPr>
        <w:wordWrap w:val="0"/>
        <w:adjustRightInd w:val="0"/>
        <w:snapToGrid w:val="0"/>
        <w:spacing w:line="360" w:lineRule="auto"/>
        <w:ind w:left="480" w:hanging="480" w:hangingChars="200"/>
        <w:rPr>
          <w:rFonts w:hint="eastAsia" w:ascii="宋体" w:hAnsi="宋体"/>
          <w:sz w:val="24"/>
        </w:rPr>
      </w:pPr>
      <w:bookmarkStart w:id="290" w:name="_Hlk174375623"/>
      <w:r>
        <w:rPr>
          <w:rFonts w:ascii="宋体" w:hAnsi="宋体"/>
          <w:sz w:val="24"/>
        </w:rPr>
        <w:t>8.1</w:t>
      </w:r>
      <w:r>
        <w:rPr>
          <w:rFonts w:hint="eastAsia" w:ascii="宋体" w:hAnsi="宋体"/>
          <w:sz w:val="24"/>
        </w:rPr>
        <w:t xml:space="preserve"> 如果出现变故，本项目采购任务取消（全部取消或部分取消）的情况，采购人有权利拒绝任何供应商成交，且对受影响的供应商不承担任何责任。</w:t>
      </w:r>
      <w:bookmarkEnd w:id="290"/>
    </w:p>
    <w:p w14:paraId="2EF104DB">
      <w:pPr>
        <w:pStyle w:val="7"/>
        <w:wordWrap w:val="0"/>
        <w:spacing w:before="0" w:after="0" w:line="360" w:lineRule="auto"/>
        <w:rPr>
          <w:rFonts w:hint="eastAsia" w:ascii="黑体" w:hAnsi="黑体"/>
          <w:b w:val="0"/>
          <w:bCs w:val="0"/>
          <w:sz w:val="28"/>
          <w:szCs w:val="28"/>
        </w:rPr>
      </w:pPr>
      <w:bookmarkStart w:id="291" w:name="_Toc14991"/>
      <w:bookmarkStart w:id="292" w:name="_Toc16255"/>
      <w:bookmarkStart w:id="293" w:name="_Toc10473"/>
      <w:bookmarkStart w:id="294" w:name="_Toc13"/>
      <w:bookmarkStart w:id="295" w:name="_Toc19639"/>
      <w:bookmarkStart w:id="296" w:name="_Toc19659"/>
      <w:r>
        <w:rPr>
          <w:rFonts w:hint="eastAsia" w:ascii="黑体" w:hAnsi="黑体"/>
          <w:b w:val="0"/>
          <w:bCs w:val="0"/>
          <w:sz w:val="28"/>
          <w:szCs w:val="28"/>
        </w:rPr>
        <w:t>9.终止本次磋商</w:t>
      </w:r>
      <w:bookmarkEnd w:id="291"/>
      <w:bookmarkEnd w:id="292"/>
      <w:bookmarkEnd w:id="293"/>
      <w:bookmarkEnd w:id="294"/>
      <w:bookmarkEnd w:id="295"/>
      <w:bookmarkEnd w:id="296"/>
    </w:p>
    <w:p w14:paraId="6F5413DB">
      <w:pPr>
        <w:wordWrap w:val="0"/>
        <w:adjustRightInd w:val="0"/>
        <w:snapToGrid w:val="0"/>
        <w:spacing w:line="360" w:lineRule="auto"/>
        <w:ind w:left="480" w:hanging="480" w:hangingChars="200"/>
        <w:rPr>
          <w:rFonts w:hint="eastAsia" w:ascii="宋体" w:hAnsi="宋体"/>
          <w:sz w:val="24"/>
        </w:rPr>
      </w:pPr>
      <w:r>
        <w:rPr>
          <w:rFonts w:ascii="宋体" w:hAnsi="宋体"/>
          <w:sz w:val="24"/>
        </w:rPr>
        <w:t>9.1 出现下列情形之一的，采购人或采购代理机构将终止竞争性磋商采购活动，发布项目终止公告并说明原因，重新开展采购活动：</w:t>
      </w:r>
    </w:p>
    <w:p w14:paraId="078AB1A5">
      <w:pPr>
        <w:wordWrap w:val="0"/>
        <w:adjustRightInd w:val="0"/>
        <w:snapToGrid w:val="0"/>
        <w:spacing w:line="360" w:lineRule="auto"/>
        <w:rPr>
          <w:rFonts w:hint="eastAsia" w:ascii="宋体" w:hAnsi="宋体"/>
          <w:sz w:val="24"/>
        </w:rPr>
      </w:pPr>
      <w:r>
        <w:rPr>
          <w:rFonts w:ascii="宋体" w:hAnsi="宋体"/>
          <w:sz w:val="24"/>
        </w:rPr>
        <w:t>9.1.1 因情况变化，不再符合规定的竞争性磋商采购方式适用情形的；</w:t>
      </w:r>
    </w:p>
    <w:p w14:paraId="6ECDCECC">
      <w:pPr>
        <w:wordWrap w:val="0"/>
        <w:adjustRightInd w:val="0"/>
        <w:snapToGrid w:val="0"/>
        <w:spacing w:line="360" w:lineRule="auto"/>
        <w:rPr>
          <w:rFonts w:hint="eastAsia" w:ascii="宋体" w:hAnsi="宋体"/>
          <w:sz w:val="24"/>
        </w:rPr>
      </w:pPr>
      <w:r>
        <w:rPr>
          <w:rFonts w:ascii="宋体" w:hAnsi="宋体"/>
          <w:sz w:val="24"/>
        </w:rPr>
        <w:t>9.1.2 出现影响采购公正的违法、违规行为的；</w:t>
      </w:r>
    </w:p>
    <w:p w14:paraId="6883495D">
      <w:pPr>
        <w:wordWrap w:val="0"/>
        <w:spacing w:line="360" w:lineRule="auto"/>
        <w:ind w:left="480" w:hanging="480" w:hangingChars="200"/>
        <w:rPr>
          <w:rFonts w:hint="eastAsia" w:ascii="宋体" w:hAnsi="宋体"/>
          <w:sz w:val="24"/>
        </w:rPr>
      </w:pPr>
      <w:r>
        <w:rPr>
          <w:rFonts w:ascii="宋体" w:hAnsi="宋体"/>
          <w:sz w:val="24"/>
        </w:rPr>
        <w:t>9.1.3 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p w14:paraId="0FA26C4D">
      <w:pPr>
        <w:pStyle w:val="7"/>
        <w:wordWrap w:val="0"/>
        <w:spacing w:before="0" w:after="0" w:line="360" w:lineRule="auto"/>
        <w:rPr>
          <w:rFonts w:hint="eastAsia" w:ascii="黑体" w:hAnsi="黑体"/>
          <w:b w:val="0"/>
          <w:bCs w:val="0"/>
          <w:sz w:val="28"/>
          <w:szCs w:val="28"/>
        </w:rPr>
      </w:pPr>
      <w:bookmarkStart w:id="297" w:name="_Toc19909"/>
      <w:bookmarkStart w:id="298" w:name="_Toc15048321"/>
      <w:bookmarkStart w:id="299" w:name="_Toc23206"/>
      <w:bookmarkStart w:id="300" w:name="_Toc613"/>
      <w:bookmarkStart w:id="301" w:name="_Toc13519"/>
      <w:bookmarkStart w:id="302" w:name="_Toc27697"/>
      <w:bookmarkStart w:id="303" w:name="_Toc31484"/>
      <w:bookmarkStart w:id="304" w:name="_Toc520356174"/>
      <w:bookmarkStart w:id="305" w:name="_Toc31099"/>
      <w:bookmarkStart w:id="306" w:name="_Toc30170"/>
      <w:bookmarkStart w:id="307" w:name="_Toc532473483"/>
      <w:bookmarkStart w:id="308" w:name="_Toc515647791"/>
      <w:r>
        <w:rPr>
          <w:rFonts w:hint="eastAsia" w:ascii="黑体" w:hAnsi="黑体"/>
          <w:b w:val="0"/>
          <w:bCs w:val="0"/>
          <w:sz w:val="28"/>
          <w:szCs w:val="28"/>
        </w:rPr>
        <w:t>10.成交公告与成交通知书</w:t>
      </w:r>
      <w:bookmarkEnd w:id="297"/>
      <w:bookmarkEnd w:id="298"/>
      <w:bookmarkEnd w:id="299"/>
      <w:bookmarkEnd w:id="300"/>
      <w:bookmarkEnd w:id="301"/>
      <w:bookmarkEnd w:id="302"/>
      <w:bookmarkEnd w:id="303"/>
    </w:p>
    <w:p w14:paraId="65216E95">
      <w:pPr>
        <w:wordWrap w:val="0"/>
        <w:spacing w:line="360" w:lineRule="auto"/>
        <w:ind w:left="480" w:hanging="480" w:hangingChars="200"/>
        <w:rPr>
          <w:rFonts w:hint="eastAsia" w:ascii="宋体" w:hAnsi="宋体"/>
          <w:sz w:val="24"/>
        </w:rPr>
      </w:pPr>
      <w:bookmarkStart w:id="309" w:name="_Hlk86907143"/>
      <w:r>
        <w:rPr>
          <w:rFonts w:ascii="宋体" w:hAnsi="宋体"/>
          <w:sz w:val="24"/>
        </w:rPr>
        <w:t xml:space="preserve">10.1 </w:t>
      </w:r>
      <w:r>
        <w:rPr>
          <w:rFonts w:hint="eastAsia" w:ascii="宋体" w:hAnsi="宋体"/>
          <w:sz w:val="24"/>
        </w:rPr>
        <w:t>采购人或者采购代理机构应当在成交供应商确定之日起2个工作日内，在相关网站公告成交结果，同时向成交供应商发出成交通知书，</w:t>
      </w:r>
      <w:bookmarkEnd w:id="309"/>
      <w:r>
        <w:rPr>
          <w:rFonts w:hint="eastAsia" w:ascii="宋体" w:hAnsi="宋体"/>
          <w:sz w:val="24"/>
        </w:rPr>
        <w:t>成交公告期限为一个工作日。</w:t>
      </w:r>
    </w:p>
    <w:p w14:paraId="4E9C3533">
      <w:pPr>
        <w:wordWrap w:val="0"/>
        <w:adjustRightInd w:val="0"/>
        <w:snapToGrid w:val="0"/>
        <w:spacing w:line="360" w:lineRule="auto"/>
        <w:ind w:left="480" w:hanging="480" w:hangingChars="200"/>
        <w:rPr>
          <w:rFonts w:hint="eastAsia" w:ascii="宋体" w:hAnsi="宋体"/>
          <w:sz w:val="24"/>
        </w:rPr>
      </w:pPr>
      <w:r>
        <w:rPr>
          <w:rFonts w:ascii="宋体" w:hAnsi="宋体"/>
          <w:sz w:val="24"/>
        </w:rPr>
        <w:t xml:space="preserve">10.2 </w:t>
      </w:r>
      <w:r>
        <w:rPr>
          <w:rFonts w:hint="eastAsia" w:ascii="宋体" w:hAnsi="宋体"/>
          <w:sz w:val="24"/>
        </w:rPr>
        <w:t>成交</w:t>
      </w:r>
      <w:r>
        <w:rPr>
          <w:rFonts w:ascii="宋体" w:hAnsi="宋体"/>
          <w:sz w:val="24"/>
        </w:rPr>
        <w:t>通知书对采购人和</w:t>
      </w:r>
      <w:r>
        <w:rPr>
          <w:rFonts w:hint="eastAsia" w:ascii="宋体" w:hAnsi="宋体"/>
          <w:sz w:val="24"/>
        </w:rPr>
        <w:t>成交</w:t>
      </w:r>
      <w:r>
        <w:rPr>
          <w:rFonts w:ascii="宋体" w:hAnsi="宋体"/>
          <w:sz w:val="24"/>
        </w:rPr>
        <w:t>供应商均具有法律效力。</w:t>
      </w:r>
      <w:r>
        <w:rPr>
          <w:rFonts w:hint="eastAsia" w:ascii="宋体" w:hAnsi="宋体"/>
          <w:sz w:val="24"/>
        </w:rPr>
        <w:t>成交</w:t>
      </w:r>
      <w:r>
        <w:rPr>
          <w:rFonts w:ascii="宋体" w:hAnsi="宋体"/>
          <w:sz w:val="24"/>
        </w:rPr>
        <w:t>通知书发出后，采购人改变</w:t>
      </w:r>
      <w:r>
        <w:rPr>
          <w:rFonts w:hint="eastAsia" w:ascii="宋体" w:hAnsi="宋体"/>
          <w:sz w:val="24"/>
        </w:rPr>
        <w:t>成交</w:t>
      </w:r>
      <w:r>
        <w:rPr>
          <w:rFonts w:ascii="宋体" w:hAnsi="宋体"/>
          <w:sz w:val="24"/>
        </w:rPr>
        <w:t>结果的，或者</w:t>
      </w:r>
      <w:r>
        <w:rPr>
          <w:rFonts w:hint="eastAsia" w:ascii="宋体" w:hAnsi="宋体"/>
          <w:sz w:val="24"/>
        </w:rPr>
        <w:t>成交</w:t>
      </w:r>
      <w:r>
        <w:rPr>
          <w:rFonts w:ascii="宋体" w:hAnsi="宋体"/>
          <w:sz w:val="24"/>
        </w:rPr>
        <w:t>供应商放弃</w:t>
      </w:r>
      <w:r>
        <w:rPr>
          <w:rFonts w:hint="eastAsia" w:ascii="宋体" w:hAnsi="宋体"/>
          <w:sz w:val="24"/>
        </w:rPr>
        <w:t>成交</w:t>
      </w:r>
      <w:r>
        <w:rPr>
          <w:rFonts w:ascii="宋体" w:hAnsi="宋体"/>
          <w:sz w:val="24"/>
        </w:rPr>
        <w:t>项目的，应当依法承担法律责任。</w:t>
      </w:r>
    </w:p>
    <w:p w14:paraId="59B1D505">
      <w:pPr>
        <w:wordWrap w:val="0"/>
        <w:spacing w:line="360" w:lineRule="auto"/>
        <w:ind w:left="480" w:hanging="480" w:hangingChars="200"/>
        <w:rPr>
          <w:rFonts w:hint="eastAsia" w:ascii="宋体" w:hAnsi="宋体"/>
          <w:sz w:val="24"/>
        </w:rPr>
      </w:pPr>
      <w:r>
        <w:rPr>
          <w:rFonts w:ascii="宋体" w:hAnsi="宋体"/>
          <w:sz w:val="24"/>
        </w:rPr>
        <w:t>10.3</w:t>
      </w:r>
      <w:r>
        <w:rPr>
          <w:rFonts w:hint="eastAsia" w:ascii="宋体" w:hAnsi="宋体"/>
          <w:sz w:val="24"/>
        </w:rPr>
        <w:t xml:space="preserve"> 公告成交结果时同时公告成交人的评审总得分。</w:t>
      </w:r>
    </w:p>
    <w:bookmarkEnd w:id="304"/>
    <w:bookmarkEnd w:id="305"/>
    <w:bookmarkEnd w:id="306"/>
    <w:bookmarkEnd w:id="307"/>
    <w:bookmarkEnd w:id="308"/>
    <w:p w14:paraId="16460573">
      <w:pPr>
        <w:pStyle w:val="7"/>
        <w:wordWrap w:val="0"/>
        <w:spacing w:before="0" w:after="0" w:line="360" w:lineRule="auto"/>
        <w:rPr>
          <w:rFonts w:hint="eastAsia" w:ascii="黑体" w:hAnsi="黑体"/>
          <w:b w:val="0"/>
          <w:bCs w:val="0"/>
          <w:sz w:val="24"/>
        </w:rPr>
      </w:pPr>
      <w:bookmarkStart w:id="310" w:name="_Toc17244"/>
      <w:bookmarkStart w:id="311" w:name="_Toc31842"/>
      <w:bookmarkStart w:id="312" w:name="_Toc9957"/>
      <w:bookmarkStart w:id="313" w:name="_Toc27672"/>
      <w:bookmarkStart w:id="314" w:name="_Toc5559"/>
      <w:r>
        <w:rPr>
          <w:rFonts w:hint="eastAsia" w:ascii="黑体" w:hAnsi="黑体"/>
          <w:b w:val="0"/>
          <w:bCs w:val="0"/>
          <w:sz w:val="24"/>
        </w:rPr>
        <w:t>11.废标</w:t>
      </w:r>
      <w:bookmarkEnd w:id="310"/>
      <w:bookmarkEnd w:id="311"/>
      <w:bookmarkEnd w:id="312"/>
      <w:bookmarkEnd w:id="313"/>
      <w:bookmarkEnd w:id="314"/>
    </w:p>
    <w:p w14:paraId="174BBE15">
      <w:pPr>
        <w:wordWrap w:val="0"/>
        <w:spacing w:line="360" w:lineRule="auto"/>
        <w:rPr>
          <w:rFonts w:hint="eastAsia" w:ascii="宋体" w:hAnsi="宋体"/>
          <w:sz w:val="24"/>
        </w:rPr>
      </w:pPr>
      <w:r>
        <w:rPr>
          <w:rFonts w:ascii="宋体" w:hAnsi="宋体"/>
          <w:sz w:val="24"/>
        </w:rPr>
        <w:t xml:space="preserve">11.1 </w:t>
      </w:r>
      <w:r>
        <w:rPr>
          <w:rFonts w:hint="eastAsia" w:ascii="宋体" w:hAnsi="宋体"/>
          <w:sz w:val="24"/>
        </w:rPr>
        <w:t xml:space="preserve">在采购过程中出现下列情形之一，将导致项目废标： </w:t>
      </w:r>
    </w:p>
    <w:p w14:paraId="4FC7F309">
      <w:pPr>
        <w:wordWrap w:val="0"/>
        <w:spacing w:line="360" w:lineRule="auto"/>
        <w:ind w:left="720" w:hanging="720" w:hangingChars="300"/>
        <w:rPr>
          <w:rFonts w:hint="eastAsia" w:ascii="宋体" w:hAnsi="宋体"/>
          <w:sz w:val="24"/>
        </w:rPr>
      </w:pPr>
      <w:r>
        <w:rPr>
          <w:rFonts w:ascii="宋体" w:hAnsi="宋体"/>
          <w:sz w:val="24"/>
        </w:rPr>
        <w:t xml:space="preserve">11.1.1 </w:t>
      </w:r>
      <w:r>
        <w:rPr>
          <w:rFonts w:hint="eastAsia" w:ascii="宋体" w:hAnsi="宋体"/>
          <w:sz w:val="24"/>
        </w:rPr>
        <w:t>除上述9.1.3项特殊情况外，符合专业条件的供应商或者满足竞争性磋商文件实质性要求的供应商不足三家的；</w:t>
      </w:r>
    </w:p>
    <w:p w14:paraId="44C37E14">
      <w:pPr>
        <w:wordWrap w:val="0"/>
        <w:spacing w:line="360" w:lineRule="auto"/>
        <w:rPr>
          <w:rFonts w:hint="eastAsia" w:ascii="宋体" w:hAnsi="宋体"/>
          <w:sz w:val="24"/>
        </w:rPr>
      </w:pPr>
      <w:r>
        <w:rPr>
          <w:rFonts w:ascii="宋体" w:hAnsi="宋体"/>
          <w:sz w:val="24"/>
        </w:rPr>
        <w:t xml:space="preserve">11.1.2 </w:t>
      </w:r>
      <w:r>
        <w:rPr>
          <w:rFonts w:hint="eastAsia" w:ascii="宋体" w:hAnsi="宋体"/>
          <w:sz w:val="24"/>
        </w:rPr>
        <w:t>出现影响采购公正的违法、违规行为的；</w:t>
      </w:r>
    </w:p>
    <w:p w14:paraId="1AC8AEFE">
      <w:pPr>
        <w:wordWrap w:val="0"/>
        <w:spacing w:line="360" w:lineRule="auto"/>
        <w:rPr>
          <w:rFonts w:hint="eastAsia" w:ascii="宋体" w:hAnsi="宋体"/>
          <w:sz w:val="24"/>
        </w:rPr>
      </w:pPr>
      <w:r>
        <w:rPr>
          <w:rFonts w:ascii="宋体" w:hAnsi="宋体"/>
          <w:sz w:val="24"/>
        </w:rPr>
        <w:t xml:space="preserve">11.1.3 </w:t>
      </w:r>
      <w:r>
        <w:rPr>
          <w:rFonts w:hint="eastAsia" w:ascii="宋体" w:hAnsi="宋体" w:cs="仿宋"/>
          <w:sz w:val="24"/>
        </w:rPr>
        <w:t>供应商</w:t>
      </w:r>
      <w:r>
        <w:rPr>
          <w:rFonts w:hint="eastAsia" w:ascii="宋体" w:hAnsi="宋体"/>
          <w:sz w:val="24"/>
        </w:rPr>
        <w:t>的报价均超过了采购预算或最高限价的，采购人不能支付的；</w:t>
      </w:r>
    </w:p>
    <w:p w14:paraId="1FEE0511">
      <w:pPr>
        <w:wordWrap w:val="0"/>
        <w:spacing w:line="360" w:lineRule="auto"/>
        <w:rPr>
          <w:rFonts w:hint="eastAsia" w:ascii="宋体" w:hAnsi="宋体"/>
          <w:sz w:val="24"/>
        </w:rPr>
      </w:pPr>
      <w:r>
        <w:rPr>
          <w:rFonts w:ascii="宋体" w:hAnsi="宋体"/>
          <w:sz w:val="24"/>
        </w:rPr>
        <w:t xml:space="preserve">11.1.4 </w:t>
      </w:r>
      <w:r>
        <w:rPr>
          <w:rFonts w:hint="eastAsia" w:ascii="宋体" w:hAnsi="宋体"/>
          <w:sz w:val="24"/>
        </w:rPr>
        <w:t>因重大变故，采购任务取消的。</w:t>
      </w:r>
    </w:p>
    <w:p w14:paraId="094518E6">
      <w:pPr>
        <w:wordWrap w:val="0"/>
        <w:spacing w:line="360" w:lineRule="auto"/>
        <w:ind w:left="490" w:hanging="489" w:hangingChars="204"/>
        <w:rPr>
          <w:rFonts w:hint="eastAsia" w:ascii="宋体" w:hAnsi="宋体"/>
          <w:sz w:val="24"/>
        </w:rPr>
      </w:pPr>
      <w:r>
        <w:rPr>
          <w:rFonts w:ascii="宋体" w:hAnsi="宋体"/>
          <w:sz w:val="24"/>
        </w:rPr>
        <w:t xml:space="preserve">11.2 </w:t>
      </w:r>
      <w:r>
        <w:rPr>
          <w:sz w:val="24"/>
        </w:rPr>
        <w:t>废标后，采购人将废标理由通知所有</w:t>
      </w:r>
      <w:r>
        <w:rPr>
          <w:rFonts w:hint="eastAsia"/>
          <w:sz w:val="24"/>
        </w:rPr>
        <w:t>供应商</w:t>
      </w:r>
      <w:r>
        <w:rPr>
          <w:sz w:val="24"/>
        </w:rPr>
        <w:t>。</w:t>
      </w:r>
    </w:p>
    <w:p w14:paraId="3AD8DA1D">
      <w:pPr>
        <w:pStyle w:val="7"/>
        <w:wordWrap w:val="0"/>
        <w:spacing w:before="0" w:after="0" w:line="360" w:lineRule="auto"/>
        <w:rPr>
          <w:rFonts w:hint="eastAsia" w:ascii="宋体" w:hAnsi="宋体" w:eastAsia="宋体" w:cs="宋体"/>
          <w:b w:val="0"/>
          <w:bCs w:val="0"/>
          <w:sz w:val="24"/>
        </w:rPr>
      </w:pPr>
      <w:bookmarkStart w:id="315" w:name="_Toc39568666"/>
      <w:bookmarkStart w:id="316" w:name="_Toc4518"/>
      <w:bookmarkStart w:id="317" w:name="_Toc14125"/>
      <w:bookmarkStart w:id="318" w:name="_Toc11823"/>
      <w:bookmarkStart w:id="319" w:name="_Toc18019"/>
      <w:bookmarkStart w:id="320" w:name="_Toc10091"/>
      <w:r>
        <w:rPr>
          <w:rFonts w:hint="eastAsia" w:ascii="黑体" w:hAnsi="黑体"/>
          <w:b w:val="0"/>
          <w:bCs w:val="0"/>
          <w:sz w:val="24"/>
        </w:rPr>
        <w:t>12.签订合同</w:t>
      </w:r>
      <w:bookmarkEnd w:id="315"/>
      <w:bookmarkEnd w:id="316"/>
      <w:bookmarkEnd w:id="317"/>
      <w:bookmarkEnd w:id="318"/>
      <w:bookmarkEnd w:id="319"/>
      <w:bookmarkEnd w:id="320"/>
    </w:p>
    <w:p w14:paraId="2C346AF8">
      <w:pPr>
        <w:wordWrap w:val="0"/>
        <w:spacing w:line="360" w:lineRule="auto"/>
        <w:ind w:left="600" w:hanging="600" w:hangingChars="250"/>
        <w:rPr>
          <w:rFonts w:hint="eastAsia" w:ascii="宋体" w:hAnsi="宋体"/>
          <w:sz w:val="24"/>
        </w:rPr>
      </w:pPr>
      <w:bookmarkStart w:id="321" w:name="_Hlk96070483"/>
      <w:r>
        <w:rPr>
          <w:rFonts w:hint="eastAsia" w:ascii="宋体" w:hAnsi="宋体" w:cs="宋体"/>
          <w:sz w:val="24"/>
        </w:rPr>
        <w:t>12.1 成交人与</w:t>
      </w:r>
      <w:r>
        <w:rPr>
          <w:rFonts w:hint="eastAsia" w:ascii="宋体" w:hAnsi="宋体" w:cs="宋体"/>
          <w:spacing w:val="-10"/>
          <w:sz w:val="24"/>
        </w:rPr>
        <w:t>采购人应当自成交通知书发出之日起</w:t>
      </w:r>
      <w:r>
        <w:rPr>
          <w:rFonts w:hint="eastAsia" w:ascii="宋体" w:hAnsi="宋体" w:cs="宋体"/>
          <w:sz w:val="24"/>
        </w:rPr>
        <w:t>30</w:t>
      </w:r>
      <w:r>
        <w:rPr>
          <w:rFonts w:hint="eastAsia" w:ascii="宋体" w:hAnsi="宋体" w:cs="宋体"/>
          <w:spacing w:val="-9"/>
          <w:sz w:val="24"/>
        </w:rPr>
        <w:t>日内，按照竞争</w:t>
      </w:r>
      <w:r>
        <w:rPr>
          <w:rFonts w:hint="eastAsia"/>
          <w:spacing w:val="-9"/>
          <w:sz w:val="24"/>
        </w:rPr>
        <w:t>性磋商文件</w:t>
      </w:r>
      <w:r>
        <w:rPr>
          <w:spacing w:val="-9"/>
          <w:sz w:val="24"/>
        </w:rPr>
        <w:t>和</w:t>
      </w:r>
      <w:r>
        <w:rPr>
          <w:rFonts w:hint="eastAsia"/>
          <w:spacing w:val="-9"/>
          <w:sz w:val="24"/>
        </w:rPr>
        <w:t>成交</w:t>
      </w:r>
      <w:r>
        <w:rPr>
          <w:sz w:val="24"/>
        </w:rPr>
        <w:t>人</w:t>
      </w:r>
      <w:r>
        <w:rPr>
          <w:rFonts w:hint="eastAsia"/>
          <w:sz w:val="24"/>
        </w:rPr>
        <w:t>响应文件</w:t>
      </w:r>
      <w:r>
        <w:rPr>
          <w:sz w:val="24"/>
        </w:rPr>
        <w:t>的</w:t>
      </w:r>
      <w:r>
        <w:rPr>
          <w:rFonts w:hint="eastAsia"/>
          <w:sz w:val="24"/>
        </w:rPr>
        <w:t>内容</w:t>
      </w:r>
      <w:r>
        <w:rPr>
          <w:sz w:val="24"/>
        </w:rPr>
        <w:t>签订合同。</w:t>
      </w:r>
    </w:p>
    <w:bookmarkEnd w:id="321"/>
    <w:p w14:paraId="71F87D2A">
      <w:pPr>
        <w:wordWrap w:val="0"/>
        <w:spacing w:line="360" w:lineRule="auto"/>
        <w:ind w:left="480" w:hanging="480" w:hangingChars="200"/>
        <w:rPr>
          <w:rFonts w:hint="eastAsia" w:ascii="宋体" w:hAnsi="宋体"/>
          <w:sz w:val="24"/>
        </w:rPr>
      </w:pPr>
      <w:r>
        <w:rPr>
          <w:rFonts w:ascii="宋体" w:hAnsi="宋体"/>
          <w:sz w:val="24"/>
        </w:rPr>
        <w:t>12</w:t>
      </w:r>
      <w:r>
        <w:rPr>
          <w:rFonts w:hint="eastAsia" w:ascii="宋体" w:hAnsi="宋体"/>
          <w:sz w:val="24"/>
        </w:rPr>
        <w:t>.2</w:t>
      </w:r>
      <w:r>
        <w:rPr>
          <w:rFonts w:ascii="宋体" w:hAnsi="宋体"/>
          <w:sz w:val="24"/>
        </w:rPr>
        <w:t xml:space="preserve"> </w:t>
      </w:r>
      <w:r>
        <w:rPr>
          <w:rFonts w:hint="eastAsia" w:ascii="宋体" w:hAnsi="宋体"/>
          <w:sz w:val="24"/>
        </w:rPr>
        <w:t>竞争性磋商文件、成交供应商的响应文件及其澄清文件等，均为签订合同的依据。</w:t>
      </w:r>
    </w:p>
    <w:p w14:paraId="64E6A2A0">
      <w:pPr>
        <w:wordWrap w:val="0"/>
        <w:spacing w:line="360" w:lineRule="auto"/>
        <w:ind w:left="480" w:hanging="480" w:hangingChars="200"/>
        <w:rPr>
          <w:rFonts w:hint="eastAsia" w:ascii="宋体" w:hAnsi="宋体"/>
          <w:sz w:val="24"/>
        </w:rPr>
      </w:pPr>
      <w:r>
        <w:rPr>
          <w:rFonts w:ascii="宋体" w:hAnsi="宋体"/>
          <w:sz w:val="24"/>
        </w:rPr>
        <w:t>12</w:t>
      </w:r>
      <w:r>
        <w:rPr>
          <w:rFonts w:hint="eastAsia" w:ascii="宋体" w:hAnsi="宋体"/>
          <w:sz w:val="24"/>
        </w:rPr>
        <w:t>.</w:t>
      </w:r>
      <w:r>
        <w:rPr>
          <w:rFonts w:ascii="宋体" w:hAnsi="宋体"/>
          <w:sz w:val="24"/>
        </w:rPr>
        <w:t xml:space="preserve">3 </w:t>
      </w:r>
      <w:r>
        <w:rPr>
          <w:rFonts w:hint="eastAsia" w:ascii="宋体" w:hAnsi="宋体"/>
          <w:sz w:val="24"/>
        </w:rPr>
        <w:t>如成交人</w:t>
      </w:r>
      <w:r>
        <w:rPr>
          <w:rFonts w:ascii="宋体" w:hAnsi="宋体"/>
          <w:sz w:val="24"/>
        </w:rPr>
        <w:t>拒绝与采购人签订合同的，</w:t>
      </w:r>
      <w:r>
        <w:rPr>
          <w:rFonts w:hint="eastAsia" w:ascii="宋体" w:hAnsi="宋体"/>
          <w:sz w:val="24"/>
        </w:rPr>
        <w:t>应当承担相应的法律责任；</w:t>
      </w:r>
      <w:r>
        <w:rPr>
          <w:rFonts w:ascii="宋体" w:hAnsi="宋体"/>
          <w:sz w:val="24"/>
        </w:rPr>
        <w:t>采购人可以按照</w:t>
      </w:r>
      <w:r>
        <w:rPr>
          <w:rFonts w:hint="eastAsia" w:ascii="宋体" w:hAnsi="宋体"/>
          <w:sz w:val="24"/>
        </w:rPr>
        <w:t>评审</w:t>
      </w:r>
      <w:r>
        <w:rPr>
          <w:rFonts w:ascii="宋体" w:hAnsi="宋体"/>
          <w:sz w:val="24"/>
        </w:rPr>
        <w:t>报告推荐的</w:t>
      </w:r>
      <w:r>
        <w:rPr>
          <w:rFonts w:hint="eastAsia" w:ascii="宋体" w:hAnsi="宋体"/>
          <w:sz w:val="24"/>
        </w:rPr>
        <w:t>成交</w:t>
      </w:r>
      <w:r>
        <w:rPr>
          <w:rFonts w:ascii="宋体" w:hAnsi="宋体"/>
          <w:sz w:val="24"/>
        </w:rPr>
        <w:t>候选人</w:t>
      </w:r>
      <w:r>
        <w:rPr>
          <w:rFonts w:hint="eastAsia" w:ascii="宋体" w:hAnsi="宋体"/>
          <w:sz w:val="24"/>
        </w:rPr>
        <w:t>名单</w:t>
      </w:r>
      <w:r>
        <w:rPr>
          <w:rFonts w:ascii="宋体" w:hAnsi="宋体"/>
          <w:sz w:val="24"/>
        </w:rPr>
        <w:t>排序</w:t>
      </w:r>
      <w:r>
        <w:rPr>
          <w:rFonts w:hint="eastAsia" w:ascii="宋体" w:hAnsi="宋体"/>
          <w:sz w:val="24"/>
        </w:rPr>
        <w:t>，</w:t>
      </w:r>
      <w:r>
        <w:rPr>
          <w:rFonts w:ascii="宋体" w:hAnsi="宋体"/>
          <w:sz w:val="24"/>
        </w:rPr>
        <w:t>确定下一</w:t>
      </w:r>
      <w:r>
        <w:rPr>
          <w:rFonts w:hint="eastAsia" w:ascii="宋体" w:hAnsi="宋体"/>
          <w:sz w:val="24"/>
        </w:rPr>
        <w:t>成交候选</w:t>
      </w:r>
      <w:r>
        <w:rPr>
          <w:rFonts w:ascii="宋体" w:hAnsi="宋体"/>
          <w:sz w:val="24"/>
        </w:rPr>
        <w:t>人为</w:t>
      </w:r>
      <w:r>
        <w:rPr>
          <w:rFonts w:hint="eastAsia" w:ascii="宋体" w:hAnsi="宋体"/>
          <w:sz w:val="24"/>
        </w:rPr>
        <w:t>成交人</w:t>
      </w:r>
      <w:r>
        <w:rPr>
          <w:rFonts w:ascii="宋体" w:hAnsi="宋体"/>
          <w:sz w:val="24"/>
        </w:rPr>
        <w:t>，也可以重新开展采购活动。</w:t>
      </w:r>
      <w:r>
        <w:rPr>
          <w:rFonts w:hint="eastAsia" w:ascii="宋体" w:hAnsi="宋体"/>
          <w:b/>
          <w:bCs/>
          <w:sz w:val="24"/>
        </w:rPr>
        <w:t>拒绝签订采购合同的成交供应商不得参加对该项目重新开展的采购活动。</w:t>
      </w:r>
    </w:p>
    <w:p w14:paraId="7EF9C364">
      <w:pPr>
        <w:wordWrap w:val="0"/>
        <w:spacing w:line="360" w:lineRule="auto"/>
        <w:ind w:left="600" w:hanging="600" w:hangingChars="250"/>
        <w:rPr>
          <w:sz w:val="24"/>
        </w:rPr>
      </w:pPr>
      <w:bookmarkStart w:id="322" w:name="_Hlk164356484"/>
      <w:r>
        <w:rPr>
          <w:rFonts w:ascii="宋体" w:hAnsi="宋体"/>
          <w:sz w:val="24"/>
        </w:rPr>
        <w:t xml:space="preserve">12.4 </w:t>
      </w:r>
      <w:r>
        <w:rPr>
          <w:sz w:val="24"/>
        </w:rPr>
        <w:t>联合体</w:t>
      </w:r>
      <w:r>
        <w:rPr>
          <w:rFonts w:hint="eastAsia"/>
          <w:sz w:val="24"/>
        </w:rPr>
        <w:t>成交</w:t>
      </w:r>
      <w:r>
        <w:rPr>
          <w:sz w:val="24"/>
        </w:rPr>
        <w:t>的，联合体各方应当共同与采购人签订合同，就采购合同约定的事项向采购人承担连带责任。</w:t>
      </w:r>
    </w:p>
    <w:p w14:paraId="4EC9C96A">
      <w:pPr>
        <w:wordWrap w:val="0"/>
        <w:spacing w:line="360" w:lineRule="auto"/>
        <w:rPr>
          <w:rFonts w:hint="eastAsia" w:ascii="宋体" w:hAnsi="宋体"/>
          <w:sz w:val="24"/>
        </w:rPr>
      </w:pPr>
      <w:r>
        <w:rPr>
          <w:rFonts w:hint="eastAsia" w:ascii="宋体" w:hAnsi="宋体"/>
          <w:sz w:val="24"/>
        </w:rPr>
        <w:t>1</w:t>
      </w:r>
      <w:r>
        <w:rPr>
          <w:rFonts w:ascii="宋体" w:hAnsi="宋体"/>
          <w:sz w:val="24"/>
        </w:rPr>
        <w:t>2.5 采购合同不能转包。</w:t>
      </w:r>
    </w:p>
    <w:p w14:paraId="2E40CB8A">
      <w:pPr>
        <w:wordWrap w:val="0"/>
        <w:spacing w:line="360" w:lineRule="auto"/>
        <w:ind w:left="600" w:hanging="600" w:hangingChars="250"/>
        <w:rPr>
          <w:rFonts w:hint="eastAsia" w:ascii="宋体" w:hAnsi="宋体"/>
          <w:sz w:val="24"/>
        </w:rPr>
      </w:pPr>
      <w:r>
        <w:rPr>
          <w:rFonts w:ascii="宋体" w:hAnsi="宋体"/>
          <w:sz w:val="24"/>
        </w:rPr>
        <w:t>12.6 采购人允</w:t>
      </w:r>
      <w:r>
        <w:rPr>
          <w:sz w:val="24"/>
        </w:rPr>
        <w:t>许采用分包方式履行合同的，</w:t>
      </w:r>
      <w:r>
        <w:rPr>
          <w:rFonts w:hint="eastAsia"/>
          <w:sz w:val="24"/>
        </w:rPr>
        <w:t>成交</w:t>
      </w:r>
      <w:r>
        <w:rPr>
          <w:sz w:val="24"/>
        </w:rPr>
        <w:t>人可以依法在</w:t>
      </w:r>
      <w:r>
        <w:rPr>
          <w:rFonts w:hint="eastAsia"/>
          <w:sz w:val="24"/>
        </w:rPr>
        <w:t>成交</w:t>
      </w:r>
      <w:r>
        <w:rPr>
          <w:sz w:val="24"/>
        </w:rPr>
        <w:t>后将</w:t>
      </w:r>
      <w:r>
        <w:rPr>
          <w:rFonts w:hint="eastAsia"/>
          <w:sz w:val="24"/>
        </w:rPr>
        <w:t>成交</w:t>
      </w:r>
      <w:r>
        <w:rPr>
          <w:sz w:val="24"/>
        </w:rPr>
        <w:t>项目的非主体、非关键性工作采取分包方式履行合同。本项目的非主体、非关键性工作是否允许分包，见</w:t>
      </w:r>
      <w:r>
        <w:rPr>
          <w:rFonts w:hint="eastAsia"/>
          <w:sz w:val="24"/>
        </w:rPr>
        <w:t>：</w:t>
      </w:r>
      <w:r>
        <w:rPr>
          <w:rFonts w:hint="eastAsia"/>
          <w:b/>
          <w:bCs/>
          <w:sz w:val="24"/>
          <w:u w:val="single"/>
        </w:rPr>
        <w:t>供应商</w:t>
      </w:r>
      <w:r>
        <w:rPr>
          <w:b/>
          <w:bCs/>
          <w:sz w:val="24"/>
          <w:u w:val="single"/>
        </w:rPr>
        <w:t>须知</w:t>
      </w:r>
      <w:r>
        <w:rPr>
          <w:rFonts w:hint="eastAsia"/>
          <w:b/>
          <w:bCs/>
          <w:sz w:val="24"/>
          <w:u w:val="single"/>
        </w:rPr>
        <w:t>前附表</w:t>
      </w:r>
      <w:r>
        <w:rPr>
          <w:sz w:val="24"/>
        </w:rPr>
        <w:t>。</w:t>
      </w:r>
      <w:r>
        <w:rPr>
          <w:b/>
          <w:bCs/>
          <w:sz w:val="24"/>
        </w:rPr>
        <w:t>采购合同分包履行的，应当在</w:t>
      </w:r>
      <w:r>
        <w:rPr>
          <w:rFonts w:hint="eastAsia"/>
          <w:b/>
          <w:bCs/>
          <w:sz w:val="24"/>
        </w:rPr>
        <w:t>响应文件</w:t>
      </w:r>
      <w:r>
        <w:rPr>
          <w:b/>
          <w:bCs/>
          <w:sz w:val="24"/>
        </w:rPr>
        <w:t>中载明分包承担主体，分包承担主体应当具备相应资质条件且不得再次分包，否则</w:t>
      </w:r>
      <w:r>
        <w:rPr>
          <w:rFonts w:hint="eastAsia"/>
          <w:b/>
          <w:bCs/>
          <w:sz w:val="24"/>
        </w:rPr>
        <w:t>提交响应文件</w:t>
      </w:r>
      <w:r>
        <w:rPr>
          <w:b/>
          <w:bCs/>
          <w:sz w:val="24"/>
        </w:rPr>
        <w:t>无效。</w:t>
      </w:r>
      <w:r>
        <w:rPr>
          <w:rFonts w:hint="eastAsia"/>
          <w:sz w:val="24"/>
        </w:rPr>
        <w:t>成交</w:t>
      </w:r>
      <w:r>
        <w:rPr>
          <w:sz w:val="24"/>
        </w:rPr>
        <w:t>人就采购项目和分包项目向采购人负责，分包</w:t>
      </w:r>
      <w:r>
        <w:rPr>
          <w:rFonts w:hint="eastAsia"/>
          <w:sz w:val="24"/>
        </w:rPr>
        <w:t>承担主体</w:t>
      </w:r>
      <w:r>
        <w:rPr>
          <w:sz w:val="24"/>
        </w:rPr>
        <w:t>就分包项目承担责任。</w:t>
      </w:r>
      <w:bookmarkEnd w:id="322"/>
    </w:p>
    <w:p w14:paraId="06CD336B">
      <w:pPr>
        <w:pStyle w:val="7"/>
        <w:wordWrap w:val="0"/>
        <w:spacing w:before="0" w:after="0" w:line="360" w:lineRule="auto"/>
        <w:rPr>
          <w:rFonts w:hint="eastAsia" w:ascii="黑体" w:hAnsi="黑体"/>
          <w:b w:val="0"/>
          <w:bCs w:val="0"/>
          <w:sz w:val="24"/>
        </w:rPr>
      </w:pPr>
      <w:bookmarkStart w:id="323" w:name="_Toc30104"/>
      <w:bookmarkStart w:id="324" w:name="_Toc25942"/>
      <w:bookmarkStart w:id="325" w:name="_Toc39568667"/>
      <w:bookmarkStart w:id="326" w:name="_Toc19344"/>
      <w:bookmarkStart w:id="327" w:name="_Toc20036"/>
      <w:bookmarkStart w:id="328" w:name="_Toc31897"/>
      <w:r>
        <w:rPr>
          <w:rFonts w:hint="eastAsia" w:ascii="黑体" w:hAnsi="黑体"/>
          <w:b w:val="0"/>
          <w:bCs w:val="0"/>
          <w:sz w:val="24"/>
        </w:rPr>
        <w:t>13.履约保证金</w:t>
      </w:r>
      <w:bookmarkEnd w:id="323"/>
      <w:bookmarkEnd w:id="324"/>
      <w:bookmarkEnd w:id="325"/>
      <w:bookmarkEnd w:id="326"/>
      <w:bookmarkEnd w:id="327"/>
      <w:bookmarkEnd w:id="328"/>
    </w:p>
    <w:p w14:paraId="093A51E3">
      <w:pPr>
        <w:wordWrap w:val="0"/>
        <w:spacing w:line="360" w:lineRule="auto"/>
        <w:ind w:left="614" w:hanging="614" w:hangingChars="256"/>
        <w:rPr>
          <w:rFonts w:hint="eastAsia" w:ascii="宋体" w:hAnsi="宋体"/>
          <w:sz w:val="24"/>
        </w:rPr>
      </w:pPr>
      <w:r>
        <w:rPr>
          <w:rFonts w:ascii="宋体" w:hAnsi="宋体"/>
          <w:sz w:val="24"/>
        </w:rPr>
        <w:t xml:space="preserve">13.1 </w:t>
      </w:r>
      <w:r>
        <w:rPr>
          <w:rFonts w:hint="eastAsia" w:ascii="宋体" w:hAnsi="宋体"/>
          <w:sz w:val="24"/>
        </w:rPr>
        <w:t>如果</w:t>
      </w:r>
      <w:r>
        <w:rPr>
          <w:rFonts w:ascii="宋体" w:hAnsi="宋体"/>
          <w:sz w:val="24"/>
        </w:rPr>
        <w:t>需要</w:t>
      </w:r>
      <w:r>
        <w:rPr>
          <w:rFonts w:hint="eastAsia" w:ascii="宋体" w:hAnsi="宋体"/>
          <w:sz w:val="24"/>
        </w:rPr>
        <w:t>交纳</w:t>
      </w:r>
      <w:r>
        <w:rPr>
          <w:rFonts w:ascii="宋体" w:hAnsi="宋体"/>
          <w:sz w:val="24"/>
        </w:rPr>
        <w:t>履约保证金，</w:t>
      </w:r>
      <w:r>
        <w:rPr>
          <w:rFonts w:hint="eastAsia" w:ascii="宋体" w:hAnsi="宋体"/>
          <w:sz w:val="24"/>
        </w:rPr>
        <w:t>成交人应按照</w:t>
      </w:r>
      <w:r>
        <w:rPr>
          <w:rFonts w:hint="eastAsia" w:ascii="宋体" w:hAnsi="宋体"/>
          <w:b/>
          <w:sz w:val="24"/>
          <w:u w:val="single"/>
        </w:rPr>
        <w:t>供应商须知前附表</w:t>
      </w:r>
      <w:r>
        <w:rPr>
          <w:rFonts w:hint="eastAsia" w:ascii="宋体" w:hAnsi="宋体"/>
          <w:bCs/>
          <w:sz w:val="24"/>
        </w:rPr>
        <w:t>的</w:t>
      </w:r>
      <w:r>
        <w:rPr>
          <w:rFonts w:hint="eastAsia" w:ascii="宋体" w:hAnsi="宋体"/>
          <w:sz w:val="24"/>
        </w:rPr>
        <w:t>规定向采购人提供履约保证金保函。</w:t>
      </w:r>
      <w:r>
        <w:rPr>
          <w:rFonts w:ascii="宋体" w:hAnsi="宋体"/>
          <w:sz w:val="24"/>
        </w:rPr>
        <w:t>经</w:t>
      </w:r>
      <w:r>
        <w:rPr>
          <w:rFonts w:hint="eastAsia" w:ascii="宋体" w:hAnsi="宋体"/>
          <w:sz w:val="24"/>
        </w:rPr>
        <w:t>采购人</w:t>
      </w:r>
      <w:r>
        <w:rPr>
          <w:rFonts w:ascii="宋体" w:hAnsi="宋体"/>
          <w:sz w:val="24"/>
        </w:rPr>
        <w:t>同意，</w:t>
      </w:r>
      <w:r>
        <w:rPr>
          <w:rFonts w:hint="eastAsia" w:ascii="宋体" w:hAnsi="宋体"/>
          <w:sz w:val="24"/>
        </w:rPr>
        <w:t>成交人</w:t>
      </w:r>
      <w:r>
        <w:rPr>
          <w:rFonts w:ascii="宋体" w:hAnsi="宋体"/>
          <w:sz w:val="24"/>
        </w:rPr>
        <w:t>也可以自愿</w:t>
      </w:r>
      <w:r>
        <w:rPr>
          <w:rFonts w:hint="eastAsia" w:ascii="宋体" w:hAnsi="宋体"/>
          <w:sz w:val="24"/>
        </w:rPr>
        <w:t>采用</w:t>
      </w:r>
      <w:r>
        <w:rPr>
          <w:rFonts w:ascii="宋体" w:hAnsi="宋体"/>
          <w:sz w:val="24"/>
        </w:rPr>
        <w:t>其他</w:t>
      </w:r>
      <w:r>
        <w:rPr>
          <w:rFonts w:hint="eastAsia" w:ascii="宋体" w:hAnsi="宋体"/>
          <w:sz w:val="24"/>
        </w:rPr>
        <w:t>履约保证金的提供</w:t>
      </w:r>
      <w:r>
        <w:rPr>
          <w:rFonts w:ascii="宋体" w:hAnsi="宋体"/>
          <w:sz w:val="24"/>
        </w:rPr>
        <w:t>方式</w:t>
      </w:r>
      <w:r>
        <w:rPr>
          <w:rFonts w:hint="eastAsia" w:ascii="宋体" w:hAnsi="宋体"/>
          <w:sz w:val="24"/>
        </w:rPr>
        <w:t>。</w:t>
      </w:r>
    </w:p>
    <w:p w14:paraId="1D6425EB">
      <w:pPr>
        <w:wordWrap w:val="0"/>
        <w:spacing w:line="360" w:lineRule="auto"/>
        <w:ind w:left="566" w:hanging="566" w:hangingChars="236"/>
        <w:rPr>
          <w:rFonts w:hint="eastAsia" w:ascii="宋体" w:hAnsi="宋体"/>
          <w:sz w:val="24"/>
        </w:rPr>
      </w:pPr>
      <w:r>
        <w:rPr>
          <w:rFonts w:ascii="宋体" w:hAnsi="宋体"/>
          <w:sz w:val="24"/>
        </w:rPr>
        <w:t>13</w:t>
      </w:r>
      <w:r>
        <w:rPr>
          <w:rFonts w:hint="eastAsia" w:ascii="宋体" w:hAnsi="宋体"/>
          <w:sz w:val="24"/>
        </w:rPr>
        <w:t>.</w:t>
      </w:r>
      <w:r>
        <w:rPr>
          <w:rFonts w:ascii="宋体" w:hAnsi="宋体"/>
          <w:sz w:val="24"/>
        </w:rPr>
        <w:t xml:space="preserve">2 </w:t>
      </w:r>
      <w:r>
        <w:rPr>
          <w:rFonts w:hint="eastAsia" w:ascii="宋体" w:hAnsi="宋体"/>
          <w:sz w:val="24"/>
        </w:rPr>
        <w:t>如果成交人没有按照上述规定向采购人交纳履约保证金，将被视为放弃成交资格，应当承担相应的法律责任；在此情况下，采购人可以按顺序</w:t>
      </w:r>
      <w:r>
        <w:rPr>
          <w:rFonts w:ascii="宋体" w:hAnsi="宋体"/>
          <w:sz w:val="24"/>
        </w:rPr>
        <w:t>确定下一</w:t>
      </w:r>
      <w:r>
        <w:rPr>
          <w:rFonts w:hint="eastAsia" w:ascii="宋体" w:hAnsi="宋体"/>
          <w:sz w:val="24"/>
        </w:rPr>
        <w:t>成交候选</w:t>
      </w:r>
      <w:r>
        <w:rPr>
          <w:rFonts w:ascii="宋体" w:hAnsi="宋体"/>
          <w:sz w:val="24"/>
        </w:rPr>
        <w:t>人为</w:t>
      </w:r>
      <w:r>
        <w:rPr>
          <w:rFonts w:hint="eastAsia" w:ascii="宋体" w:hAnsi="宋体"/>
          <w:sz w:val="24"/>
        </w:rPr>
        <w:t>成交人</w:t>
      </w:r>
      <w:r>
        <w:rPr>
          <w:rFonts w:ascii="宋体" w:hAnsi="宋体"/>
          <w:sz w:val="24"/>
        </w:rPr>
        <w:t>，也可以重新开展采购活动。</w:t>
      </w:r>
    </w:p>
    <w:p w14:paraId="260F618B">
      <w:pPr>
        <w:pStyle w:val="7"/>
        <w:wordWrap w:val="0"/>
        <w:spacing w:before="0" w:after="0" w:line="360" w:lineRule="auto"/>
        <w:rPr>
          <w:rFonts w:hint="eastAsia" w:ascii="黑体" w:hAnsi="黑体"/>
          <w:b w:val="0"/>
          <w:bCs w:val="0"/>
          <w:sz w:val="24"/>
        </w:rPr>
      </w:pPr>
      <w:bookmarkStart w:id="329" w:name="_Toc39568668"/>
      <w:bookmarkStart w:id="330" w:name="_Toc392"/>
      <w:bookmarkStart w:id="331" w:name="_Toc8294"/>
      <w:bookmarkStart w:id="332" w:name="_Toc4560"/>
      <w:bookmarkStart w:id="333" w:name="_Toc24112"/>
      <w:bookmarkStart w:id="334" w:name="_Toc2956"/>
      <w:r>
        <w:rPr>
          <w:rFonts w:hint="eastAsia" w:ascii="黑体" w:hAnsi="黑体"/>
          <w:b w:val="0"/>
          <w:bCs w:val="0"/>
          <w:sz w:val="24"/>
        </w:rPr>
        <w:t>14.</w:t>
      </w:r>
      <w:bookmarkEnd w:id="329"/>
      <w:r>
        <w:rPr>
          <w:rFonts w:hint="eastAsia" w:ascii="黑体" w:hAnsi="黑体"/>
          <w:b w:val="0"/>
          <w:bCs w:val="0"/>
          <w:sz w:val="24"/>
        </w:rPr>
        <w:t>付款方式</w:t>
      </w:r>
      <w:bookmarkEnd w:id="330"/>
      <w:bookmarkEnd w:id="331"/>
      <w:bookmarkEnd w:id="332"/>
      <w:bookmarkEnd w:id="333"/>
      <w:bookmarkEnd w:id="334"/>
    </w:p>
    <w:p w14:paraId="371DDBAD">
      <w:pPr>
        <w:wordWrap w:val="0"/>
        <w:spacing w:line="360" w:lineRule="auto"/>
        <w:ind w:left="600" w:hanging="600" w:hangingChars="250"/>
        <w:rPr>
          <w:rFonts w:hint="eastAsia" w:ascii="宋体" w:hAnsi="宋体"/>
          <w:sz w:val="24"/>
        </w:rPr>
      </w:pPr>
      <w:bookmarkStart w:id="335" w:name="_Toc39568669"/>
      <w:r>
        <w:rPr>
          <w:rFonts w:ascii="宋体" w:hAnsi="宋体"/>
          <w:sz w:val="24"/>
        </w:rPr>
        <w:t>14.1付款方式</w:t>
      </w:r>
      <w:r>
        <w:rPr>
          <w:rFonts w:hint="eastAsia" w:ascii="宋体" w:hAnsi="宋体"/>
          <w:sz w:val="24"/>
        </w:rPr>
        <w:t>比例按照</w:t>
      </w:r>
      <w:r>
        <w:rPr>
          <w:rFonts w:hint="eastAsia" w:ascii="宋体" w:hAnsi="宋体"/>
          <w:b/>
          <w:sz w:val="24"/>
          <w:u w:val="single"/>
        </w:rPr>
        <w:t>供应商须知前附表</w:t>
      </w:r>
      <w:r>
        <w:rPr>
          <w:rFonts w:hint="eastAsia" w:ascii="宋体" w:hAnsi="宋体"/>
          <w:sz w:val="24"/>
        </w:rPr>
        <w:t>规定执行。</w:t>
      </w:r>
    </w:p>
    <w:bookmarkEnd w:id="335"/>
    <w:p w14:paraId="0F814EF2">
      <w:pPr>
        <w:pStyle w:val="7"/>
        <w:wordWrap w:val="0"/>
        <w:spacing w:before="0" w:after="0" w:line="360" w:lineRule="auto"/>
        <w:rPr>
          <w:rFonts w:hint="eastAsia" w:ascii="黑体" w:hAnsi="黑体"/>
          <w:b w:val="0"/>
          <w:bCs w:val="0"/>
          <w:sz w:val="24"/>
        </w:rPr>
      </w:pPr>
      <w:bookmarkStart w:id="336" w:name="_Toc8849"/>
      <w:bookmarkStart w:id="337" w:name="_Toc22026"/>
      <w:bookmarkStart w:id="338" w:name="_Toc96071960"/>
      <w:bookmarkStart w:id="339" w:name="_Toc2370"/>
      <w:bookmarkStart w:id="340" w:name="_Toc25070"/>
      <w:bookmarkStart w:id="341" w:name="_Toc31752"/>
      <w:r>
        <w:rPr>
          <w:rFonts w:hint="eastAsia" w:ascii="黑体" w:hAnsi="黑体"/>
          <w:b w:val="0"/>
          <w:bCs w:val="0"/>
          <w:sz w:val="24"/>
        </w:rPr>
        <w:t>15.履约验收</w:t>
      </w:r>
      <w:bookmarkEnd w:id="336"/>
      <w:bookmarkEnd w:id="337"/>
      <w:bookmarkEnd w:id="338"/>
      <w:bookmarkEnd w:id="339"/>
      <w:bookmarkEnd w:id="340"/>
      <w:bookmarkEnd w:id="341"/>
    </w:p>
    <w:p w14:paraId="6EBE5E3F">
      <w:pPr>
        <w:wordWrap w:val="0"/>
        <w:adjustRightInd w:val="0"/>
        <w:snapToGrid w:val="0"/>
        <w:spacing w:line="360" w:lineRule="auto"/>
        <w:ind w:firstLine="420"/>
        <w:rPr>
          <w:rFonts w:hint="eastAsia" w:ascii="宋体" w:hAnsi="宋体"/>
          <w:sz w:val="24"/>
        </w:rPr>
      </w:pPr>
      <w:r>
        <w:rPr>
          <w:rFonts w:hint="eastAsia" w:ascii="宋体" w:hAnsi="宋体"/>
          <w:sz w:val="24"/>
        </w:rPr>
        <w:t>本项目采购人将严格按照合同的要求进行验收。</w:t>
      </w:r>
    </w:p>
    <w:p w14:paraId="183289E8">
      <w:pPr>
        <w:pStyle w:val="5"/>
        <w:wordWrap w:val="0"/>
        <w:rPr>
          <w:rFonts w:hint="eastAsia" w:ascii="宋体" w:hAnsi="宋体"/>
          <w:sz w:val="24"/>
        </w:rPr>
      </w:pPr>
    </w:p>
    <w:p w14:paraId="65E135DD">
      <w:pPr>
        <w:pStyle w:val="7"/>
        <w:numPr>
          <w:ilvl w:val="0"/>
          <w:numId w:val="1"/>
        </w:numPr>
        <w:wordWrap w:val="0"/>
        <w:spacing w:before="0" w:after="0" w:line="360" w:lineRule="auto"/>
        <w:jc w:val="center"/>
        <w:rPr>
          <w:rFonts w:hint="eastAsia" w:ascii="黑体" w:hAnsi="黑体"/>
          <w:b w:val="0"/>
          <w:bCs w:val="0"/>
          <w:sz w:val="28"/>
        </w:rPr>
      </w:pPr>
      <w:bookmarkStart w:id="342" w:name="_Toc17233"/>
      <w:bookmarkStart w:id="343" w:name="_Toc28903"/>
      <w:bookmarkStart w:id="344" w:name="_Toc19757"/>
      <w:bookmarkStart w:id="345" w:name="_Toc19662"/>
      <w:r>
        <w:rPr>
          <w:rFonts w:hint="eastAsia" w:ascii="黑体" w:hAnsi="黑体"/>
          <w:b w:val="0"/>
          <w:bCs w:val="0"/>
          <w:sz w:val="28"/>
        </w:rPr>
        <w:t>质疑</w:t>
      </w:r>
      <w:bookmarkEnd w:id="342"/>
      <w:bookmarkEnd w:id="343"/>
      <w:bookmarkEnd w:id="344"/>
      <w:bookmarkEnd w:id="345"/>
    </w:p>
    <w:p w14:paraId="0BDC3C0D">
      <w:pPr>
        <w:pStyle w:val="46"/>
        <w:wordWrap w:val="0"/>
        <w:ind w:firstLine="0"/>
        <w:rPr>
          <w:rFonts w:hint="eastAsia" w:ascii="宋体" w:hAnsi="宋体"/>
          <w:sz w:val="24"/>
        </w:rPr>
      </w:pPr>
    </w:p>
    <w:p w14:paraId="1AF86D41">
      <w:pPr>
        <w:pStyle w:val="7"/>
        <w:wordWrap w:val="0"/>
        <w:spacing w:before="0" w:after="0" w:line="360" w:lineRule="auto"/>
        <w:rPr>
          <w:rFonts w:hint="eastAsia" w:ascii="黑体" w:hAnsi="黑体"/>
          <w:b w:val="0"/>
          <w:bCs w:val="0"/>
          <w:sz w:val="24"/>
        </w:rPr>
      </w:pPr>
      <w:bookmarkStart w:id="346" w:name="_Toc30818"/>
      <w:bookmarkStart w:id="347" w:name="_Toc39568673"/>
      <w:bookmarkStart w:id="348" w:name="_Toc30842"/>
      <w:bookmarkStart w:id="349" w:name="_Toc9201"/>
      <w:bookmarkStart w:id="350" w:name="_Toc28922"/>
      <w:bookmarkStart w:id="351" w:name="_Toc27458"/>
      <w:r>
        <w:rPr>
          <w:rFonts w:hint="eastAsia" w:ascii="黑体" w:hAnsi="黑体"/>
          <w:b w:val="0"/>
          <w:bCs w:val="0"/>
          <w:sz w:val="24"/>
        </w:rPr>
        <w:t>16.质疑的</w:t>
      </w:r>
      <w:r>
        <w:rPr>
          <w:rFonts w:ascii="黑体" w:hAnsi="黑体"/>
          <w:b w:val="0"/>
          <w:bCs w:val="0"/>
          <w:sz w:val="24"/>
        </w:rPr>
        <w:t>提出</w:t>
      </w:r>
      <w:r>
        <w:rPr>
          <w:rFonts w:hint="eastAsia" w:ascii="黑体" w:hAnsi="黑体"/>
          <w:b w:val="0"/>
          <w:bCs w:val="0"/>
          <w:sz w:val="24"/>
        </w:rPr>
        <w:t>与接受</w:t>
      </w:r>
      <w:bookmarkEnd w:id="346"/>
      <w:bookmarkEnd w:id="347"/>
      <w:bookmarkEnd w:id="348"/>
      <w:bookmarkEnd w:id="349"/>
      <w:bookmarkEnd w:id="350"/>
      <w:bookmarkEnd w:id="351"/>
    </w:p>
    <w:p w14:paraId="478428BC">
      <w:pPr>
        <w:wordWrap w:val="0"/>
        <w:spacing w:line="360" w:lineRule="auto"/>
        <w:ind w:left="480" w:hanging="480" w:hangingChars="200"/>
        <w:rPr>
          <w:rFonts w:hint="eastAsia" w:ascii="宋体" w:hAnsi="宋体"/>
          <w:sz w:val="24"/>
        </w:rPr>
      </w:pPr>
      <w:r>
        <w:rPr>
          <w:rFonts w:hint="eastAsia" w:ascii="宋体" w:hAnsi="宋体"/>
          <w:sz w:val="24"/>
        </w:rPr>
        <w:t>16.1</w:t>
      </w:r>
      <w:r>
        <w:rPr>
          <w:rFonts w:ascii="宋体" w:hAnsi="宋体"/>
          <w:sz w:val="24"/>
        </w:rPr>
        <w:t xml:space="preserve"> </w:t>
      </w:r>
      <w:r>
        <w:rPr>
          <w:rFonts w:hint="eastAsia" w:ascii="宋体" w:hAnsi="宋体"/>
          <w:sz w:val="24"/>
        </w:rPr>
        <w:t>供应商认为竞争性磋商文件、采购过程、成交结果使自己的权益受到损害的，可以根据</w:t>
      </w:r>
      <w:r>
        <w:rPr>
          <w:rFonts w:ascii="宋体" w:hAnsi="宋体"/>
          <w:sz w:val="24"/>
        </w:rPr>
        <w:t>《</w:t>
      </w:r>
      <w:r>
        <w:rPr>
          <w:rFonts w:hint="eastAsia" w:ascii="宋体" w:hAnsi="宋体"/>
          <w:sz w:val="24"/>
        </w:rPr>
        <w:t>中华人民共和国政府</w:t>
      </w:r>
      <w:r>
        <w:rPr>
          <w:rFonts w:ascii="宋体" w:hAnsi="宋体"/>
          <w:sz w:val="24"/>
        </w:rPr>
        <w:t>采购法》《</w:t>
      </w:r>
      <w:r>
        <w:rPr>
          <w:rFonts w:hint="eastAsia" w:ascii="宋体" w:hAnsi="宋体"/>
          <w:sz w:val="24"/>
        </w:rPr>
        <w:t>中华人民共和国政府</w:t>
      </w:r>
      <w:r>
        <w:rPr>
          <w:rFonts w:ascii="宋体" w:hAnsi="宋体"/>
          <w:sz w:val="24"/>
        </w:rPr>
        <w:t>采购法实施条例》</w:t>
      </w:r>
      <w:r>
        <w:rPr>
          <w:rFonts w:hint="eastAsia" w:ascii="宋体" w:hAnsi="宋体"/>
          <w:sz w:val="24"/>
        </w:rPr>
        <w:t>《政府采购竞争性磋商采购方式暂行办法》和《政府采购质疑和投诉办法》等有关规定，依法向采购人或其委托的采购代理机构提出质疑。</w:t>
      </w:r>
    </w:p>
    <w:p w14:paraId="341B9122">
      <w:pPr>
        <w:wordWrap w:val="0"/>
        <w:spacing w:line="360" w:lineRule="auto"/>
        <w:ind w:left="588" w:hanging="588" w:hangingChars="245"/>
        <w:rPr>
          <w:rFonts w:hint="eastAsia" w:ascii="宋体" w:hAnsi="宋体"/>
          <w:sz w:val="24"/>
        </w:rPr>
      </w:pPr>
      <w:bookmarkStart w:id="352" w:name="_Hlk164357294"/>
      <w:r>
        <w:rPr>
          <w:rFonts w:hint="eastAsia" w:ascii="宋体" w:hAnsi="宋体"/>
          <w:sz w:val="24"/>
        </w:rPr>
        <w:t>16</w:t>
      </w:r>
      <w:r>
        <w:rPr>
          <w:rFonts w:ascii="宋体" w:hAnsi="宋体"/>
          <w:sz w:val="24"/>
        </w:rPr>
        <w:t xml:space="preserve">.2 </w:t>
      </w:r>
      <w:r>
        <w:rPr>
          <w:rFonts w:hint="eastAsia" w:ascii="宋体" w:hAnsi="宋体"/>
          <w:sz w:val="24"/>
        </w:rPr>
        <w:t>提出质疑的供应商</w:t>
      </w:r>
      <w:r>
        <w:rPr>
          <w:rFonts w:ascii="宋体" w:hAnsi="宋体"/>
          <w:sz w:val="24"/>
        </w:rPr>
        <w:t>应按照财政部制定的</w:t>
      </w:r>
      <w:r>
        <w:rPr>
          <w:rFonts w:hint="eastAsia" w:ascii="宋体" w:hAnsi="宋体"/>
          <w:sz w:val="24"/>
        </w:rPr>
        <w:t>《政府采购质疑函范本》格式（可从财政部官方网站下载）和</w:t>
      </w:r>
      <w:r>
        <w:rPr>
          <w:rFonts w:ascii="宋体" w:hAnsi="宋体"/>
          <w:sz w:val="24"/>
        </w:rPr>
        <w:t>《</w:t>
      </w:r>
      <w:r>
        <w:rPr>
          <w:rFonts w:hint="eastAsia" w:ascii="宋体" w:hAnsi="宋体"/>
          <w:sz w:val="24"/>
        </w:rPr>
        <w:t>政府</w:t>
      </w:r>
      <w:r>
        <w:rPr>
          <w:rFonts w:ascii="宋体" w:hAnsi="宋体"/>
          <w:sz w:val="24"/>
        </w:rPr>
        <w:t>采购质疑和投诉办法》的要求</w:t>
      </w:r>
      <w:r>
        <w:rPr>
          <w:rFonts w:hint="eastAsia" w:ascii="宋体" w:hAnsi="宋体"/>
          <w:sz w:val="24"/>
        </w:rPr>
        <w:t>，</w:t>
      </w:r>
      <w:r>
        <w:rPr>
          <w:rFonts w:ascii="宋体" w:hAnsi="宋体"/>
          <w:sz w:val="24"/>
        </w:rPr>
        <w:t>在法定质疑期内</w:t>
      </w:r>
      <w:r>
        <w:rPr>
          <w:rFonts w:hint="eastAsia" w:ascii="宋体" w:hAnsi="宋体"/>
          <w:sz w:val="24"/>
        </w:rPr>
        <w:t>以书面形式质疑。</w:t>
      </w:r>
    </w:p>
    <w:p w14:paraId="209BA137">
      <w:pPr>
        <w:wordWrap w:val="0"/>
        <w:spacing w:line="360" w:lineRule="auto"/>
        <w:ind w:left="480" w:hanging="480" w:hangingChars="200"/>
        <w:rPr>
          <w:rFonts w:hint="eastAsia" w:ascii="宋体" w:hAnsi="宋体"/>
          <w:sz w:val="24"/>
        </w:rPr>
      </w:pPr>
      <w:r>
        <w:rPr>
          <w:rFonts w:hint="eastAsia" w:ascii="宋体" w:hAnsi="宋体"/>
          <w:sz w:val="24"/>
        </w:rPr>
        <w:t>16</w:t>
      </w:r>
      <w:r>
        <w:rPr>
          <w:rFonts w:ascii="宋体" w:hAnsi="宋体"/>
          <w:sz w:val="24"/>
        </w:rPr>
        <w:t>.3</w:t>
      </w:r>
      <w:bookmarkStart w:id="353" w:name="_Hlk177372888"/>
      <w:r>
        <w:rPr>
          <w:rFonts w:ascii="宋体" w:hAnsi="宋体"/>
          <w:sz w:val="24"/>
        </w:rPr>
        <w:t xml:space="preserve"> </w:t>
      </w:r>
      <w:r>
        <w:rPr>
          <w:rFonts w:hint="eastAsia" w:ascii="宋体" w:hAnsi="宋体"/>
          <w:sz w:val="24"/>
        </w:rPr>
        <w:t>供应商</w:t>
      </w:r>
      <w:r>
        <w:rPr>
          <w:rFonts w:ascii="宋体" w:hAnsi="宋体"/>
          <w:sz w:val="24"/>
        </w:rPr>
        <w:t>为自然人的，质疑函应当由本人签字；</w:t>
      </w:r>
      <w:r>
        <w:rPr>
          <w:rFonts w:hint="eastAsia" w:ascii="宋体" w:hAnsi="宋体"/>
          <w:sz w:val="24"/>
        </w:rPr>
        <w:t>供应商</w:t>
      </w:r>
      <w:r>
        <w:rPr>
          <w:rFonts w:ascii="宋体" w:hAnsi="宋体"/>
          <w:sz w:val="24"/>
        </w:rPr>
        <w:t>为法人或者其他组织的，质疑函应当由法定代表人、主要负责人签字或者盖章，并加盖</w:t>
      </w:r>
      <w:r>
        <w:rPr>
          <w:rFonts w:hint="eastAsia" w:ascii="宋体" w:hAnsi="宋体"/>
          <w:sz w:val="24"/>
        </w:rPr>
        <w:t>单位</w:t>
      </w:r>
      <w:r>
        <w:rPr>
          <w:rFonts w:ascii="宋体" w:hAnsi="宋体"/>
          <w:sz w:val="24"/>
        </w:rPr>
        <w:t>公章。</w:t>
      </w:r>
      <w:bookmarkEnd w:id="353"/>
    </w:p>
    <w:p w14:paraId="0D8488FC">
      <w:pPr>
        <w:wordWrap w:val="0"/>
        <w:spacing w:line="360" w:lineRule="auto"/>
        <w:ind w:left="480" w:hanging="480" w:hangingChars="200"/>
        <w:rPr>
          <w:rFonts w:hint="eastAsia" w:ascii="宋体" w:hAnsi="宋体"/>
          <w:sz w:val="24"/>
        </w:rPr>
      </w:pPr>
      <w:bookmarkStart w:id="354" w:name="_Hlk175152316"/>
      <w:r>
        <w:rPr>
          <w:rFonts w:hint="eastAsia" w:ascii="宋体" w:hAnsi="宋体"/>
          <w:sz w:val="24"/>
        </w:rPr>
        <w:t>16</w:t>
      </w:r>
      <w:r>
        <w:rPr>
          <w:rFonts w:ascii="宋体" w:hAnsi="宋体"/>
          <w:sz w:val="24"/>
        </w:rPr>
        <w:t xml:space="preserve">.4 </w:t>
      </w:r>
      <w:r>
        <w:rPr>
          <w:rFonts w:hint="eastAsia" w:ascii="宋体" w:hAnsi="宋体"/>
          <w:sz w:val="24"/>
        </w:rPr>
        <w:t>供应商</w:t>
      </w:r>
      <w:r>
        <w:rPr>
          <w:rFonts w:ascii="宋体" w:hAnsi="宋体"/>
          <w:sz w:val="24"/>
        </w:rPr>
        <w:t>委托代理人进行质疑的，应当随质疑函同时提交</w:t>
      </w:r>
      <w:r>
        <w:rPr>
          <w:rFonts w:hint="eastAsia" w:ascii="宋体" w:hAnsi="宋体"/>
          <w:sz w:val="24"/>
        </w:rPr>
        <w:t>供应商</w:t>
      </w:r>
      <w:r>
        <w:rPr>
          <w:rFonts w:ascii="宋体" w:hAnsi="宋体"/>
          <w:sz w:val="24"/>
        </w:rPr>
        <w:t>签署的授权委托书。授权委托书应当载明代理人的姓名或者名称、代理事项、具体权限、期限和相关事项。</w:t>
      </w:r>
      <w:r>
        <w:rPr>
          <w:rFonts w:hint="eastAsia" w:ascii="宋体" w:hAnsi="宋体"/>
          <w:sz w:val="24"/>
        </w:rPr>
        <w:t>供应商</w:t>
      </w:r>
      <w:r>
        <w:rPr>
          <w:rFonts w:ascii="宋体" w:hAnsi="宋体"/>
          <w:sz w:val="24"/>
        </w:rPr>
        <w:t>为自然人的，应当由本人签字；</w:t>
      </w:r>
      <w:r>
        <w:rPr>
          <w:rFonts w:hint="eastAsia" w:ascii="宋体" w:hAnsi="宋体"/>
          <w:sz w:val="24"/>
        </w:rPr>
        <w:t>供应商</w:t>
      </w:r>
      <w:r>
        <w:rPr>
          <w:rFonts w:ascii="宋体" w:hAnsi="宋体"/>
          <w:sz w:val="24"/>
        </w:rPr>
        <w:t>为法人或者其他组织的，应当由法定代表人、主要负责人</w:t>
      </w:r>
      <w:r>
        <w:rPr>
          <w:rFonts w:hint="eastAsia" w:ascii="宋体" w:hAnsi="宋体"/>
          <w:sz w:val="24"/>
        </w:rPr>
        <w:t>或者其授权代表</w:t>
      </w:r>
      <w:r>
        <w:rPr>
          <w:rFonts w:ascii="宋体" w:hAnsi="宋体"/>
          <w:sz w:val="24"/>
        </w:rPr>
        <w:t>签字或者盖章，并加盖</w:t>
      </w:r>
      <w:r>
        <w:rPr>
          <w:rFonts w:hint="eastAsia" w:ascii="宋体" w:hAnsi="宋体"/>
          <w:sz w:val="24"/>
        </w:rPr>
        <w:t>单位</w:t>
      </w:r>
      <w:r>
        <w:rPr>
          <w:rFonts w:ascii="宋体" w:hAnsi="宋体"/>
          <w:sz w:val="24"/>
        </w:rPr>
        <w:t>公章。</w:t>
      </w:r>
      <w:bookmarkEnd w:id="354"/>
    </w:p>
    <w:p w14:paraId="3087E265">
      <w:pPr>
        <w:wordWrap w:val="0"/>
        <w:spacing w:line="360" w:lineRule="auto"/>
        <w:ind w:left="480" w:hanging="480" w:hangingChars="200"/>
        <w:rPr>
          <w:rFonts w:hint="eastAsia" w:ascii="宋体" w:hAnsi="宋体"/>
          <w:sz w:val="24"/>
        </w:rPr>
      </w:pPr>
      <w:r>
        <w:rPr>
          <w:rFonts w:hint="eastAsia" w:ascii="宋体" w:hAnsi="宋体"/>
          <w:sz w:val="24"/>
        </w:rPr>
        <w:t>16</w:t>
      </w:r>
      <w:r>
        <w:rPr>
          <w:rFonts w:ascii="宋体" w:hAnsi="宋体"/>
          <w:sz w:val="24"/>
        </w:rPr>
        <w:t xml:space="preserve">.5 </w:t>
      </w:r>
      <w:r>
        <w:rPr>
          <w:rFonts w:hint="eastAsia" w:ascii="宋体" w:hAnsi="宋体"/>
          <w:sz w:val="24"/>
        </w:rPr>
        <w:t>供应商</w:t>
      </w:r>
      <w:r>
        <w:rPr>
          <w:rFonts w:ascii="宋体" w:hAnsi="宋体"/>
          <w:sz w:val="24"/>
        </w:rPr>
        <w:t>应在法定质疑期内一次性提出针对同一采购程序环节的质疑，法定质疑期内针对同一采购程序环节再次提出的质疑，采购人、采购代理机构有权不予答复。</w:t>
      </w:r>
    </w:p>
    <w:p w14:paraId="68051508">
      <w:pPr>
        <w:wordWrap w:val="0"/>
        <w:spacing w:line="360" w:lineRule="auto"/>
        <w:ind w:left="479" w:leftChars="228"/>
        <w:rPr>
          <w:rFonts w:hint="eastAsia" w:ascii="宋体" w:hAnsi="宋体"/>
          <w:sz w:val="24"/>
        </w:rPr>
      </w:pPr>
      <w:r>
        <w:rPr>
          <w:rFonts w:hint="eastAsia" w:ascii="宋体" w:hAnsi="宋体"/>
          <w:sz w:val="24"/>
        </w:rPr>
        <w:t>采购程序环节分为：采购公告、竞争性磋商文件、采购过程、成交结果。</w:t>
      </w:r>
    </w:p>
    <w:p w14:paraId="2604B3AB">
      <w:pPr>
        <w:wordWrap w:val="0"/>
        <w:spacing w:line="360" w:lineRule="auto"/>
        <w:rPr>
          <w:rFonts w:hint="eastAsia" w:ascii="宋体" w:hAnsi="宋体"/>
          <w:sz w:val="24"/>
        </w:rPr>
      </w:pPr>
      <w:r>
        <w:rPr>
          <w:rFonts w:hint="eastAsia" w:ascii="宋体" w:hAnsi="宋体"/>
          <w:sz w:val="24"/>
        </w:rPr>
        <w:t>16</w:t>
      </w:r>
      <w:r>
        <w:rPr>
          <w:rFonts w:ascii="宋体" w:hAnsi="宋体"/>
          <w:sz w:val="24"/>
        </w:rPr>
        <w:t xml:space="preserve">.6 </w:t>
      </w:r>
      <w:r>
        <w:rPr>
          <w:rFonts w:hint="eastAsia" w:ascii="宋体" w:hAnsi="宋体"/>
          <w:sz w:val="24"/>
        </w:rPr>
        <w:t>超出法定质疑期提交的质疑将不予</w:t>
      </w:r>
      <w:r>
        <w:rPr>
          <w:rFonts w:ascii="宋体" w:hAnsi="宋体"/>
          <w:sz w:val="24"/>
        </w:rPr>
        <w:t>答复</w:t>
      </w:r>
      <w:r>
        <w:rPr>
          <w:rFonts w:hint="eastAsia" w:ascii="宋体" w:hAnsi="宋体"/>
          <w:sz w:val="24"/>
        </w:rPr>
        <w:t>。</w:t>
      </w:r>
    </w:p>
    <w:p w14:paraId="1D6D5FD8">
      <w:pPr>
        <w:wordWrap w:val="0"/>
        <w:spacing w:line="360" w:lineRule="auto"/>
        <w:rPr>
          <w:rFonts w:hint="eastAsia" w:ascii="宋体" w:hAnsi="宋体"/>
          <w:sz w:val="24"/>
          <w:u w:val="single"/>
        </w:rPr>
      </w:pPr>
      <w:r>
        <w:rPr>
          <w:rFonts w:hint="eastAsia" w:ascii="宋体" w:hAnsi="宋体"/>
          <w:sz w:val="24"/>
        </w:rPr>
        <w:t>16.</w:t>
      </w:r>
      <w:r>
        <w:rPr>
          <w:rFonts w:ascii="宋体" w:hAnsi="宋体"/>
          <w:sz w:val="24"/>
        </w:rPr>
        <w:t>7</w:t>
      </w:r>
      <w:r>
        <w:rPr>
          <w:rFonts w:hint="eastAsia" w:ascii="宋体" w:hAnsi="宋体"/>
          <w:sz w:val="24"/>
        </w:rPr>
        <w:t xml:space="preserve"> 质疑函接收部门、联系电话和通讯地址，见</w:t>
      </w:r>
      <w:r>
        <w:rPr>
          <w:rFonts w:hint="eastAsia" w:ascii="宋体" w:hAnsi="宋体"/>
          <w:b/>
          <w:sz w:val="24"/>
          <w:u w:val="single"/>
        </w:rPr>
        <w:t>供应商须知前附表</w:t>
      </w:r>
      <w:r>
        <w:rPr>
          <w:rFonts w:hint="eastAsia" w:ascii="宋体" w:hAnsi="宋体"/>
          <w:sz w:val="24"/>
          <w:u w:val="single"/>
        </w:rPr>
        <w:t>。</w:t>
      </w:r>
    </w:p>
    <w:p w14:paraId="0802A834">
      <w:pPr>
        <w:pStyle w:val="5"/>
        <w:wordWrap w:val="0"/>
        <w:rPr>
          <w:rFonts w:hint="eastAsia" w:ascii="宋体" w:hAnsi="宋体"/>
          <w:sz w:val="24"/>
          <w:u w:val="single"/>
        </w:rPr>
      </w:pPr>
    </w:p>
    <w:p w14:paraId="68FB9859">
      <w:pPr>
        <w:pStyle w:val="7"/>
        <w:numPr>
          <w:ilvl w:val="0"/>
          <w:numId w:val="1"/>
        </w:numPr>
        <w:wordWrap w:val="0"/>
        <w:spacing w:before="0" w:after="0" w:line="360" w:lineRule="auto"/>
        <w:jc w:val="center"/>
        <w:rPr>
          <w:rFonts w:hint="eastAsia" w:ascii="黑体" w:hAnsi="黑体"/>
          <w:b w:val="0"/>
          <w:bCs w:val="0"/>
          <w:sz w:val="28"/>
        </w:rPr>
      </w:pPr>
      <w:bookmarkStart w:id="355" w:name="_Toc16570"/>
      <w:bookmarkStart w:id="356" w:name="_Toc11053"/>
      <w:bookmarkStart w:id="357" w:name="_Toc27411"/>
      <w:bookmarkStart w:id="358" w:name="_Toc28062"/>
      <w:r>
        <w:rPr>
          <w:rFonts w:hint="eastAsia" w:ascii="黑体" w:hAnsi="黑体"/>
          <w:b w:val="0"/>
          <w:bCs w:val="0"/>
          <w:sz w:val="28"/>
        </w:rPr>
        <w:t>其他事项</w:t>
      </w:r>
      <w:bookmarkEnd w:id="355"/>
      <w:bookmarkEnd w:id="356"/>
      <w:bookmarkEnd w:id="357"/>
      <w:bookmarkEnd w:id="358"/>
    </w:p>
    <w:p w14:paraId="171076C9">
      <w:pPr>
        <w:pStyle w:val="46"/>
        <w:wordWrap w:val="0"/>
        <w:ind w:firstLine="0"/>
        <w:rPr>
          <w:rFonts w:hint="eastAsia" w:ascii="宋体" w:hAnsi="宋体"/>
          <w:sz w:val="24"/>
          <w:u w:val="single"/>
        </w:rPr>
      </w:pPr>
    </w:p>
    <w:bookmarkEnd w:id="352"/>
    <w:p w14:paraId="6DA9B86F">
      <w:pPr>
        <w:pStyle w:val="7"/>
        <w:wordWrap w:val="0"/>
        <w:spacing w:before="0" w:after="0" w:line="360" w:lineRule="auto"/>
        <w:rPr>
          <w:rFonts w:hint="eastAsia" w:ascii="黑体" w:hAnsi="黑体"/>
          <w:b w:val="0"/>
          <w:bCs w:val="0"/>
          <w:sz w:val="24"/>
        </w:rPr>
      </w:pPr>
      <w:bookmarkStart w:id="359" w:name="_Toc4923"/>
      <w:bookmarkStart w:id="360" w:name="_Toc23458"/>
      <w:bookmarkStart w:id="361" w:name="_Toc28950"/>
      <w:bookmarkStart w:id="362" w:name="_Toc13456"/>
      <w:bookmarkStart w:id="363" w:name="_Toc39568671"/>
      <w:bookmarkStart w:id="364" w:name="_Toc12524"/>
      <w:bookmarkStart w:id="365" w:name="_Toc39568674"/>
      <w:r>
        <w:rPr>
          <w:rFonts w:hint="eastAsia" w:ascii="黑体" w:hAnsi="黑体"/>
          <w:b w:val="0"/>
          <w:bCs w:val="0"/>
          <w:sz w:val="24"/>
        </w:rPr>
        <w:t>17.廉洁自律</w:t>
      </w:r>
      <w:r>
        <w:rPr>
          <w:rFonts w:ascii="黑体" w:hAnsi="黑体"/>
          <w:b w:val="0"/>
          <w:bCs w:val="0"/>
          <w:sz w:val="24"/>
        </w:rPr>
        <w:t>规定</w:t>
      </w:r>
      <w:bookmarkEnd w:id="359"/>
      <w:bookmarkEnd w:id="360"/>
      <w:bookmarkEnd w:id="361"/>
      <w:bookmarkEnd w:id="362"/>
      <w:bookmarkEnd w:id="363"/>
      <w:bookmarkEnd w:id="364"/>
    </w:p>
    <w:p w14:paraId="23157C1A">
      <w:pPr>
        <w:wordWrap w:val="0"/>
        <w:spacing w:line="360" w:lineRule="auto"/>
        <w:ind w:left="559" w:hanging="559" w:hangingChars="233"/>
        <w:rPr>
          <w:rFonts w:hint="eastAsia" w:ascii="宋体" w:hAnsi="宋体"/>
          <w:sz w:val="24"/>
        </w:rPr>
      </w:pPr>
      <w:r>
        <w:rPr>
          <w:rFonts w:ascii="宋体" w:hAnsi="宋体"/>
          <w:sz w:val="24"/>
        </w:rPr>
        <w:t>1</w:t>
      </w:r>
      <w:r>
        <w:rPr>
          <w:rFonts w:hint="eastAsia" w:ascii="宋体" w:hAnsi="宋体"/>
          <w:sz w:val="24"/>
        </w:rPr>
        <w:t>7.1采购代理机构</w:t>
      </w:r>
      <w:r>
        <w:rPr>
          <w:rFonts w:ascii="宋体" w:hAnsi="宋体"/>
          <w:sz w:val="24"/>
        </w:rPr>
        <w:t>工作人员</w:t>
      </w:r>
      <w:r>
        <w:rPr>
          <w:rFonts w:hint="eastAsia" w:ascii="宋体" w:hAnsi="宋体"/>
          <w:sz w:val="24"/>
        </w:rPr>
        <w:t>不得与采购人、供应商恶意串通。</w:t>
      </w:r>
    </w:p>
    <w:p w14:paraId="0A46BC01">
      <w:pPr>
        <w:wordWrap w:val="0"/>
        <w:spacing w:line="360" w:lineRule="auto"/>
        <w:ind w:left="559" w:hanging="559" w:hangingChars="233"/>
        <w:rPr>
          <w:rFonts w:hint="eastAsia" w:ascii="宋体" w:hAnsi="宋体"/>
          <w:sz w:val="24"/>
        </w:rPr>
      </w:pPr>
      <w:r>
        <w:rPr>
          <w:rFonts w:ascii="宋体" w:hAnsi="宋体"/>
          <w:sz w:val="24"/>
        </w:rPr>
        <w:t>1</w:t>
      </w:r>
      <w:r>
        <w:rPr>
          <w:rFonts w:hint="eastAsia" w:ascii="宋体" w:hAnsi="宋体"/>
          <w:sz w:val="24"/>
        </w:rPr>
        <w:t>7</w:t>
      </w:r>
      <w:r>
        <w:rPr>
          <w:rFonts w:ascii="宋体" w:hAnsi="宋体"/>
          <w:sz w:val="24"/>
        </w:rPr>
        <w:t>.2</w:t>
      </w:r>
      <w:r>
        <w:rPr>
          <w:rFonts w:hint="eastAsia" w:ascii="宋体" w:hAnsi="宋体"/>
          <w:sz w:val="24"/>
        </w:rPr>
        <w:t>采购代理机构工作人员不得接受采购人或者供应商组织的宴请、旅游、娱乐，不得收受礼品、现金、有价证券等，不得向采购人或者供应商报销应当由个人承担的费用。</w:t>
      </w:r>
    </w:p>
    <w:p w14:paraId="56A71B93">
      <w:pPr>
        <w:wordWrap w:val="0"/>
        <w:spacing w:line="360" w:lineRule="auto"/>
        <w:ind w:left="588" w:hanging="588" w:hangingChars="245"/>
        <w:rPr>
          <w:rFonts w:hint="eastAsia" w:ascii="宋体" w:hAnsi="宋体"/>
          <w:sz w:val="24"/>
        </w:rPr>
      </w:pPr>
      <w:r>
        <w:rPr>
          <w:rFonts w:ascii="宋体" w:hAnsi="宋体"/>
          <w:sz w:val="24"/>
        </w:rPr>
        <w:t>1</w:t>
      </w:r>
      <w:r>
        <w:rPr>
          <w:rFonts w:hint="eastAsia" w:ascii="宋体" w:hAnsi="宋体"/>
          <w:sz w:val="24"/>
        </w:rPr>
        <w:t>7.3为强化</w:t>
      </w:r>
      <w:r>
        <w:rPr>
          <w:rFonts w:ascii="宋体" w:hAnsi="宋体"/>
          <w:sz w:val="24"/>
        </w:rPr>
        <w:t>内部监督机制</w:t>
      </w:r>
      <w:r>
        <w:rPr>
          <w:rFonts w:hint="eastAsia" w:ascii="宋体" w:hAnsi="宋体"/>
          <w:sz w:val="24"/>
        </w:rPr>
        <w:t>，供应商可按</w:t>
      </w:r>
      <w:r>
        <w:rPr>
          <w:rFonts w:hint="eastAsia" w:ascii="宋体" w:hAnsi="宋体"/>
          <w:b/>
          <w:sz w:val="24"/>
          <w:u w:val="single"/>
        </w:rPr>
        <w:t>供应商须知前附表</w:t>
      </w:r>
      <w:r>
        <w:rPr>
          <w:rFonts w:hint="eastAsia" w:ascii="宋体" w:hAnsi="宋体"/>
          <w:sz w:val="24"/>
        </w:rPr>
        <w:t>中代理机构的反腐倡廉监督电话/邮箱，反映采购代理机构的廉洁自律</w:t>
      </w:r>
      <w:r>
        <w:rPr>
          <w:rFonts w:ascii="宋体" w:hAnsi="宋体"/>
          <w:sz w:val="24"/>
        </w:rPr>
        <w:t>等</w:t>
      </w:r>
      <w:r>
        <w:rPr>
          <w:rFonts w:hint="eastAsia" w:ascii="宋体" w:hAnsi="宋体"/>
          <w:sz w:val="24"/>
        </w:rPr>
        <w:t>问题。</w:t>
      </w:r>
    </w:p>
    <w:p w14:paraId="63D9AC7E">
      <w:pPr>
        <w:pStyle w:val="7"/>
        <w:wordWrap w:val="0"/>
        <w:spacing w:before="0" w:after="0" w:line="360" w:lineRule="auto"/>
        <w:rPr>
          <w:rFonts w:hint="eastAsia" w:ascii="黑体" w:hAnsi="黑体"/>
          <w:b w:val="0"/>
          <w:bCs w:val="0"/>
          <w:sz w:val="24"/>
        </w:rPr>
      </w:pPr>
      <w:bookmarkStart w:id="366" w:name="_Toc17279"/>
      <w:bookmarkStart w:id="367" w:name="_Toc28579"/>
      <w:bookmarkStart w:id="368" w:name="_Toc14299"/>
      <w:bookmarkStart w:id="369" w:name="_Toc13968"/>
      <w:bookmarkStart w:id="370" w:name="_Toc27289"/>
      <w:bookmarkStart w:id="371" w:name="_Toc39568672"/>
      <w:r>
        <w:rPr>
          <w:rFonts w:hint="eastAsia" w:ascii="黑体" w:hAnsi="黑体"/>
          <w:b w:val="0"/>
          <w:bCs w:val="0"/>
          <w:sz w:val="24"/>
        </w:rPr>
        <w:t>18.人员回避</w:t>
      </w:r>
      <w:bookmarkEnd w:id="366"/>
      <w:bookmarkEnd w:id="367"/>
      <w:bookmarkEnd w:id="368"/>
      <w:bookmarkEnd w:id="369"/>
      <w:bookmarkEnd w:id="370"/>
      <w:bookmarkEnd w:id="371"/>
    </w:p>
    <w:p w14:paraId="30BB52AA">
      <w:pPr>
        <w:wordWrap w:val="0"/>
        <w:spacing w:line="360" w:lineRule="auto"/>
        <w:ind w:left="720" w:hanging="720" w:hangingChars="300"/>
        <w:rPr>
          <w:rFonts w:hint="eastAsia" w:ascii="宋体" w:hAnsi="宋体"/>
          <w:sz w:val="24"/>
        </w:rPr>
      </w:pPr>
      <w:r>
        <w:rPr>
          <w:rFonts w:hint="eastAsia" w:ascii="宋体" w:hAnsi="宋体"/>
          <w:sz w:val="24"/>
        </w:rPr>
        <w:t>18</w:t>
      </w:r>
      <w:r>
        <w:rPr>
          <w:rFonts w:ascii="宋体" w:hAnsi="宋体"/>
          <w:sz w:val="24"/>
        </w:rPr>
        <w:t xml:space="preserve">.1 </w:t>
      </w:r>
      <w:r>
        <w:rPr>
          <w:rFonts w:hint="eastAsia" w:ascii="宋体" w:hAnsi="宋体"/>
          <w:sz w:val="24"/>
        </w:rPr>
        <w:t>潜在供应商</w:t>
      </w:r>
      <w:r>
        <w:rPr>
          <w:rFonts w:ascii="宋体" w:hAnsi="宋体"/>
          <w:sz w:val="24"/>
        </w:rPr>
        <w:t>认为采购人员</w:t>
      </w:r>
      <w:r>
        <w:rPr>
          <w:rFonts w:hint="eastAsia" w:ascii="宋体" w:hAnsi="宋体"/>
          <w:sz w:val="24"/>
        </w:rPr>
        <w:t>及其</w:t>
      </w:r>
      <w:r>
        <w:rPr>
          <w:rFonts w:ascii="宋体" w:hAnsi="宋体"/>
          <w:sz w:val="24"/>
        </w:rPr>
        <w:t>相关人员有</w:t>
      </w:r>
      <w:r>
        <w:rPr>
          <w:rFonts w:hint="eastAsia" w:ascii="宋体" w:hAnsi="宋体"/>
          <w:sz w:val="24"/>
        </w:rPr>
        <w:t>法律法规</w:t>
      </w:r>
      <w:r>
        <w:rPr>
          <w:rFonts w:ascii="宋体" w:hAnsi="宋体"/>
          <w:sz w:val="24"/>
        </w:rPr>
        <w:t>所列与其他</w:t>
      </w:r>
      <w:r>
        <w:rPr>
          <w:rFonts w:hint="eastAsia" w:ascii="宋体" w:hAnsi="宋体"/>
          <w:sz w:val="24"/>
        </w:rPr>
        <w:t>供应商有</w:t>
      </w:r>
      <w:r>
        <w:rPr>
          <w:rFonts w:ascii="宋体" w:hAnsi="宋体"/>
          <w:sz w:val="24"/>
        </w:rPr>
        <w:t>利害关系的，可以向</w:t>
      </w:r>
      <w:r>
        <w:rPr>
          <w:rFonts w:hint="eastAsia" w:ascii="宋体" w:hAnsi="宋体"/>
          <w:sz w:val="24"/>
        </w:rPr>
        <w:t>采购人或</w:t>
      </w:r>
      <w:r>
        <w:rPr>
          <w:rFonts w:ascii="宋体" w:hAnsi="宋体"/>
          <w:sz w:val="24"/>
        </w:rPr>
        <w:t>采购代理机构书面提出回避申请，并说明理由。</w:t>
      </w:r>
    </w:p>
    <w:p w14:paraId="1D5F0506">
      <w:pPr>
        <w:pStyle w:val="7"/>
        <w:wordWrap w:val="0"/>
        <w:spacing w:before="0" w:after="0" w:line="360" w:lineRule="auto"/>
        <w:rPr>
          <w:rFonts w:hint="eastAsia" w:ascii="黑体" w:hAnsi="黑体"/>
          <w:b w:val="0"/>
          <w:bCs w:val="0"/>
          <w:sz w:val="24"/>
        </w:rPr>
      </w:pPr>
      <w:bookmarkStart w:id="372" w:name="_Toc10753"/>
      <w:bookmarkStart w:id="373" w:name="_Toc860"/>
      <w:bookmarkStart w:id="374" w:name="_Toc6498"/>
      <w:bookmarkStart w:id="375" w:name="_Toc26184"/>
      <w:bookmarkStart w:id="376" w:name="_Toc15329"/>
      <w:r>
        <w:rPr>
          <w:rFonts w:hint="eastAsia" w:ascii="黑体" w:hAnsi="黑体"/>
          <w:b w:val="0"/>
          <w:bCs w:val="0"/>
          <w:sz w:val="24"/>
        </w:rPr>
        <w:t>19.知识产权</w:t>
      </w:r>
      <w:bookmarkEnd w:id="365"/>
      <w:bookmarkEnd w:id="372"/>
      <w:bookmarkEnd w:id="373"/>
      <w:bookmarkEnd w:id="374"/>
      <w:bookmarkEnd w:id="375"/>
      <w:bookmarkEnd w:id="376"/>
    </w:p>
    <w:p w14:paraId="615072AC">
      <w:pPr>
        <w:tabs>
          <w:tab w:val="left" w:pos="360"/>
        </w:tabs>
        <w:wordWrap w:val="0"/>
        <w:spacing w:line="360" w:lineRule="auto"/>
        <w:ind w:left="614" w:hanging="614" w:hangingChars="256"/>
        <w:rPr>
          <w:rFonts w:hint="eastAsia" w:ascii="宋体" w:hAnsi="宋体"/>
          <w:sz w:val="24"/>
        </w:rPr>
      </w:pPr>
      <w:r>
        <w:rPr>
          <w:rFonts w:ascii="宋体" w:hAnsi="宋体"/>
          <w:sz w:val="24"/>
        </w:rPr>
        <w:t>19</w:t>
      </w:r>
      <w:r>
        <w:rPr>
          <w:rFonts w:hint="eastAsia" w:ascii="宋体" w:hAnsi="宋体"/>
          <w:sz w:val="24"/>
        </w:rPr>
        <w:t>.</w:t>
      </w:r>
      <w:r>
        <w:rPr>
          <w:rFonts w:ascii="宋体" w:hAnsi="宋体"/>
          <w:sz w:val="24"/>
        </w:rPr>
        <w:t xml:space="preserve">1 </w:t>
      </w:r>
      <w:r>
        <w:rPr>
          <w:rFonts w:hint="eastAsia" w:ascii="宋体" w:hAnsi="宋体" w:cs="仿宋"/>
          <w:sz w:val="24"/>
        </w:rPr>
        <w:t>供应商</w:t>
      </w:r>
      <w:r>
        <w:rPr>
          <w:rFonts w:hint="eastAsia" w:ascii="宋体" w:hAnsi="宋体"/>
          <w:sz w:val="24"/>
        </w:rPr>
        <w:t>须保证采购人在中华人民共和国境内使用提交响应文件货物、资料、技术、服务或其任何一部分时，不会产生因第三方提出侵犯其专利权、商标权或其他知识产权而引起的法律或经济纠纷。如供应商不拥有相应的知识产权，则在提交响应文件报价中必须包含合法获取该知识产权的一切相关费用。如因此导致采购人损失的，供应商须承担全部赔偿责任。</w:t>
      </w:r>
    </w:p>
    <w:p w14:paraId="664C12DD">
      <w:pPr>
        <w:pStyle w:val="7"/>
        <w:wordWrap w:val="0"/>
        <w:spacing w:before="0" w:after="0" w:line="360" w:lineRule="auto"/>
        <w:rPr>
          <w:rFonts w:hint="eastAsia" w:ascii="黑体" w:hAnsi="黑体"/>
          <w:b w:val="0"/>
          <w:bCs w:val="0"/>
          <w:sz w:val="24"/>
        </w:rPr>
      </w:pPr>
      <w:bookmarkStart w:id="377" w:name="_Toc181"/>
      <w:bookmarkStart w:id="378" w:name="_Toc21128"/>
      <w:bookmarkStart w:id="379" w:name="_Toc40972840"/>
      <w:bookmarkStart w:id="380" w:name="_Toc34732584"/>
      <w:bookmarkStart w:id="381" w:name="_Toc23320"/>
      <w:bookmarkStart w:id="382" w:name="_Toc36564765"/>
      <w:bookmarkStart w:id="383" w:name="_Toc25832449"/>
      <w:bookmarkStart w:id="384" w:name="_Toc227"/>
      <w:bookmarkStart w:id="385" w:name="_Toc17768"/>
      <w:bookmarkStart w:id="386" w:name="_Toc34733052"/>
      <w:bookmarkStart w:id="387" w:name="_Toc34732664"/>
      <w:bookmarkStart w:id="388" w:name="_Toc96071955"/>
      <w:r>
        <w:rPr>
          <w:rFonts w:hint="eastAsia" w:ascii="黑体" w:hAnsi="黑体"/>
          <w:b w:val="0"/>
          <w:bCs w:val="0"/>
          <w:sz w:val="24"/>
        </w:rPr>
        <w:t>20.纪律和监督</w:t>
      </w:r>
      <w:bookmarkEnd w:id="377"/>
      <w:bookmarkEnd w:id="378"/>
      <w:bookmarkEnd w:id="379"/>
      <w:bookmarkEnd w:id="380"/>
      <w:bookmarkEnd w:id="381"/>
      <w:bookmarkEnd w:id="382"/>
      <w:bookmarkEnd w:id="383"/>
      <w:bookmarkEnd w:id="384"/>
      <w:bookmarkEnd w:id="385"/>
      <w:bookmarkEnd w:id="386"/>
      <w:bookmarkEnd w:id="387"/>
      <w:bookmarkEnd w:id="388"/>
    </w:p>
    <w:p w14:paraId="0F7C9516">
      <w:pPr>
        <w:keepNext/>
        <w:keepLines/>
        <w:wordWrap w:val="0"/>
        <w:spacing w:line="360" w:lineRule="auto"/>
        <w:outlineLvl w:val="2"/>
        <w:rPr>
          <w:rFonts w:hint="eastAsia" w:ascii="黑体" w:hAnsi="黑体" w:eastAsia="黑体" w:cs="宋体"/>
          <w:sz w:val="24"/>
        </w:rPr>
      </w:pPr>
      <w:bookmarkStart w:id="389" w:name="_Toc96071956"/>
      <w:bookmarkStart w:id="390" w:name="_Toc40972841"/>
      <w:bookmarkStart w:id="391" w:name="_Toc34732585"/>
      <w:bookmarkStart w:id="392" w:name="_Toc34733053"/>
      <w:bookmarkStart w:id="393" w:name="_Toc28183"/>
      <w:bookmarkStart w:id="394" w:name="_Toc36564766"/>
      <w:bookmarkStart w:id="395" w:name="_Toc25832450"/>
      <w:r>
        <w:rPr>
          <w:rFonts w:ascii="黑体" w:hAnsi="黑体" w:eastAsia="黑体" w:cs="宋体"/>
          <w:sz w:val="24"/>
        </w:rPr>
        <w:t>20</w:t>
      </w:r>
      <w:r>
        <w:rPr>
          <w:rFonts w:hint="eastAsia" w:ascii="黑体" w:hAnsi="黑体" w:eastAsia="黑体" w:cs="宋体"/>
          <w:sz w:val="24"/>
        </w:rPr>
        <w:t>.1对采购人的纪律要求</w:t>
      </w:r>
      <w:bookmarkEnd w:id="389"/>
      <w:bookmarkEnd w:id="390"/>
      <w:bookmarkEnd w:id="391"/>
      <w:bookmarkEnd w:id="392"/>
      <w:bookmarkEnd w:id="393"/>
      <w:bookmarkEnd w:id="394"/>
      <w:bookmarkEnd w:id="395"/>
    </w:p>
    <w:p w14:paraId="39701694">
      <w:pPr>
        <w:wordWrap w:val="0"/>
        <w:spacing w:line="360" w:lineRule="auto"/>
        <w:ind w:left="420" w:leftChars="200"/>
        <w:rPr>
          <w:rFonts w:hint="eastAsia" w:ascii="宋体" w:hAnsi="宋体"/>
          <w:sz w:val="24"/>
        </w:rPr>
      </w:pPr>
      <w:r>
        <w:rPr>
          <w:rFonts w:hint="eastAsia" w:ascii="宋体" w:hAnsi="宋体"/>
          <w:sz w:val="24"/>
        </w:rPr>
        <w:t>采购人不得泄露采购活动中应当保密的情况和资料，不得与供应商串通损害国家利益、社会公共利益或者他人合法权益。</w:t>
      </w:r>
    </w:p>
    <w:p w14:paraId="1C1EFE57">
      <w:pPr>
        <w:keepNext/>
        <w:keepLines/>
        <w:wordWrap w:val="0"/>
        <w:spacing w:line="360" w:lineRule="auto"/>
        <w:outlineLvl w:val="2"/>
        <w:rPr>
          <w:rFonts w:hint="eastAsia" w:ascii="黑体" w:hAnsi="黑体" w:eastAsia="黑体" w:cs="宋体"/>
          <w:bCs/>
          <w:sz w:val="24"/>
        </w:rPr>
      </w:pPr>
      <w:bookmarkStart w:id="396" w:name="_Toc34732586"/>
      <w:bookmarkStart w:id="397" w:name="_Toc96071957"/>
      <w:bookmarkStart w:id="398" w:name="_Toc25832451"/>
      <w:bookmarkStart w:id="399" w:name="_Toc36564767"/>
      <w:bookmarkStart w:id="400" w:name="_Toc40972842"/>
      <w:bookmarkStart w:id="401" w:name="_Toc34733054"/>
      <w:bookmarkStart w:id="402" w:name="_Toc26072"/>
      <w:r>
        <w:rPr>
          <w:rFonts w:ascii="黑体" w:hAnsi="黑体" w:eastAsia="黑体" w:cs="宋体"/>
          <w:bCs/>
          <w:sz w:val="24"/>
        </w:rPr>
        <w:t>20</w:t>
      </w:r>
      <w:r>
        <w:rPr>
          <w:rFonts w:hint="eastAsia" w:ascii="黑体" w:hAnsi="黑体" w:eastAsia="黑体" w:cs="宋体"/>
          <w:bCs/>
          <w:sz w:val="24"/>
        </w:rPr>
        <w:t>.2对供应商的纪律要求</w:t>
      </w:r>
      <w:bookmarkEnd w:id="396"/>
      <w:bookmarkEnd w:id="397"/>
      <w:bookmarkEnd w:id="398"/>
      <w:bookmarkEnd w:id="399"/>
      <w:bookmarkEnd w:id="400"/>
      <w:bookmarkEnd w:id="401"/>
      <w:bookmarkEnd w:id="402"/>
    </w:p>
    <w:p w14:paraId="6C100986">
      <w:pPr>
        <w:wordWrap w:val="0"/>
        <w:spacing w:line="360" w:lineRule="auto"/>
        <w:ind w:left="420" w:leftChars="200"/>
        <w:rPr>
          <w:rFonts w:hint="eastAsia" w:ascii="宋体" w:hAnsi="宋体"/>
          <w:sz w:val="24"/>
        </w:rPr>
      </w:pPr>
      <w:r>
        <w:rPr>
          <w:rFonts w:hint="eastAsia" w:ascii="宋体" w:hAnsi="宋体"/>
          <w:sz w:val="24"/>
        </w:rPr>
        <w:t>供应商不得相互串通或者与采购人串通，不得向采购人或磋商小组成员行贿谋取成交，不得以他人名义参加采购活动或者以其他方式弄虚作假骗取成交；供应商不得以任何方式干扰、影响采购工作。</w:t>
      </w:r>
    </w:p>
    <w:p w14:paraId="3E4A432E">
      <w:pPr>
        <w:keepNext/>
        <w:keepLines/>
        <w:wordWrap w:val="0"/>
        <w:spacing w:line="360" w:lineRule="auto"/>
        <w:outlineLvl w:val="2"/>
        <w:rPr>
          <w:rFonts w:hint="eastAsia" w:ascii="黑体" w:hAnsi="黑体" w:eastAsia="黑体" w:cs="宋体"/>
          <w:bCs/>
          <w:sz w:val="24"/>
        </w:rPr>
      </w:pPr>
      <w:bookmarkStart w:id="403" w:name="_Toc36564768"/>
      <w:bookmarkStart w:id="404" w:name="_Toc25832452"/>
      <w:bookmarkStart w:id="405" w:name="_Toc254"/>
      <w:bookmarkStart w:id="406" w:name="_Toc96071958"/>
      <w:bookmarkStart w:id="407" w:name="_Toc34733055"/>
      <w:bookmarkStart w:id="408" w:name="_Toc40972843"/>
      <w:bookmarkStart w:id="409" w:name="_Toc34732587"/>
      <w:bookmarkStart w:id="410" w:name="_Hlk56617385"/>
      <w:r>
        <w:rPr>
          <w:rFonts w:ascii="黑体" w:hAnsi="黑体" w:eastAsia="黑体" w:cs="宋体"/>
          <w:bCs/>
          <w:sz w:val="24"/>
        </w:rPr>
        <w:t>20</w:t>
      </w:r>
      <w:r>
        <w:rPr>
          <w:rFonts w:hint="eastAsia" w:ascii="黑体" w:hAnsi="黑体" w:eastAsia="黑体" w:cs="宋体"/>
          <w:bCs/>
          <w:sz w:val="24"/>
        </w:rPr>
        <w:t>.3对磋商小组成员的纪律要求</w:t>
      </w:r>
      <w:bookmarkEnd w:id="403"/>
      <w:bookmarkEnd w:id="404"/>
      <w:bookmarkEnd w:id="405"/>
      <w:bookmarkEnd w:id="406"/>
      <w:bookmarkEnd w:id="407"/>
      <w:bookmarkEnd w:id="408"/>
      <w:bookmarkEnd w:id="409"/>
    </w:p>
    <w:p w14:paraId="42000BF6">
      <w:pPr>
        <w:wordWrap w:val="0"/>
        <w:spacing w:line="360" w:lineRule="auto"/>
        <w:ind w:left="420" w:leftChars="200"/>
        <w:rPr>
          <w:rFonts w:hint="eastAsia" w:ascii="宋体" w:hAnsi="宋体"/>
          <w:sz w:val="24"/>
        </w:rPr>
      </w:pPr>
      <w:r>
        <w:rPr>
          <w:rFonts w:hint="eastAsia" w:ascii="宋体" w:hAnsi="宋体"/>
          <w:sz w:val="24"/>
        </w:rPr>
        <w:t>磋商小组成员不得收受他人的财物或者其他好处，不得向他人透露对响应文件的评审和比较、成交候选人的推荐情况以及评审有关的其他情况。在评审过程中，磋商小组成员不得擅离职守，影响评审程序正常进行，不得使用竞争性磋商文件中没有规定的评审因素和标准进行评审。</w:t>
      </w:r>
      <w:bookmarkEnd w:id="410"/>
    </w:p>
    <w:p w14:paraId="16D7A473">
      <w:pPr>
        <w:keepNext/>
        <w:keepLines/>
        <w:wordWrap w:val="0"/>
        <w:spacing w:line="360" w:lineRule="auto"/>
        <w:outlineLvl w:val="2"/>
        <w:rPr>
          <w:rFonts w:hint="eastAsia" w:ascii="黑体" w:hAnsi="黑体" w:eastAsia="黑体" w:cs="宋体"/>
          <w:bCs/>
          <w:sz w:val="24"/>
        </w:rPr>
      </w:pPr>
      <w:bookmarkStart w:id="411" w:name="_Toc96071959"/>
      <w:bookmarkStart w:id="412" w:name="_Toc34732588"/>
      <w:bookmarkStart w:id="413" w:name="_Toc34733056"/>
      <w:bookmarkStart w:id="414" w:name="_Toc36564769"/>
      <w:bookmarkStart w:id="415" w:name="_Toc17213"/>
      <w:bookmarkStart w:id="416" w:name="_Toc25832453"/>
      <w:bookmarkStart w:id="417" w:name="_Toc40972844"/>
      <w:r>
        <w:rPr>
          <w:rFonts w:ascii="黑体" w:hAnsi="黑体" w:eastAsia="黑体" w:cs="宋体"/>
          <w:bCs/>
          <w:sz w:val="24"/>
        </w:rPr>
        <w:t>20</w:t>
      </w:r>
      <w:r>
        <w:rPr>
          <w:rFonts w:hint="eastAsia" w:ascii="黑体" w:hAnsi="黑体" w:eastAsia="黑体" w:cs="宋体"/>
          <w:bCs/>
          <w:sz w:val="24"/>
        </w:rPr>
        <w:t>.4对与评审活动有关的工作人员的纪律要求</w:t>
      </w:r>
      <w:bookmarkEnd w:id="411"/>
      <w:bookmarkEnd w:id="412"/>
      <w:bookmarkEnd w:id="413"/>
      <w:bookmarkEnd w:id="414"/>
      <w:bookmarkEnd w:id="415"/>
      <w:bookmarkEnd w:id="416"/>
      <w:bookmarkEnd w:id="417"/>
    </w:p>
    <w:p w14:paraId="69CC9F93">
      <w:pPr>
        <w:wordWrap w:val="0"/>
        <w:spacing w:line="360" w:lineRule="auto"/>
        <w:ind w:left="420" w:leftChars="200"/>
        <w:rPr>
          <w:rFonts w:hint="eastAsia" w:ascii="宋体" w:hAnsi="宋体"/>
          <w:sz w:val="24"/>
        </w:rPr>
      </w:pPr>
      <w:r>
        <w:rPr>
          <w:rFonts w:hint="eastAsia" w:ascii="宋体" w:hAnsi="宋体"/>
          <w:sz w:val="24"/>
        </w:rPr>
        <w:t>与评审活动有关的工作人员不得收受他人的财物或者其他好处，不得向他人透露对竞争性磋商文件的评审和比较、成交候选人的推荐情况以及评审有关的其他情况。在评审过程中，与评审活动有关的工作人员不得擅离职守，影响评审程序正常进行。</w:t>
      </w:r>
    </w:p>
    <w:p w14:paraId="6A12B566">
      <w:pPr>
        <w:pStyle w:val="7"/>
        <w:wordWrap w:val="0"/>
        <w:spacing w:before="0" w:after="0" w:line="360" w:lineRule="auto"/>
        <w:rPr>
          <w:rFonts w:hint="eastAsia" w:ascii="黑体" w:hAnsi="黑体"/>
          <w:b w:val="0"/>
          <w:bCs w:val="0"/>
          <w:sz w:val="24"/>
        </w:rPr>
      </w:pPr>
      <w:bookmarkStart w:id="418" w:name="_Toc12827"/>
      <w:bookmarkStart w:id="419" w:name="_Toc12442"/>
      <w:bookmarkStart w:id="420" w:name="_Toc23439"/>
      <w:bookmarkStart w:id="421" w:name="_Toc27360"/>
      <w:bookmarkStart w:id="422" w:name="_Toc9929"/>
      <w:r>
        <w:rPr>
          <w:rFonts w:hint="eastAsia" w:ascii="黑体" w:hAnsi="黑体"/>
          <w:b w:val="0"/>
          <w:bCs w:val="0"/>
          <w:sz w:val="24"/>
        </w:rPr>
        <w:t>21.采购代理服务费</w:t>
      </w:r>
      <w:bookmarkEnd w:id="418"/>
      <w:bookmarkEnd w:id="419"/>
      <w:bookmarkEnd w:id="420"/>
      <w:bookmarkEnd w:id="421"/>
      <w:bookmarkEnd w:id="422"/>
    </w:p>
    <w:p w14:paraId="6AC5F294">
      <w:pPr>
        <w:wordWrap w:val="0"/>
        <w:spacing w:line="360" w:lineRule="auto"/>
        <w:ind w:left="708" w:hanging="708" w:hangingChars="295"/>
        <w:rPr>
          <w:rFonts w:hint="eastAsia" w:ascii="宋体" w:hAnsi="宋体"/>
          <w:sz w:val="24"/>
        </w:rPr>
      </w:pPr>
      <w:bookmarkStart w:id="423" w:name="_Hlk165220215"/>
      <w:r>
        <w:rPr>
          <w:rFonts w:hint="eastAsia" w:ascii="宋体" w:hAnsi="宋体"/>
          <w:sz w:val="24"/>
        </w:rPr>
        <w:t>21</w:t>
      </w:r>
      <w:r>
        <w:rPr>
          <w:rFonts w:ascii="宋体" w:hAnsi="宋体"/>
          <w:sz w:val="24"/>
        </w:rPr>
        <w:t xml:space="preserve">.1 </w:t>
      </w:r>
      <w:r>
        <w:rPr>
          <w:rFonts w:hint="eastAsia" w:ascii="宋体" w:hAnsi="宋体"/>
          <w:sz w:val="24"/>
        </w:rPr>
        <w:t>本项目</w:t>
      </w:r>
      <w:r>
        <w:rPr>
          <w:rFonts w:ascii="宋体" w:hAnsi="宋体"/>
          <w:sz w:val="24"/>
        </w:rPr>
        <w:t>是否由</w:t>
      </w:r>
      <w:r>
        <w:rPr>
          <w:rFonts w:hint="eastAsia" w:ascii="宋体" w:hAnsi="宋体"/>
          <w:sz w:val="24"/>
        </w:rPr>
        <w:t>成交人向采购代理机构支付采购代理服务费，按照</w:t>
      </w:r>
      <w:r>
        <w:rPr>
          <w:rFonts w:hint="eastAsia" w:ascii="宋体" w:hAnsi="宋体"/>
          <w:b/>
          <w:sz w:val="24"/>
          <w:u w:val="single"/>
        </w:rPr>
        <w:t>供应商须知前附表</w:t>
      </w:r>
      <w:r>
        <w:rPr>
          <w:rFonts w:hint="eastAsia" w:ascii="宋体" w:hAnsi="宋体"/>
          <w:sz w:val="24"/>
        </w:rPr>
        <w:t>规定执行。</w:t>
      </w:r>
    </w:p>
    <w:bookmarkEnd w:id="423"/>
    <w:p w14:paraId="46F80084">
      <w:pPr>
        <w:pStyle w:val="7"/>
        <w:wordWrap w:val="0"/>
        <w:spacing w:before="0" w:after="0" w:line="360" w:lineRule="auto"/>
        <w:rPr>
          <w:rFonts w:hint="eastAsia" w:ascii="黑体" w:hAnsi="黑体"/>
          <w:b w:val="0"/>
          <w:bCs w:val="0"/>
          <w:sz w:val="24"/>
        </w:rPr>
      </w:pPr>
      <w:bookmarkStart w:id="424" w:name="_Toc18655"/>
      <w:bookmarkStart w:id="425" w:name="_Toc7011"/>
      <w:bookmarkStart w:id="426" w:name="_Toc23883"/>
      <w:bookmarkStart w:id="427" w:name="_Toc16039"/>
      <w:bookmarkStart w:id="428" w:name="_Toc16903"/>
      <w:r>
        <w:rPr>
          <w:rFonts w:hint="eastAsia" w:ascii="黑体" w:hAnsi="黑体"/>
          <w:b w:val="0"/>
          <w:bCs w:val="0"/>
          <w:sz w:val="24"/>
        </w:rPr>
        <w:t>22.需要补充的其他内容</w:t>
      </w:r>
      <w:bookmarkEnd w:id="424"/>
      <w:bookmarkEnd w:id="425"/>
      <w:bookmarkEnd w:id="426"/>
      <w:bookmarkEnd w:id="427"/>
      <w:bookmarkEnd w:id="428"/>
    </w:p>
    <w:p w14:paraId="33389F65">
      <w:pPr>
        <w:wordWrap w:val="0"/>
        <w:spacing w:line="360" w:lineRule="auto"/>
        <w:ind w:firstLine="480" w:firstLineChars="200"/>
        <w:rPr>
          <w:rFonts w:hint="eastAsia" w:ascii="宋体" w:hAnsi="宋体"/>
          <w:sz w:val="24"/>
        </w:rPr>
      </w:pPr>
      <w:r>
        <w:rPr>
          <w:rFonts w:hint="eastAsia" w:ascii="宋体" w:hAnsi="宋体"/>
          <w:sz w:val="24"/>
        </w:rPr>
        <w:t>需要补充的其他内容：</w:t>
      </w:r>
      <w:r>
        <w:rPr>
          <w:rFonts w:hint="eastAsia" w:ascii="宋体" w:hAnsi="宋体"/>
          <w:b/>
          <w:bCs/>
          <w:sz w:val="24"/>
          <w:u w:val="single"/>
        </w:rPr>
        <w:t>见</w:t>
      </w:r>
      <w:r>
        <w:rPr>
          <w:rFonts w:hint="eastAsia" w:ascii="宋体" w:hAnsi="宋体" w:cs="仿宋"/>
          <w:b/>
          <w:bCs/>
          <w:sz w:val="24"/>
          <w:u w:val="single"/>
        </w:rPr>
        <w:t>供应商</w:t>
      </w:r>
      <w:r>
        <w:rPr>
          <w:rFonts w:hint="eastAsia" w:ascii="宋体" w:hAnsi="宋体"/>
          <w:b/>
          <w:bCs/>
          <w:sz w:val="24"/>
          <w:u w:val="single"/>
        </w:rPr>
        <w:t>须知前附表</w:t>
      </w:r>
      <w:r>
        <w:rPr>
          <w:rFonts w:hint="eastAsia" w:ascii="宋体" w:hAnsi="宋体"/>
          <w:sz w:val="24"/>
        </w:rPr>
        <w:t>。</w:t>
      </w:r>
    </w:p>
    <w:bookmarkEnd w:id="107"/>
    <w:bookmarkEnd w:id="108"/>
    <w:bookmarkEnd w:id="109"/>
    <w:bookmarkEnd w:id="110"/>
    <w:bookmarkEnd w:id="111"/>
    <w:bookmarkEnd w:id="112"/>
    <w:bookmarkEnd w:id="284"/>
    <w:p w14:paraId="1E47BE8F">
      <w:pPr>
        <w:wordWrap w:val="0"/>
        <w:rPr>
          <w:rFonts w:hint="eastAsia" w:ascii="黑体" w:hAnsi="黑体" w:eastAsia="黑体"/>
        </w:rPr>
      </w:pPr>
      <w:r>
        <w:rPr>
          <w:rFonts w:hint="eastAsia" w:ascii="宋体" w:hAnsi="宋体"/>
          <w:sz w:val="24"/>
        </w:rPr>
        <w:br w:type="page"/>
      </w:r>
      <w:bookmarkStart w:id="429" w:name="_Toc15048359"/>
    </w:p>
    <w:p w14:paraId="416637C2">
      <w:pPr>
        <w:rPr>
          <w:rFonts w:hint="eastAsia" w:ascii="黑体" w:hAnsi="黑体" w:eastAsia="黑体"/>
        </w:rPr>
      </w:pPr>
    </w:p>
    <w:p w14:paraId="0975F615">
      <w:pPr>
        <w:pStyle w:val="6"/>
        <w:tabs>
          <w:tab w:val="left" w:pos="0"/>
        </w:tabs>
        <w:wordWrap w:val="0"/>
        <w:autoSpaceDE w:val="0"/>
        <w:autoSpaceDN w:val="0"/>
        <w:adjustRightInd w:val="0"/>
        <w:spacing w:before="0" w:after="0" w:line="360" w:lineRule="auto"/>
        <w:ind w:left="-2" w:leftChars="-1" w:firstLine="1"/>
        <w:jc w:val="center"/>
        <w:rPr>
          <w:rFonts w:hint="eastAsia" w:ascii="黑体" w:hAnsi="黑体" w:eastAsia="黑体"/>
          <w:b w:val="0"/>
          <w:bCs w:val="0"/>
        </w:rPr>
      </w:pPr>
      <w:bookmarkStart w:id="430" w:name="_Toc31432"/>
      <w:bookmarkStart w:id="431" w:name="_Toc4208"/>
      <w:bookmarkStart w:id="432" w:name="_Toc15844"/>
      <w:r>
        <w:rPr>
          <w:rFonts w:hint="eastAsia" w:ascii="黑体" w:hAnsi="黑体" w:eastAsia="黑体"/>
          <w:b w:val="0"/>
          <w:bCs w:val="0"/>
        </w:rPr>
        <w:t>第三章</w:t>
      </w:r>
      <w:r>
        <w:rPr>
          <w:rFonts w:ascii="黑体" w:hAnsi="黑体" w:eastAsia="黑体"/>
          <w:b w:val="0"/>
          <w:bCs w:val="0"/>
        </w:rPr>
        <w:t xml:space="preserve">  </w:t>
      </w:r>
      <w:r>
        <w:rPr>
          <w:rFonts w:hint="eastAsia" w:ascii="黑体" w:hAnsi="黑体" w:eastAsia="黑体"/>
          <w:b w:val="0"/>
          <w:bCs w:val="0"/>
        </w:rPr>
        <w:t>采购需求</w:t>
      </w:r>
      <w:bookmarkEnd w:id="429"/>
      <w:bookmarkEnd w:id="430"/>
      <w:bookmarkEnd w:id="431"/>
      <w:bookmarkEnd w:id="432"/>
    </w:p>
    <w:p w14:paraId="0D6E26A0">
      <w:pPr>
        <w:wordWrap w:val="0"/>
        <w:rPr>
          <w:rFonts w:hint="eastAsia" w:ascii="黑体" w:hAnsi="黑体" w:eastAsia="黑体"/>
          <w:sz w:val="24"/>
        </w:rPr>
      </w:pPr>
      <w:r>
        <w:rPr>
          <w:rFonts w:ascii="黑体" w:hAnsi="黑体" w:eastAsia="黑体"/>
          <w:sz w:val="24"/>
        </w:rPr>
        <w:t>一、</w:t>
      </w:r>
      <w:r>
        <w:rPr>
          <w:rFonts w:hint="eastAsia" w:ascii="黑体" w:hAnsi="黑体" w:eastAsia="黑体"/>
          <w:sz w:val="24"/>
        </w:rPr>
        <w:t>项目概况</w:t>
      </w:r>
    </w:p>
    <w:p w14:paraId="55CC74EE">
      <w:pPr>
        <w:wordWrap w:val="0"/>
        <w:spacing w:line="360" w:lineRule="auto"/>
        <w:ind w:firstLine="480" w:firstLineChars="200"/>
        <w:rPr>
          <w:rFonts w:hint="eastAsia" w:ascii="宋体" w:hAnsi="宋体" w:cs="宋体"/>
          <w:sz w:val="24"/>
        </w:rPr>
      </w:pPr>
      <w:r>
        <w:rPr>
          <w:rFonts w:hint="eastAsia" w:ascii="宋体" w:hAnsi="宋体" w:cs="宋体"/>
          <w:sz w:val="24"/>
        </w:rPr>
        <w:t>1.项目背景：中国人民银行郑州培训学院二号培训楼自2004年投用至今已22年，长期满负荷运转，四层五层隔音效果差、电气安全隐患突出，影响学员居住体验。依据学院基础设施更新改造规划，拟对四层五层及三层北区实施修缮改造，重点进行墙面翻新、洁具换新、水电管线更新及空间优化，以实现安全可靠、舒适规范、功能完善的住宿环境。</w:t>
      </w:r>
    </w:p>
    <w:p w14:paraId="1FAEC021">
      <w:pPr>
        <w:wordWrap w:val="0"/>
        <w:spacing w:line="360" w:lineRule="auto"/>
        <w:ind w:firstLine="480" w:firstLineChars="200"/>
        <w:rPr>
          <w:rFonts w:hint="eastAsia" w:ascii="宋体" w:hAnsi="宋体" w:cs="宋体"/>
          <w:sz w:val="24"/>
        </w:rPr>
      </w:pPr>
      <w:r>
        <w:rPr>
          <w:rFonts w:hint="eastAsia" w:ascii="宋体" w:hAnsi="宋体" w:cs="宋体"/>
          <w:sz w:val="24"/>
        </w:rPr>
        <w:t>2.项目编号：ZPJC-2026-010</w:t>
      </w:r>
    </w:p>
    <w:p w14:paraId="0E0D7A86">
      <w:pPr>
        <w:wordWrap w:val="0"/>
        <w:spacing w:line="360" w:lineRule="auto"/>
        <w:ind w:firstLine="480" w:firstLineChars="200"/>
        <w:rPr>
          <w:rFonts w:hint="eastAsia" w:ascii="宋体" w:hAnsi="宋体" w:cs="宋体"/>
          <w:sz w:val="24"/>
        </w:rPr>
      </w:pPr>
      <w:r>
        <w:rPr>
          <w:rFonts w:hint="eastAsia" w:ascii="宋体" w:hAnsi="宋体" w:cs="宋体"/>
          <w:sz w:val="24"/>
        </w:rPr>
        <w:t>3.项目名称：中国人民银行郑州培训学院二号培训楼修缮改造项目（四层五层及三层北区）</w:t>
      </w:r>
    </w:p>
    <w:p w14:paraId="36221390">
      <w:pPr>
        <w:wordWrap w:val="0"/>
        <w:spacing w:line="360" w:lineRule="auto"/>
        <w:ind w:firstLine="480" w:firstLineChars="200"/>
        <w:rPr>
          <w:rFonts w:hint="eastAsia" w:ascii="宋体" w:hAnsi="宋体" w:cs="宋体"/>
          <w:sz w:val="24"/>
        </w:rPr>
      </w:pPr>
      <w:r>
        <w:rPr>
          <w:rFonts w:hint="eastAsia" w:ascii="宋体" w:hAnsi="宋体" w:cs="宋体"/>
          <w:sz w:val="24"/>
        </w:rPr>
        <w:t>4.采购方式：竞争性磋商</w:t>
      </w:r>
    </w:p>
    <w:p w14:paraId="54554D95">
      <w:pPr>
        <w:wordWrap w:val="0"/>
        <w:spacing w:line="360" w:lineRule="auto"/>
        <w:ind w:firstLine="480" w:firstLineChars="200"/>
        <w:rPr>
          <w:rFonts w:hint="eastAsia" w:ascii="宋体" w:hAnsi="宋体" w:cs="宋体"/>
          <w:sz w:val="24"/>
        </w:rPr>
      </w:pPr>
      <w:r>
        <w:rPr>
          <w:rFonts w:hint="eastAsia" w:ascii="宋体" w:hAnsi="宋体" w:cs="宋体"/>
          <w:sz w:val="24"/>
        </w:rPr>
        <w:t>5.预算金额：4980000.00元，最高限价：4978877.52元</w:t>
      </w:r>
    </w:p>
    <w:p w14:paraId="678E37E6">
      <w:pPr>
        <w:wordWrap w:val="0"/>
        <w:spacing w:line="360" w:lineRule="auto"/>
        <w:ind w:firstLine="480" w:firstLineChars="200"/>
        <w:rPr>
          <w:rFonts w:hint="eastAsia" w:ascii="宋体" w:hAnsi="宋体" w:cs="宋体"/>
          <w:sz w:val="24"/>
        </w:rPr>
      </w:pPr>
      <w:r>
        <w:rPr>
          <w:rFonts w:hint="eastAsia" w:ascii="宋体" w:hAnsi="宋体" w:cs="宋体"/>
          <w:sz w:val="24"/>
        </w:rPr>
        <w:t>6.工期：150日历天。</w:t>
      </w:r>
    </w:p>
    <w:p w14:paraId="56036C89">
      <w:pPr>
        <w:wordWrap w:val="0"/>
        <w:spacing w:line="360" w:lineRule="auto"/>
        <w:ind w:firstLine="480" w:firstLineChars="200"/>
        <w:rPr>
          <w:rFonts w:hint="eastAsia" w:ascii="宋体" w:hAnsi="宋体" w:cs="宋体"/>
          <w:sz w:val="24"/>
        </w:rPr>
      </w:pPr>
      <w:r>
        <w:rPr>
          <w:rFonts w:hint="eastAsia" w:ascii="宋体" w:hAnsi="宋体" w:cs="宋体"/>
          <w:sz w:val="24"/>
        </w:rPr>
        <w:t xml:space="preserve">7.实施地点：中国人民银行郑州培训学院 </w:t>
      </w:r>
    </w:p>
    <w:p w14:paraId="5C67B8E2">
      <w:pPr>
        <w:wordWrap w:val="0"/>
        <w:spacing w:line="360" w:lineRule="auto"/>
        <w:ind w:firstLine="480" w:firstLineChars="200"/>
        <w:rPr>
          <w:rFonts w:hint="eastAsia" w:ascii="宋体" w:hAnsi="宋体" w:cs="宋体"/>
          <w:sz w:val="24"/>
        </w:rPr>
      </w:pPr>
      <w:r>
        <w:rPr>
          <w:rFonts w:hint="eastAsia" w:ascii="宋体" w:hAnsi="宋体" w:cs="宋体"/>
          <w:sz w:val="24"/>
        </w:rPr>
        <w:t>8.质量标准：合格，满足国家相关质量验收标准。</w:t>
      </w:r>
    </w:p>
    <w:p w14:paraId="122C8C46">
      <w:pPr>
        <w:wordWrap w:val="0"/>
        <w:spacing w:line="360" w:lineRule="auto"/>
        <w:ind w:firstLine="480" w:firstLineChars="200"/>
        <w:rPr>
          <w:rFonts w:hint="eastAsia" w:ascii="宋体" w:hAnsi="宋体" w:cs="宋体"/>
          <w:sz w:val="24"/>
        </w:rPr>
      </w:pPr>
      <w:r>
        <w:rPr>
          <w:rFonts w:hint="eastAsia" w:ascii="宋体" w:hAnsi="宋体" w:cs="宋体"/>
          <w:sz w:val="24"/>
        </w:rPr>
        <w:t>9.缺陷责任期：自工程通过竣工验收合格之日起24个月</w:t>
      </w:r>
    </w:p>
    <w:p w14:paraId="520E088F">
      <w:pPr>
        <w:wordWrap w:val="0"/>
        <w:spacing w:line="360" w:lineRule="auto"/>
        <w:ind w:firstLine="480" w:firstLineChars="200"/>
        <w:rPr>
          <w:rFonts w:hint="eastAsia" w:ascii="宋体" w:hAnsi="宋体" w:cs="宋体"/>
          <w:sz w:val="24"/>
        </w:rPr>
      </w:pPr>
      <w:r>
        <w:rPr>
          <w:rFonts w:hint="eastAsia" w:ascii="宋体" w:hAnsi="宋体" w:cs="宋体"/>
          <w:sz w:val="24"/>
        </w:rPr>
        <w:t>10.工程概况：中国人民银行郑州培训学院二号培训楼修缮改造项目（四层五层及三层北区）,具体详见工程量清单、图纸。</w:t>
      </w:r>
    </w:p>
    <w:p w14:paraId="7F6B3973">
      <w:pPr>
        <w:spacing w:line="360" w:lineRule="auto"/>
        <w:jc w:val="left"/>
        <w:rPr>
          <w:rFonts w:hint="eastAsia" w:ascii="宋体" w:hAnsi="宋体" w:cs="宋体"/>
          <w:b/>
          <w:bCs/>
          <w:sz w:val="24"/>
        </w:rPr>
      </w:pPr>
      <w:r>
        <w:rPr>
          <w:rFonts w:hint="eastAsia" w:ascii="宋体" w:hAnsi="宋体" w:cs="宋体"/>
          <w:b/>
          <w:bCs/>
          <w:sz w:val="24"/>
        </w:rPr>
        <w:t>二、技术标准和要求</w:t>
      </w:r>
    </w:p>
    <w:p w14:paraId="4F87F95F">
      <w:pPr>
        <w:pStyle w:val="6"/>
        <w:keepNext w:val="0"/>
        <w:keepLines w:val="0"/>
        <w:spacing w:before="0" w:after="0" w:line="360" w:lineRule="auto"/>
        <w:ind w:firstLine="480" w:firstLineChars="200"/>
        <w:rPr>
          <w:rFonts w:hint="eastAsia" w:asciiTheme="minorEastAsia" w:hAnsiTheme="minorEastAsia" w:eastAsiaTheme="minorEastAsia" w:cstheme="minorEastAsia"/>
          <w:b w:val="0"/>
          <w:bCs w:val="0"/>
          <w:kern w:val="0"/>
          <w:sz w:val="24"/>
          <w:szCs w:val="24"/>
        </w:rPr>
      </w:pPr>
      <w:bookmarkStart w:id="433" w:name="_Toc13170"/>
      <w:r>
        <w:rPr>
          <w:rFonts w:hint="eastAsia" w:asciiTheme="minorEastAsia" w:hAnsiTheme="minorEastAsia" w:eastAsiaTheme="minorEastAsia" w:cstheme="minorEastAsia"/>
          <w:b w:val="0"/>
          <w:bCs w:val="0"/>
          <w:kern w:val="0"/>
          <w:sz w:val="24"/>
          <w:szCs w:val="24"/>
        </w:rPr>
        <w:t>本工程技术标准和要求如下：</w:t>
      </w:r>
      <w:bookmarkEnd w:id="433"/>
      <w:r>
        <w:rPr>
          <w:rFonts w:hint="eastAsia" w:asciiTheme="minorEastAsia" w:hAnsiTheme="minorEastAsia" w:eastAsiaTheme="minorEastAsia" w:cstheme="minorEastAsia"/>
          <w:b w:val="0"/>
          <w:bCs w:val="0"/>
          <w:kern w:val="0"/>
          <w:sz w:val="24"/>
          <w:szCs w:val="24"/>
        </w:rPr>
        <w:t xml:space="preserve"> </w:t>
      </w:r>
    </w:p>
    <w:p w14:paraId="2E769072">
      <w:pPr>
        <w:pStyle w:val="6"/>
        <w:keepNext w:val="0"/>
        <w:keepLines w:val="0"/>
        <w:spacing w:before="0" w:after="0" w:line="360" w:lineRule="auto"/>
        <w:ind w:firstLine="480" w:firstLineChars="200"/>
        <w:rPr>
          <w:rFonts w:hint="eastAsia" w:asciiTheme="minorEastAsia" w:hAnsiTheme="minorEastAsia" w:eastAsiaTheme="minorEastAsia" w:cstheme="minorEastAsia"/>
          <w:b w:val="0"/>
          <w:bCs w:val="0"/>
          <w:kern w:val="0"/>
          <w:sz w:val="24"/>
          <w:szCs w:val="24"/>
        </w:rPr>
      </w:pPr>
      <w:bookmarkStart w:id="434" w:name="_Toc9384"/>
      <w:r>
        <w:rPr>
          <w:rFonts w:hint="eastAsia" w:asciiTheme="minorEastAsia" w:hAnsiTheme="minorEastAsia" w:eastAsiaTheme="minorEastAsia" w:cstheme="minorEastAsia"/>
          <w:b w:val="0"/>
          <w:bCs w:val="0"/>
          <w:kern w:val="0"/>
          <w:sz w:val="24"/>
          <w:szCs w:val="24"/>
        </w:rPr>
        <w:t>1.施工图纸、技术标准等的有关技术说明文件。</w:t>
      </w:r>
      <w:bookmarkEnd w:id="434"/>
      <w:r>
        <w:rPr>
          <w:rFonts w:hint="eastAsia" w:asciiTheme="minorEastAsia" w:hAnsiTheme="minorEastAsia" w:eastAsiaTheme="minorEastAsia" w:cstheme="minorEastAsia"/>
          <w:b w:val="0"/>
          <w:bCs w:val="0"/>
          <w:kern w:val="0"/>
          <w:sz w:val="24"/>
          <w:szCs w:val="24"/>
        </w:rPr>
        <w:t xml:space="preserve"> </w:t>
      </w:r>
    </w:p>
    <w:p w14:paraId="15904493">
      <w:pPr>
        <w:pStyle w:val="6"/>
        <w:keepNext w:val="0"/>
        <w:keepLines w:val="0"/>
        <w:spacing w:before="0" w:after="0" w:line="360" w:lineRule="auto"/>
        <w:ind w:firstLine="480" w:firstLineChars="200"/>
        <w:rPr>
          <w:rFonts w:hint="eastAsia" w:asciiTheme="minorEastAsia" w:hAnsiTheme="minorEastAsia" w:eastAsiaTheme="minorEastAsia" w:cstheme="minorEastAsia"/>
          <w:b w:val="0"/>
          <w:bCs w:val="0"/>
          <w:kern w:val="0"/>
          <w:sz w:val="24"/>
          <w:szCs w:val="24"/>
        </w:rPr>
      </w:pPr>
      <w:bookmarkStart w:id="435" w:name="_Toc29573"/>
      <w:r>
        <w:rPr>
          <w:rFonts w:hint="eastAsia" w:asciiTheme="minorEastAsia" w:hAnsiTheme="minorEastAsia" w:eastAsiaTheme="minorEastAsia" w:cstheme="minorEastAsia"/>
          <w:b w:val="0"/>
          <w:bCs w:val="0"/>
          <w:kern w:val="0"/>
          <w:sz w:val="24"/>
          <w:szCs w:val="24"/>
        </w:rPr>
        <w:t>2.实施的有关标准与法规</w:t>
      </w:r>
      <w:bookmarkEnd w:id="435"/>
      <w:r>
        <w:rPr>
          <w:rFonts w:hint="eastAsia" w:asciiTheme="minorEastAsia" w:hAnsiTheme="minorEastAsia" w:eastAsiaTheme="minorEastAsia" w:cstheme="minorEastAsia"/>
          <w:b w:val="0"/>
          <w:bCs w:val="0"/>
          <w:kern w:val="0"/>
          <w:sz w:val="24"/>
          <w:szCs w:val="24"/>
        </w:rPr>
        <w:t xml:space="preserve"> </w:t>
      </w:r>
    </w:p>
    <w:p w14:paraId="5AA3891A">
      <w:pPr>
        <w:pStyle w:val="6"/>
        <w:keepNext w:val="0"/>
        <w:keepLines w:val="0"/>
        <w:spacing w:before="0" w:after="0" w:line="360" w:lineRule="auto"/>
        <w:ind w:firstLine="480" w:firstLineChars="200"/>
        <w:rPr>
          <w:rFonts w:hint="eastAsia" w:asciiTheme="minorEastAsia" w:hAnsiTheme="minorEastAsia" w:eastAsiaTheme="minorEastAsia" w:cstheme="minorEastAsia"/>
          <w:b w:val="0"/>
          <w:bCs w:val="0"/>
          <w:kern w:val="0"/>
          <w:sz w:val="24"/>
          <w:szCs w:val="24"/>
        </w:rPr>
      </w:pPr>
      <w:bookmarkStart w:id="436" w:name="_Toc19422"/>
      <w:r>
        <w:rPr>
          <w:rFonts w:hint="eastAsia" w:asciiTheme="minorEastAsia" w:hAnsiTheme="minorEastAsia" w:eastAsiaTheme="minorEastAsia" w:cstheme="minorEastAsia"/>
          <w:b w:val="0"/>
          <w:bCs w:val="0"/>
          <w:kern w:val="0"/>
          <w:sz w:val="24"/>
          <w:szCs w:val="24"/>
        </w:rPr>
        <w:t>国家、地方现行的工程施工及验收规范、施工技术标准、施工操作规程、《建设工程质量管理条例》《建设工程安全生产管理条例》等。</w:t>
      </w:r>
      <w:bookmarkEnd w:id="436"/>
      <w:r>
        <w:rPr>
          <w:rFonts w:hint="eastAsia" w:asciiTheme="minorEastAsia" w:hAnsiTheme="minorEastAsia" w:eastAsiaTheme="minorEastAsia" w:cstheme="minorEastAsia"/>
          <w:b w:val="0"/>
          <w:bCs w:val="0"/>
          <w:kern w:val="0"/>
          <w:sz w:val="24"/>
          <w:szCs w:val="24"/>
        </w:rPr>
        <w:t xml:space="preserve"> </w:t>
      </w:r>
    </w:p>
    <w:p w14:paraId="4ECF9225">
      <w:pPr>
        <w:pStyle w:val="6"/>
        <w:keepNext w:val="0"/>
        <w:keepLines w:val="0"/>
        <w:spacing w:before="0" w:after="0" w:line="360" w:lineRule="auto"/>
        <w:ind w:firstLine="480" w:firstLineChars="200"/>
        <w:rPr>
          <w:rFonts w:hint="eastAsia" w:asciiTheme="minorEastAsia" w:hAnsiTheme="minorEastAsia" w:eastAsiaTheme="minorEastAsia" w:cstheme="minorEastAsia"/>
          <w:b w:val="0"/>
          <w:bCs w:val="0"/>
          <w:kern w:val="0"/>
          <w:sz w:val="24"/>
          <w:szCs w:val="24"/>
        </w:rPr>
      </w:pPr>
      <w:bookmarkStart w:id="437" w:name="_Toc11959"/>
      <w:r>
        <w:rPr>
          <w:rFonts w:hint="eastAsia" w:asciiTheme="minorEastAsia" w:hAnsiTheme="minorEastAsia" w:eastAsiaTheme="minorEastAsia" w:cstheme="minorEastAsia"/>
          <w:b w:val="0"/>
          <w:bCs w:val="0"/>
          <w:kern w:val="0"/>
          <w:sz w:val="24"/>
          <w:szCs w:val="24"/>
        </w:rPr>
        <w:t>规范中指定的标准或法规为工程实施中实际采用的标准和法规，成交人提出采用的其他标准及规范，如能保证其达到与本规范所规定的标准及规范相同的质量或更高的质量。</w:t>
      </w:r>
      <w:bookmarkEnd w:id="437"/>
      <w:r>
        <w:rPr>
          <w:rFonts w:hint="eastAsia" w:asciiTheme="minorEastAsia" w:hAnsiTheme="minorEastAsia" w:eastAsiaTheme="minorEastAsia" w:cstheme="minorEastAsia"/>
          <w:b w:val="0"/>
          <w:bCs w:val="0"/>
          <w:kern w:val="0"/>
          <w:sz w:val="24"/>
          <w:szCs w:val="24"/>
        </w:rPr>
        <w:t xml:space="preserve"> </w:t>
      </w:r>
    </w:p>
    <w:p w14:paraId="0C267E45">
      <w:pPr>
        <w:pStyle w:val="6"/>
        <w:keepNext w:val="0"/>
        <w:keepLines w:val="0"/>
        <w:spacing w:before="0" w:after="0" w:line="360" w:lineRule="auto"/>
        <w:ind w:firstLine="480" w:firstLineChars="200"/>
        <w:rPr>
          <w:rFonts w:hint="eastAsia" w:asciiTheme="minorEastAsia" w:hAnsiTheme="minorEastAsia" w:eastAsiaTheme="minorEastAsia" w:cstheme="minorEastAsia"/>
          <w:b w:val="0"/>
          <w:bCs w:val="0"/>
          <w:kern w:val="0"/>
          <w:sz w:val="24"/>
          <w:szCs w:val="24"/>
        </w:rPr>
      </w:pPr>
      <w:bookmarkStart w:id="438" w:name="_Toc21106"/>
      <w:r>
        <w:rPr>
          <w:rFonts w:hint="eastAsia" w:asciiTheme="minorEastAsia" w:hAnsiTheme="minorEastAsia" w:eastAsiaTheme="minorEastAsia" w:cstheme="minorEastAsia"/>
          <w:b w:val="0"/>
          <w:bCs w:val="0"/>
          <w:kern w:val="0"/>
          <w:sz w:val="24"/>
          <w:szCs w:val="24"/>
        </w:rPr>
        <w:t>本工程实施中采用图纸中指定的和以上列出的有关技术规范和标准。所采用的规</w:t>
      </w:r>
      <w:bookmarkEnd w:id="438"/>
      <w:r>
        <w:rPr>
          <w:rFonts w:hint="eastAsia" w:asciiTheme="minorEastAsia" w:hAnsiTheme="minorEastAsia" w:eastAsiaTheme="minorEastAsia" w:cstheme="minorEastAsia"/>
          <w:b w:val="0"/>
          <w:bCs w:val="0"/>
          <w:kern w:val="0"/>
          <w:sz w:val="24"/>
          <w:szCs w:val="24"/>
        </w:rPr>
        <w:t xml:space="preserve"> </w:t>
      </w:r>
    </w:p>
    <w:p w14:paraId="3BC6D4F7">
      <w:pPr>
        <w:pStyle w:val="6"/>
        <w:keepNext w:val="0"/>
        <w:keepLines w:val="0"/>
        <w:spacing w:before="0" w:after="0" w:line="360" w:lineRule="auto"/>
        <w:rPr>
          <w:rFonts w:hint="eastAsia" w:asciiTheme="minorEastAsia" w:hAnsiTheme="minorEastAsia" w:eastAsiaTheme="minorEastAsia" w:cstheme="minorEastAsia"/>
          <w:b w:val="0"/>
          <w:bCs w:val="0"/>
          <w:kern w:val="0"/>
          <w:sz w:val="24"/>
          <w:szCs w:val="24"/>
        </w:rPr>
      </w:pPr>
      <w:bookmarkStart w:id="439" w:name="_Toc4765"/>
      <w:r>
        <w:rPr>
          <w:rFonts w:hint="eastAsia" w:asciiTheme="minorEastAsia" w:hAnsiTheme="minorEastAsia" w:eastAsiaTheme="minorEastAsia" w:cstheme="minorEastAsia"/>
          <w:b w:val="0"/>
          <w:bCs w:val="0"/>
          <w:kern w:val="0"/>
          <w:sz w:val="24"/>
          <w:szCs w:val="24"/>
        </w:rPr>
        <w:t>范和标准如出现标准不一致的情况，以标准高的为准。</w:t>
      </w:r>
      <w:bookmarkEnd w:id="439"/>
      <w:r>
        <w:rPr>
          <w:rFonts w:hint="eastAsia" w:asciiTheme="minorEastAsia" w:hAnsiTheme="minorEastAsia" w:eastAsiaTheme="minorEastAsia" w:cstheme="minorEastAsia"/>
          <w:b w:val="0"/>
          <w:bCs w:val="0"/>
          <w:kern w:val="0"/>
          <w:sz w:val="24"/>
          <w:szCs w:val="24"/>
        </w:rPr>
        <w:t xml:space="preserve"> </w:t>
      </w:r>
    </w:p>
    <w:p w14:paraId="55E4CE89">
      <w:pPr>
        <w:pStyle w:val="6"/>
        <w:keepNext w:val="0"/>
        <w:keepLines w:val="0"/>
        <w:spacing w:before="0" w:after="0" w:line="360" w:lineRule="auto"/>
        <w:ind w:firstLine="480" w:firstLineChars="200"/>
        <w:rPr>
          <w:rFonts w:hint="eastAsia" w:asciiTheme="minorEastAsia" w:hAnsiTheme="minorEastAsia" w:eastAsiaTheme="minorEastAsia" w:cstheme="minorEastAsia"/>
          <w:b w:val="0"/>
          <w:bCs w:val="0"/>
          <w:kern w:val="0"/>
          <w:sz w:val="24"/>
          <w:szCs w:val="24"/>
        </w:rPr>
      </w:pPr>
      <w:bookmarkStart w:id="440" w:name="_Toc24438"/>
      <w:r>
        <w:rPr>
          <w:rFonts w:hint="eastAsia" w:asciiTheme="minorEastAsia" w:hAnsiTheme="minorEastAsia" w:eastAsiaTheme="minorEastAsia" w:cstheme="minorEastAsia"/>
          <w:b w:val="0"/>
          <w:bCs w:val="0"/>
          <w:kern w:val="0"/>
          <w:sz w:val="24"/>
          <w:szCs w:val="24"/>
        </w:rPr>
        <w:t>其他现行的有关工程技术、施工验收标准及规范。</w:t>
      </w:r>
      <w:bookmarkEnd w:id="440"/>
      <w:r>
        <w:rPr>
          <w:rFonts w:hint="eastAsia" w:asciiTheme="minorEastAsia" w:hAnsiTheme="minorEastAsia" w:eastAsiaTheme="minorEastAsia" w:cstheme="minorEastAsia"/>
          <w:b w:val="0"/>
          <w:bCs w:val="0"/>
          <w:kern w:val="0"/>
          <w:sz w:val="24"/>
          <w:szCs w:val="24"/>
        </w:rPr>
        <w:t xml:space="preserve"> </w:t>
      </w:r>
    </w:p>
    <w:p w14:paraId="45D4508F">
      <w:pPr>
        <w:pStyle w:val="6"/>
        <w:keepNext w:val="0"/>
        <w:keepLines w:val="0"/>
        <w:spacing w:before="0" w:after="0" w:line="360" w:lineRule="auto"/>
        <w:ind w:firstLine="480" w:firstLineChars="200"/>
        <w:rPr>
          <w:rFonts w:hint="eastAsia" w:asciiTheme="minorEastAsia" w:hAnsiTheme="minorEastAsia" w:eastAsiaTheme="minorEastAsia" w:cstheme="minorEastAsia"/>
          <w:b w:val="0"/>
          <w:bCs w:val="0"/>
          <w:kern w:val="0"/>
          <w:sz w:val="24"/>
          <w:szCs w:val="24"/>
        </w:rPr>
      </w:pPr>
      <w:bookmarkStart w:id="441" w:name="_Toc25231"/>
      <w:r>
        <w:rPr>
          <w:rFonts w:hint="eastAsia" w:asciiTheme="minorEastAsia" w:hAnsiTheme="minorEastAsia" w:eastAsiaTheme="minorEastAsia" w:cstheme="minorEastAsia"/>
          <w:b w:val="0"/>
          <w:bCs w:val="0"/>
          <w:kern w:val="0"/>
          <w:sz w:val="24"/>
          <w:szCs w:val="24"/>
        </w:rPr>
        <w:t>技术规范和标准不全或与现行规范标准不一致时，以现行规范标准为准。</w:t>
      </w:r>
      <w:bookmarkEnd w:id="441"/>
    </w:p>
    <w:p w14:paraId="7D236246">
      <w:pPr>
        <w:wordWrap w:val="0"/>
        <w:spacing w:line="360" w:lineRule="auto"/>
        <w:rPr>
          <w:rFonts w:hint="eastAsia" w:ascii="宋体" w:hAnsi="宋体" w:cs="宋体"/>
          <w:b/>
          <w:bCs/>
          <w:sz w:val="24"/>
          <w:lang w:eastAsia="zh-Hans"/>
        </w:rPr>
      </w:pPr>
      <w:r>
        <w:rPr>
          <w:rFonts w:hint="eastAsia" w:ascii="宋体" w:hAnsi="宋体" w:cs="宋体"/>
          <w:b/>
          <w:bCs/>
          <w:sz w:val="24"/>
        </w:rPr>
        <w:t>三</w:t>
      </w:r>
      <w:r>
        <w:rPr>
          <w:rFonts w:hint="eastAsia" w:ascii="宋体" w:hAnsi="宋体" w:cs="宋体"/>
          <w:b/>
          <w:bCs/>
          <w:sz w:val="24"/>
          <w:lang w:eastAsia="zh-Hans"/>
        </w:rPr>
        <w:t>、响应方案</w:t>
      </w:r>
      <w:r>
        <w:rPr>
          <w:rFonts w:hint="eastAsia" w:ascii="宋体" w:hAnsi="宋体" w:cs="宋体"/>
          <w:b/>
          <w:bCs/>
          <w:sz w:val="24"/>
        </w:rPr>
        <w:t>等</w:t>
      </w:r>
      <w:r>
        <w:rPr>
          <w:rFonts w:hint="eastAsia" w:ascii="宋体" w:hAnsi="宋体" w:cs="宋体"/>
          <w:b/>
          <w:bCs/>
          <w:sz w:val="24"/>
          <w:lang w:eastAsia="zh-Hans"/>
        </w:rPr>
        <w:t>要求</w:t>
      </w:r>
    </w:p>
    <w:p w14:paraId="517E1FF3">
      <w:pPr>
        <w:wordWrap w:val="0"/>
        <w:spacing w:line="360" w:lineRule="auto"/>
        <w:ind w:firstLine="480" w:firstLineChars="200"/>
        <w:rPr>
          <w:rFonts w:hint="eastAsia" w:ascii="宋体" w:hAnsi="宋体" w:cs="宋体"/>
          <w:sz w:val="24"/>
        </w:rPr>
      </w:pPr>
      <w:r>
        <w:rPr>
          <w:rFonts w:hint="eastAsia" w:ascii="宋体" w:hAnsi="宋体" w:cs="宋体"/>
          <w:sz w:val="24"/>
        </w:rPr>
        <w:t>1.主要施工方案及技术措施：包括但不限于施工方案（</w:t>
      </w:r>
      <w:r>
        <w:rPr>
          <w:rFonts w:hint="eastAsia" w:ascii="宋体" w:hAnsi="宋体" w:cs="宋体"/>
          <w:bCs/>
          <w:sz w:val="24"/>
        </w:rPr>
        <w:t>工程特点、施工重点与难点及结构加固转向施工方案）总体安排，合理运用先进的施工工艺、施工机械、对进场施工机械有明确的配置说明，施工难点有科学合理的建议</w:t>
      </w:r>
      <w:r>
        <w:rPr>
          <w:rFonts w:hint="eastAsia" w:ascii="宋体" w:hAnsi="宋体" w:cs="宋体"/>
          <w:sz w:val="24"/>
        </w:rPr>
        <w:t>；</w:t>
      </w:r>
    </w:p>
    <w:p w14:paraId="6E9C8551">
      <w:pPr>
        <w:wordWrap w:val="0"/>
        <w:spacing w:line="360" w:lineRule="auto"/>
        <w:ind w:firstLine="480" w:firstLineChars="200"/>
        <w:rPr>
          <w:rFonts w:hint="eastAsia" w:ascii="宋体" w:hAnsi="宋体" w:cs="宋体"/>
          <w:sz w:val="24"/>
        </w:rPr>
      </w:pPr>
      <w:r>
        <w:rPr>
          <w:rFonts w:hint="eastAsia" w:ascii="宋体" w:hAnsi="宋体" w:cs="宋体"/>
          <w:sz w:val="24"/>
        </w:rPr>
        <w:t>2.质量管理体系与措施：包括但不限于</w:t>
      </w:r>
      <w:r>
        <w:rPr>
          <w:rFonts w:hint="eastAsia" w:ascii="宋体" w:hAnsi="宋体" w:cs="宋体"/>
          <w:bCs/>
          <w:sz w:val="24"/>
        </w:rPr>
        <w:t>组织机构形式，指挥系统、质量监控系统、联络协调系统，有健全的质量管理体系、相应的施工技术标准、施工质量检验制度和综合施工质量水平评定考核制度，施工措施符合国家及河南省现行工程建设标准，满足通用规范、项目规范及质量验收规范的要求</w:t>
      </w:r>
      <w:r>
        <w:rPr>
          <w:rFonts w:hint="eastAsia" w:ascii="宋体" w:hAnsi="宋体" w:cs="宋体"/>
          <w:sz w:val="24"/>
        </w:rPr>
        <w:t>；</w:t>
      </w:r>
    </w:p>
    <w:p w14:paraId="05B35EAE">
      <w:pPr>
        <w:wordWrap w:val="0"/>
        <w:spacing w:line="360" w:lineRule="auto"/>
        <w:ind w:firstLine="480" w:firstLineChars="200"/>
        <w:rPr>
          <w:rFonts w:hint="eastAsia" w:ascii="宋体" w:hAnsi="宋体" w:cs="宋体"/>
          <w:sz w:val="24"/>
        </w:rPr>
      </w:pPr>
      <w:r>
        <w:rPr>
          <w:rFonts w:hint="eastAsia" w:ascii="宋体" w:hAnsi="宋体" w:cs="宋体"/>
          <w:sz w:val="24"/>
        </w:rPr>
        <w:t>3.安全管理体系与措施：包括但不限于施工安全生产保障体系，安全管理制度，安全管理目标，全员安全责任制，现场安全管理组织机构、人员配备；安全技术方案与措施；现场重大危险源辨识，相应的安全管理措施；</w:t>
      </w:r>
    </w:p>
    <w:p w14:paraId="4D43DC34">
      <w:pPr>
        <w:wordWrap w:val="0"/>
        <w:spacing w:line="360" w:lineRule="auto"/>
        <w:ind w:firstLine="480" w:firstLineChars="200"/>
        <w:rPr>
          <w:rFonts w:hint="eastAsia" w:ascii="宋体" w:hAnsi="宋体" w:cs="宋体"/>
          <w:sz w:val="24"/>
        </w:rPr>
      </w:pPr>
      <w:r>
        <w:rPr>
          <w:rFonts w:hint="eastAsia" w:ascii="宋体" w:hAnsi="宋体" w:cs="宋体"/>
          <w:sz w:val="24"/>
        </w:rPr>
        <w:t>4.施工材料：包括但不限于采用的所有材料需满足采购人有关主材（材料）响应要求，并提供质量、性能等特点描述以及是否为正规品质厂商生产的合格名优产品；</w:t>
      </w:r>
    </w:p>
    <w:p w14:paraId="3F638A10">
      <w:pPr>
        <w:wordWrap w:val="0"/>
        <w:spacing w:line="360" w:lineRule="auto"/>
        <w:ind w:firstLine="480" w:firstLineChars="200"/>
        <w:rPr>
          <w:rFonts w:hint="eastAsia" w:ascii="宋体" w:hAnsi="宋体" w:cs="宋体"/>
          <w:sz w:val="24"/>
        </w:rPr>
      </w:pPr>
      <w:r>
        <w:rPr>
          <w:rFonts w:hint="eastAsia" w:ascii="宋体" w:hAnsi="宋体" w:cs="宋体"/>
          <w:sz w:val="24"/>
        </w:rPr>
        <w:t>5.工程进度计划与措施：包括但不限于施工总进度关键线路和计划编制；</w:t>
      </w:r>
    </w:p>
    <w:p w14:paraId="68B4531D">
      <w:pPr>
        <w:wordWrap w:val="0"/>
        <w:spacing w:line="360" w:lineRule="auto"/>
        <w:ind w:firstLine="480" w:firstLineChars="200"/>
        <w:rPr>
          <w:rFonts w:hint="eastAsia" w:ascii="宋体" w:hAnsi="宋体" w:cs="宋体"/>
          <w:sz w:val="24"/>
        </w:rPr>
      </w:pPr>
      <w:r>
        <w:rPr>
          <w:rFonts w:hint="eastAsia" w:ascii="宋体" w:hAnsi="宋体" w:cs="宋体"/>
          <w:sz w:val="24"/>
        </w:rPr>
        <w:t>6.文明施工、环境保护管理体系与施工现场扬尘治理：包括但不限于施工总平面图布置，符合安全、文明施工要求，材料堆放有序。现场施工区、生活区、办公区等设置规范，符合有关文明施工、健康卫生的规定。供应商须根据金水区大气办要求做好项目施工过程中的抑尘工作，并制定施工现场扬尘治理方案，措施符合河南省《城市房屋建筑和市政基础设施工程及道路扬尘污染防治标准》（DBJ41/174）的规定；</w:t>
      </w:r>
    </w:p>
    <w:p w14:paraId="68E56E6D">
      <w:pPr>
        <w:wordWrap w:val="0"/>
        <w:spacing w:line="360" w:lineRule="auto"/>
        <w:ind w:firstLine="480" w:firstLineChars="200"/>
        <w:rPr>
          <w:rFonts w:hint="eastAsia" w:ascii="宋体" w:hAnsi="宋体" w:cs="宋体"/>
          <w:sz w:val="24"/>
        </w:rPr>
      </w:pPr>
      <w:r>
        <w:rPr>
          <w:rFonts w:hint="eastAsia" w:ascii="宋体" w:hAnsi="宋体" w:cs="宋体"/>
          <w:sz w:val="24"/>
        </w:rPr>
        <w:t>7.采用新工艺、新技术、新设备、新材料、BIM等的程度：包括但不限于用（1）新工艺、（2）新技术、（3）新设备（含工器具、智能设备等）、（4）新材料等实现设计要求，施工需要和相应技术标准等规定，经济适用。应用BIM技术优化施工工序、资源配置及数字化管理；</w:t>
      </w:r>
    </w:p>
    <w:p w14:paraId="44CA4535">
      <w:pPr>
        <w:wordWrap w:val="0"/>
        <w:spacing w:line="360" w:lineRule="auto"/>
        <w:ind w:firstLine="480" w:firstLineChars="200"/>
        <w:rPr>
          <w:rFonts w:hint="eastAsia" w:ascii="宋体" w:hAnsi="宋体" w:cs="宋体"/>
          <w:sz w:val="24"/>
        </w:rPr>
      </w:pPr>
      <w:r>
        <w:rPr>
          <w:rFonts w:hint="eastAsia" w:ascii="宋体" w:hAnsi="宋体" w:cs="宋体"/>
          <w:sz w:val="24"/>
        </w:rPr>
        <w:t>8.施工现场实施信息化监控和数据处理：包括但不限于施工现场实施信息化监控和数据处理系统布置；</w:t>
      </w:r>
    </w:p>
    <w:p w14:paraId="1ECDD487">
      <w:pPr>
        <w:wordWrap w:val="0"/>
        <w:spacing w:line="360" w:lineRule="auto"/>
        <w:ind w:firstLine="480" w:firstLineChars="200"/>
        <w:rPr>
          <w:rFonts w:hint="eastAsia" w:ascii="宋体" w:hAnsi="宋体" w:cs="宋体"/>
          <w:sz w:val="24"/>
        </w:rPr>
      </w:pPr>
      <w:r>
        <w:rPr>
          <w:rFonts w:hint="eastAsia" w:ascii="宋体" w:hAnsi="宋体" w:cs="宋体"/>
          <w:sz w:val="24"/>
        </w:rPr>
        <w:t>9.供应商具有相关同类项目经验业绩，项目组织机构完善；</w:t>
      </w:r>
    </w:p>
    <w:p w14:paraId="595F0374">
      <w:pPr>
        <w:wordWrap w:val="0"/>
        <w:spacing w:line="360" w:lineRule="auto"/>
        <w:ind w:firstLine="480" w:firstLineChars="200"/>
        <w:rPr>
          <w:rFonts w:hint="eastAsia" w:ascii="宋体" w:hAnsi="宋体" w:cs="宋体"/>
          <w:sz w:val="24"/>
        </w:rPr>
      </w:pPr>
      <w:r>
        <w:rPr>
          <w:rFonts w:hint="eastAsia" w:ascii="宋体" w:hAnsi="宋体" w:cs="宋体"/>
          <w:sz w:val="24"/>
        </w:rPr>
        <w:t xml:space="preserve">10.应针对本项目提供服务承诺，包括但不限于施工期间服务承诺、工程质量保修期内、外的服务承诺、考勤管理等方面。  </w:t>
      </w:r>
    </w:p>
    <w:p w14:paraId="2D144CC3">
      <w:pPr>
        <w:spacing w:line="360" w:lineRule="auto"/>
        <w:rPr>
          <w:rFonts w:hint="eastAsia" w:ascii="宋体" w:hAnsi="宋体" w:cs="宋体"/>
          <w:b/>
          <w:bCs/>
          <w:sz w:val="24"/>
        </w:rPr>
      </w:pPr>
      <w:r>
        <w:rPr>
          <w:rFonts w:hint="eastAsia" w:ascii="宋体" w:hAnsi="宋体" w:cs="宋体"/>
          <w:b/>
          <w:bCs/>
          <w:sz w:val="24"/>
        </w:rPr>
        <w:t>四、工程量清单（另附，详见附件）</w:t>
      </w:r>
    </w:p>
    <w:p w14:paraId="7ED1A396">
      <w:pPr>
        <w:wordWrap w:val="0"/>
        <w:spacing w:line="360" w:lineRule="auto"/>
        <w:ind w:firstLine="480" w:firstLineChars="200"/>
        <w:rPr>
          <w:rFonts w:hint="eastAsia" w:ascii="宋体" w:hAnsi="宋体" w:cs="宋体"/>
          <w:sz w:val="24"/>
        </w:rPr>
      </w:pPr>
      <w:r>
        <w:rPr>
          <w:rFonts w:hint="eastAsia" w:ascii="宋体" w:hAnsi="宋体" w:cs="宋体"/>
          <w:sz w:val="24"/>
        </w:rPr>
        <w:t>编制说明：</w:t>
      </w:r>
    </w:p>
    <w:p w14:paraId="4B7DAE06">
      <w:pPr>
        <w:wordWrap w:val="0"/>
        <w:spacing w:line="360" w:lineRule="auto"/>
        <w:ind w:firstLine="480" w:firstLineChars="200"/>
        <w:rPr>
          <w:rFonts w:hint="eastAsia" w:ascii="宋体" w:hAnsi="宋体" w:cs="宋体"/>
          <w:sz w:val="24"/>
        </w:rPr>
      </w:pPr>
      <w:r>
        <w:rPr>
          <w:rFonts w:hint="eastAsia" w:ascii="宋体" w:hAnsi="宋体" w:cs="宋体"/>
          <w:sz w:val="24"/>
        </w:rPr>
        <w:t>（一）项目概况</w:t>
      </w:r>
    </w:p>
    <w:p w14:paraId="2F89F1D3">
      <w:pPr>
        <w:wordWrap w:val="0"/>
        <w:spacing w:line="360" w:lineRule="auto"/>
        <w:ind w:firstLine="480" w:firstLineChars="200"/>
        <w:rPr>
          <w:rFonts w:hint="eastAsia" w:ascii="宋体" w:hAnsi="宋体" w:cs="宋体"/>
          <w:sz w:val="24"/>
        </w:rPr>
      </w:pPr>
      <w:r>
        <w:rPr>
          <w:rFonts w:hint="eastAsia" w:ascii="宋体" w:hAnsi="宋体" w:cs="宋体"/>
          <w:sz w:val="24"/>
        </w:rPr>
        <w:t>1.工程名称：中国人民银行郑州培训学院二号培训楼修缮改造项目（四层五层及三层北区）</w:t>
      </w:r>
    </w:p>
    <w:p w14:paraId="5A0EF6BB">
      <w:pPr>
        <w:wordWrap w:val="0"/>
        <w:spacing w:line="360" w:lineRule="auto"/>
        <w:ind w:firstLine="480" w:firstLineChars="200"/>
        <w:rPr>
          <w:rFonts w:hint="eastAsia" w:ascii="宋体" w:hAnsi="宋体" w:cs="宋体"/>
          <w:sz w:val="24"/>
        </w:rPr>
      </w:pPr>
      <w:r>
        <w:rPr>
          <w:rFonts w:hint="eastAsia" w:ascii="宋体" w:hAnsi="宋体" w:cs="宋体"/>
          <w:sz w:val="24"/>
        </w:rPr>
        <w:t>2.项目概况：项目地址在河南省郑州市金水区茂花路与金台路交叉口西60米，包含装饰工程、强电工程、弱电工程、给排水工程、消防工程。</w:t>
      </w:r>
    </w:p>
    <w:p w14:paraId="0B1C3DED">
      <w:pPr>
        <w:wordWrap w:val="0"/>
        <w:spacing w:line="360" w:lineRule="auto"/>
        <w:ind w:firstLine="480" w:firstLineChars="200"/>
        <w:rPr>
          <w:rFonts w:hint="eastAsia" w:ascii="宋体" w:hAnsi="宋体" w:cs="宋体"/>
          <w:sz w:val="24"/>
        </w:rPr>
      </w:pPr>
      <w:r>
        <w:rPr>
          <w:rFonts w:hint="eastAsia" w:ascii="宋体" w:hAnsi="宋体" w:cs="宋体"/>
          <w:sz w:val="24"/>
        </w:rPr>
        <w:t>（二）编制依据</w:t>
      </w:r>
    </w:p>
    <w:p w14:paraId="55806658">
      <w:pPr>
        <w:wordWrap w:val="0"/>
        <w:spacing w:line="360" w:lineRule="auto"/>
        <w:ind w:firstLine="480" w:firstLineChars="200"/>
        <w:rPr>
          <w:rFonts w:hint="eastAsia" w:ascii="宋体" w:hAnsi="宋体" w:cs="宋体"/>
          <w:sz w:val="24"/>
        </w:rPr>
      </w:pPr>
      <w:r>
        <w:rPr>
          <w:rFonts w:hint="eastAsia" w:ascii="宋体" w:hAnsi="宋体" w:cs="宋体"/>
          <w:sz w:val="24"/>
        </w:rPr>
        <w:t>1.《建设工程工程量清单计价标准》GB/T 50500-2024；</w:t>
      </w:r>
    </w:p>
    <w:p w14:paraId="39E30F1E">
      <w:pPr>
        <w:wordWrap w:val="0"/>
        <w:spacing w:line="360" w:lineRule="auto"/>
        <w:ind w:firstLine="480" w:firstLineChars="200"/>
        <w:rPr>
          <w:rFonts w:hint="eastAsia" w:ascii="宋体" w:hAnsi="宋体" w:cs="宋体"/>
          <w:sz w:val="24"/>
        </w:rPr>
      </w:pPr>
      <w:r>
        <w:rPr>
          <w:rFonts w:hint="eastAsia" w:ascii="宋体" w:hAnsi="宋体" w:cs="宋体"/>
          <w:sz w:val="24"/>
        </w:rPr>
        <w:t>2.《通用安装工程工程量计算标准》GB/T 50856-2024；</w:t>
      </w:r>
    </w:p>
    <w:p w14:paraId="56C7C0DF">
      <w:pPr>
        <w:wordWrap w:val="0"/>
        <w:spacing w:line="360" w:lineRule="auto"/>
        <w:ind w:firstLine="480" w:firstLineChars="200"/>
        <w:rPr>
          <w:rFonts w:hint="eastAsia" w:ascii="宋体" w:hAnsi="宋体" w:cs="宋体"/>
          <w:sz w:val="24"/>
        </w:rPr>
      </w:pPr>
      <w:r>
        <w:rPr>
          <w:rFonts w:hint="eastAsia" w:ascii="宋体" w:hAnsi="宋体" w:cs="宋体"/>
          <w:sz w:val="24"/>
        </w:rPr>
        <w:t>3.《房屋建筑与装饰工程工程量计算标准》GB/T 50854-2024；</w:t>
      </w:r>
    </w:p>
    <w:p w14:paraId="483F1616">
      <w:pPr>
        <w:wordWrap w:val="0"/>
        <w:spacing w:line="360" w:lineRule="auto"/>
        <w:ind w:firstLine="480" w:firstLineChars="200"/>
        <w:rPr>
          <w:rFonts w:hint="eastAsia" w:ascii="宋体" w:hAnsi="宋体" w:cs="宋体"/>
          <w:sz w:val="24"/>
        </w:rPr>
      </w:pPr>
      <w:r>
        <w:rPr>
          <w:rFonts w:hint="eastAsia" w:ascii="宋体" w:hAnsi="宋体" w:cs="宋体"/>
          <w:sz w:val="24"/>
        </w:rPr>
        <w:t>4.《河南省房屋建筑与装饰工程预算定额》(HA01-31-2016)；</w:t>
      </w:r>
    </w:p>
    <w:p w14:paraId="373F1320">
      <w:pPr>
        <w:wordWrap w:val="0"/>
        <w:spacing w:line="360" w:lineRule="auto"/>
        <w:ind w:firstLine="480" w:firstLineChars="200"/>
        <w:rPr>
          <w:rFonts w:hint="eastAsia" w:ascii="宋体" w:hAnsi="宋体" w:cs="宋体"/>
          <w:sz w:val="24"/>
        </w:rPr>
      </w:pPr>
      <w:r>
        <w:rPr>
          <w:rFonts w:hint="eastAsia" w:ascii="宋体" w:hAnsi="宋体" w:cs="宋体"/>
          <w:sz w:val="24"/>
        </w:rPr>
        <w:t>5.《河南省通用安装工程预算定额》(HA02-31-2016)；</w:t>
      </w:r>
    </w:p>
    <w:p w14:paraId="09CD70E5">
      <w:pPr>
        <w:wordWrap w:val="0"/>
        <w:spacing w:line="360" w:lineRule="auto"/>
        <w:ind w:firstLine="480" w:firstLineChars="200"/>
        <w:rPr>
          <w:rFonts w:hint="eastAsia" w:ascii="宋体" w:hAnsi="宋体" w:cs="宋体"/>
          <w:sz w:val="24"/>
        </w:rPr>
      </w:pPr>
      <w:r>
        <w:rPr>
          <w:rFonts w:hint="eastAsia" w:ascii="宋体" w:hAnsi="宋体" w:cs="宋体"/>
          <w:sz w:val="24"/>
        </w:rPr>
        <w:t>6.相应配套的取费定额、综合解释、政府相关文件；</w:t>
      </w:r>
    </w:p>
    <w:p w14:paraId="2970B27F">
      <w:pPr>
        <w:wordWrap w:val="0"/>
        <w:spacing w:line="360" w:lineRule="auto"/>
        <w:ind w:firstLine="480" w:firstLineChars="200"/>
        <w:rPr>
          <w:rFonts w:hint="eastAsia" w:ascii="宋体" w:hAnsi="宋体" w:cs="宋体"/>
          <w:sz w:val="24"/>
        </w:rPr>
      </w:pPr>
      <w:r>
        <w:rPr>
          <w:rFonts w:hint="eastAsia" w:ascii="宋体" w:hAnsi="宋体" w:cs="宋体"/>
          <w:sz w:val="24"/>
        </w:rPr>
        <w:t>7.关于本工程的施工图设计、图纸答疑等；</w:t>
      </w:r>
    </w:p>
    <w:p w14:paraId="637C798B">
      <w:pPr>
        <w:wordWrap w:val="0"/>
        <w:spacing w:line="360" w:lineRule="auto"/>
        <w:ind w:firstLine="480" w:firstLineChars="200"/>
        <w:rPr>
          <w:rFonts w:hint="eastAsia" w:ascii="宋体" w:hAnsi="宋体" w:cs="宋体"/>
          <w:sz w:val="24"/>
        </w:rPr>
      </w:pPr>
      <w:r>
        <w:rPr>
          <w:rFonts w:hint="eastAsia" w:ascii="宋体" w:hAnsi="宋体" w:cs="宋体"/>
          <w:sz w:val="24"/>
        </w:rPr>
        <w:t>8.与本工程有关的标准（包括标准图集）、标准等资料。</w:t>
      </w:r>
    </w:p>
    <w:p w14:paraId="394FA74F">
      <w:pPr>
        <w:wordWrap w:val="0"/>
        <w:spacing w:line="360" w:lineRule="auto"/>
        <w:ind w:firstLine="480" w:firstLineChars="200"/>
        <w:rPr>
          <w:rFonts w:hint="eastAsia" w:ascii="宋体" w:hAnsi="宋体" w:cs="宋体"/>
          <w:sz w:val="24"/>
        </w:rPr>
      </w:pPr>
      <w:r>
        <w:rPr>
          <w:rFonts w:hint="eastAsia" w:ascii="宋体" w:hAnsi="宋体" w:cs="宋体"/>
          <w:sz w:val="24"/>
        </w:rPr>
        <w:t>（三）取费及材差说明</w:t>
      </w:r>
    </w:p>
    <w:p w14:paraId="3FD2450F">
      <w:pPr>
        <w:wordWrap w:val="0"/>
        <w:spacing w:line="360" w:lineRule="auto"/>
        <w:ind w:firstLine="480" w:firstLineChars="200"/>
        <w:rPr>
          <w:rFonts w:hint="eastAsia" w:ascii="宋体" w:hAnsi="宋体" w:cs="宋体"/>
          <w:sz w:val="24"/>
        </w:rPr>
      </w:pPr>
      <w:r>
        <w:rPr>
          <w:rFonts w:hint="eastAsia" w:ascii="宋体" w:hAnsi="宋体" w:cs="宋体"/>
          <w:sz w:val="24"/>
        </w:rPr>
        <w:t>1.安全生产措施费；环境保护费、文明施工费、临时设施费及扬尘污染防治增加费；工程排污费执行豫建科〔2025】173号文件调整细则，其中，安全生产措施费标准按现行省标准执行且不可竞争。</w:t>
      </w:r>
    </w:p>
    <w:p w14:paraId="00B0359B">
      <w:pPr>
        <w:wordWrap w:val="0"/>
        <w:spacing w:line="360" w:lineRule="auto"/>
        <w:ind w:firstLine="480" w:firstLineChars="200"/>
        <w:rPr>
          <w:rFonts w:hint="eastAsia" w:ascii="宋体" w:hAnsi="宋体" w:cs="宋体"/>
          <w:sz w:val="24"/>
        </w:rPr>
      </w:pPr>
      <w:r>
        <w:rPr>
          <w:rFonts w:hint="eastAsia" w:ascii="宋体" w:hAnsi="宋体" w:cs="宋体"/>
          <w:sz w:val="24"/>
        </w:rPr>
        <w:t>2.其他措施项目按现行2024版国家清单标准规定执行，按项编制的措施项目清单的完整性及准确性均应由承包人负责，请供应商根据清单列项自主报价，如供应商对措施项目清单有疑问或异议的，可按采购文件的规定以书面形式提请采购人澄清或修正，若供应商认为需要增加措施项目的，可在措施项目中补充列项及报价。</w:t>
      </w:r>
    </w:p>
    <w:p w14:paraId="03053708">
      <w:pPr>
        <w:wordWrap w:val="0"/>
        <w:spacing w:line="360" w:lineRule="auto"/>
        <w:ind w:firstLine="480" w:firstLineChars="200"/>
        <w:rPr>
          <w:rFonts w:hint="eastAsia" w:ascii="宋体" w:hAnsi="宋体" w:cs="宋体"/>
          <w:sz w:val="24"/>
        </w:rPr>
      </w:pPr>
      <w:r>
        <w:rPr>
          <w:rFonts w:hint="eastAsia" w:ascii="宋体" w:hAnsi="宋体" w:cs="宋体"/>
          <w:sz w:val="24"/>
        </w:rPr>
        <w:t>3.按照增值税的一般计税方法计取，执行建办标函[2019]193号，增值税税率按9%计入；</w:t>
      </w:r>
    </w:p>
    <w:p w14:paraId="7A1CD877">
      <w:pPr>
        <w:wordWrap w:val="0"/>
        <w:spacing w:line="360" w:lineRule="auto"/>
        <w:ind w:firstLine="480" w:firstLineChars="200"/>
        <w:rPr>
          <w:rFonts w:hint="eastAsia" w:ascii="宋体" w:hAnsi="宋体" w:cs="宋体"/>
          <w:sz w:val="24"/>
        </w:rPr>
      </w:pPr>
      <w:r>
        <w:rPr>
          <w:rFonts w:hint="eastAsia" w:ascii="宋体" w:hAnsi="宋体" w:cs="宋体"/>
          <w:sz w:val="24"/>
        </w:rPr>
        <w:t>4.人工费、机械类、管理类价格指数按照豫建消技〔2026〕23号文中2026年1月至6月计取；</w:t>
      </w:r>
    </w:p>
    <w:p w14:paraId="3FA9392A">
      <w:pPr>
        <w:wordWrap w:val="0"/>
        <w:spacing w:line="360" w:lineRule="auto"/>
        <w:ind w:firstLine="480" w:firstLineChars="200"/>
        <w:rPr>
          <w:rFonts w:hint="eastAsia" w:ascii="宋体" w:hAnsi="宋体" w:cs="宋体"/>
          <w:sz w:val="24"/>
        </w:rPr>
      </w:pPr>
      <w:r>
        <w:rPr>
          <w:rFonts w:hint="eastAsia" w:ascii="宋体" w:hAnsi="宋体" w:cs="宋体"/>
          <w:sz w:val="24"/>
        </w:rPr>
        <w:t>5.材料价格执行《郑州市建设工程主要材料基准价格信息》2026年7月份及第二季度信息价中的除税价材料费计取，信息价缺少的参照市场询价计取；</w:t>
      </w:r>
    </w:p>
    <w:p w14:paraId="5A02C903">
      <w:pPr>
        <w:wordWrap w:val="0"/>
        <w:spacing w:line="360" w:lineRule="auto"/>
        <w:ind w:firstLine="480" w:firstLineChars="200"/>
        <w:rPr>
          <w:rFonts w:hint="eastAsia" w:ascii="宋体" w:hAnsi="宋体" w:cs="宋体"/>
          <w:sz w:val="24"/>
        </w:rPr>
      </w:pPr>
      <w:r>
        <w:rPr>
          <w:rFonts w:hint="eastAsia" w:ascii="宋体" w:hAnsi="宋体" w:cs="宋体"/>
          <w:sz w:val="24"/>
        </w:rPr>
        <w:t>6.河南省郑州市现行的工程造价相关文件。</w:t>
      </w:r>
    </w:p>
    <w:p w14:paraId="37E6603E">
      <w:pPr>
        <w:wordWrap w:val="0"/>
        <w:spacing w:line="360" w:lineRule="auto"/>
        <w:ind w:firstLine="480" w:firstLineChars="200"/>
        <w:rPr>
          <w:rFonts w:hint="eastAsia" w:ascii="宋体" w:hAnsi="宋体" w:cs="宋体"/>
          <w:sz w:val="24"/>
        </w:rPr>
      </w:pPr>
      <w:r>
        <w:rPr>
          <w:rFonts w:hint="eastAsia" w:ascii="宋体" w:hAnsi="宋体" w:cs="宋体"/>
          <w:sz w:val="24"/>
        </w:rPr>
        <w:t>（四）其它说明</w:t>
      </w:r>
    </w:p>
    <w:p w14:paraId="1C06F06F">
      <w:pPr>
        <w:wordWrap w:val="0"/>
        <w:spacing w:line="360" w:lineRule="auto"/>
        <w:ind w:firstLine="480" w:firstLineChars="200"/>
        <w:rPr>
          <w:rFonts w:hint="eastAsia" w:ascii="宋体" w:hAnsi="宋体" w:cs="宋体"/>
          <w:sz w:val="24"/>
        </w:rPr>
      </w:pPr>
      <w:r>
        <w:rPr>
          <w:rFonts w:hint="eastAsia" w:ascii="宋体" w:hAnsi="宋体" w:cs="宋体"/>
          <w:sz w:val="24"/>
        </w:rPr>
        <w:t>1.客房强弱电（房间内网线及光纤利旧）按全部换新计取；原墙板内配管的拆除费用未纳入本次预算，墙板内穿线的抽出费用已计入本次预算；</w:t>
      </w:r>
    </w:p>
    <w:p w14:paraId="514297DB">
      <w:pPr>
        <w:wordWrap w:val="0"/>
        <w:spacing w:line="360" w:lineRule="auto"/>
        <w:ind w:firstLine="480" w:firstLineChars="200"/>
        <w:rPr>
          <w:rFonts w:hint="eastAsia" w:ascii="宋体" w:hAnsi="宋体" w:cs="宋体"/>
          <w:sz w:val="24"/>
        </w:rPr>
      </w:pPr>
      <w:r>
        <w:rPr>
          <w:rFonts w:hint="eastAsia" w:ascii="宋体" w:hAnsi="宋体" w:cs="宋体"/>
          <w:sz w:val="24"/>
        </w:rPr>
        <w:t>2.公共照明线路按全部换新计取;原墙板内配管的拆除费用未纳入本次预算；</w:t>
      </w:r>
    </w:p>
    <w:p w14:paraId="02C89BFB">
      <w:pPr>
        <w:wordWrap w:val="0"/>
        <w:spacing w:line="360" w:lineRule="auto"/>
        <w:ind w:firstLine="480" w:firstLineChars="200"/>
        <w:rPr>
          <w:rFonts w:hint="eastAsia" w:ascii="宋体" w:hAnsi="宋体" w:cs="宋体"/>
          <w:sz w:val="24"/>
        </w:rPr>
      </w:pPr>
      <w:r>
        <w:rPr>
          <w:rFonts w:hint="eastAsia" w:ascii="宋体" w:hAnsi="宋体" w:cs="宋体"/>
          <w:sz w:val="24"/>
        </w:rPr>
        <w:t>3.客房弱电前端网络、光纤进线利用原有工程;电话、电视前端进线工程计入本次预算；</w:t>
      </w:r>
    </w:p>
    <w:p w14:paraId="6514A37B">
      <w:pPr>
        <w:wordWrap w:val="0"/>
        <w:spacing w:line="360" w:lineRule="auto"/>
        <w:ind w:firstLine="480" w:firstLineChars="200"/>
        <w:rPr>
          <w:rFonts w:hint="eastAsia" w:ascii="宋体" w:hAnsi="宋体" w:cs="宋体"/>
          <w:sz w:val="24"/>
        </w:rPr>
      </w:pPr>
      <w:r>
        <w:rPr>
          <w:rFonts w:hint="eastAsia" w:ascii="宋体" w:hAnsi="宋体" w:cs="宋体"/>
          <w:sz w:val="24"/>
        </w:rPr>
        <w:t>4.客房区域配置带标识开关，公共区域配置无标识开关；</w:t>
      </w:r>
    </w:p>
    <w:p w14:paraId="63D08179">
      <w:pPr>
        <w:wordWrap w:val="0"/>
        <w:spacing w:line="360" w:lineRule="auto"/>
        <w:ind w:firstLine="480" w:firstLineChars="200"/>
        <w:rPr>
          <w:rFonts w:hint="eastAsia" w:ascii="宋体" w:hAnsi="宋体" w:cs="宋体"/>
          <w:sz w:val="24"/>
        </w:rPr>
      </w:pPr>
      <w:r>
        <w:rPr>
          <w:rFonts w:hint="eastAsia" w:ascii="宋体" w:hAnsi="宋体" w:cs="宋体"/>
          <w:sz w:val="24"/>
        </w:rPr>
        <w:t>5.视频监控系统按照区域划分计入本次预算；</w:t>
      </w:r>
    </w:p>
    <w:p w14:paraId="5103DCFE">
      <w:pPr>
        <w:wordWrap w:val="0"/>
        <w:spacing w:line="360" w:lineRule="auto"/>
        <w:ind w:firstLine="480" w:firstLineChars="200"/>
        <w:rPr>
          <w:rFonts w:hint="eastAsia" w:ascii="宋体" w:hAnsi="宋体" w:cs="宋体"/>
          <w:sz w:val="24"/>
        </w:rPr>
      </w:pPr>
      <w:r>
        <w:rPr>
          <w:rFonts w:hint="eastAsia" w:ascii="宋体" w:hAnsi="宋体" w:cs="宋体"/>
          <w:sz w:val="24"/>
        </w:rPr>
        <w:t>6.给水立管后的支管及排水支管，均按拆除后换新计取；</w:t>
      </w:r>
    </w:p>
    <w:p w14:paraId="1C41D48B">
      <w:pPr>
        <w:wordWrap w:val="0"/>
        <w:spacing w:line="360" w:lineRule="auto"/>
        <w:ind w:firstLine="480" w:firstLineChars="200"/>
        <w:rPr>
          <w:rFonts w:hint="eastAsia" w:ascii="宋体" w:hAnsi="宋体" w:cs="宋体"/>
          <w:sz w:val="24"/>
        </w:rPr>
      </w:pPr>
      <w:r>
        <w:rPr>
          <w:rFonts w:hint="eastAsia" w:ascii="宋体" w:hAnsi="宋体" w:cs="宋体"/>
          <w:sz w:val="24"/>
        </w:rPr>
        <w:t>7.排水系统中，西南区主立管1—7层工程计入本次预算；</w:t>
      </w:r>
    </w:p>
    <w:p w14:paraId="24838AED">
      <w:pPr>
        <w:wordWrap w:val="0"/>
        <w:spacing w:line="360" w:lineRule="auto"/>
        <w:ind w:firstLine="480" w:firstLineChars="200"/>
        <w:rPr>
          <w:rFonts w:hint="eastAsia" w:ascii="宋体" w:hAnsi="宋体" w:cs="宋体"/>
          <w:sz w:val="24"/>
        </w:rPr>
      </w:pPr>
      <w:r>
        <w:rPr>
          <w:rFonts w:hint="eastAsia" w:ascii="宋体" w:hAnsi="宋体" w:cs="宋体"/>
          <w:sz w:val="24"/>
        </w:rPr>
        <w:t>8.客房、洗漱间、公共卫生间内的洗脸盆及水龙头拆除费用，已计入装饰工程拆除洗漱台内；</w:t>
      </w:r>
    </w:p>
    <w:p w14:paraId="657562F0">
      <w:pPr>
        <w:wordWrap w:val="0"/>
        <w:spacing w:line="360" w:lineRule="auto"/>
        <w:ind w:firstLine="480" w:firstLineChars="200"/>
        <w:rPr>
          <w:rFonts w:hint="eastAsia" w:ascii="宋体" w:hAnsi="宋体" w:cs="宋体"/>
          <w:sz w:val="24"/>
        </w:rPr>
      </w:pPr>
      <w:r>
        <w:rPr>
          <w:rFonts w:hint="eastAsia" w:ascii="宋体" w:hAnsi="宋体" w:cs="宋体"/>
          <w:sz w:val="24"/>
        </w:rPr>
        <w:t>9.公共卫生间蹲式大便器的拆除费用，已计入装饰工程拆除地台内；</w:t>
      </w:r>
    </w:p>
    <w:p w14:paraId="63617DE8">
      <w:pPr>
        <w:wordWrap w:val="0"/>
        <w:spacing w:line="360" w:lineRule="auto"/>
        <w:ind w:firstLine="480" w:firstLineChars="200"/>
        <w:rPr>
          <w:rFonts w:hint="eastAsia" w:ascii="宋体" w:hAnsi="宋体" w:cs="宋体"/>
          <w:sz w:val="24"/>
        </w:rPr>
      </w:pPr>
      <w:r>
        <w:rPr>
          <w:rFonts w:hint="eastAsia" w:ascii="宋体" w:hAnsi="宋体" w:cs="宋体"/>
          <w:sz w:val="24"/>
        </w:rPr>
        <w:t>10.卫生器具均按拆除后换新计取；</w:t>
      </w:r>
    </w:p>
    <w:p w14:paraId="2E281CA0">
      <w:pPr>
        <w:wordWrap w:val="0"/>
        <w:spacing w:line="360" w:lineRule="auto"/>
        <w:ind w:firstLine="480" w:firstLineChars="200"/>
        <w:rPr>
          <w:rFonts w:hint="eastAsia" w:ascii="宋体" w:hAnsi="宋体" w:cs="宋体"/>
          <w:sz w:val="24"/>
        </w:rPr>
      </w:pPr>
      <w:r>
        <w:rPr>
          <w:rFonts w:hint="eastAsia" w:ascii="宋体" w:hAnsi="宋体" w:cs="宋体"/>
          <w:sz w:val="24"/>
        </w:rPr>
        <w:t xml:space="preserve">11.洗衣房烘干一体机不在本次预算范围； </w:t>
      </w:r>
    </w:p>
    <w:p w14:paraId="53DEFCD1">
      <w:pPr>
        <w:wordWrap w:val="0"/>
        <w:spacing w:line="360" w:lineRule="auto"/>
        <w:ind w:firstLine="480" w:firstLineChars="200"/>
        <w:rPr>
          <w:rFonts w:hint="eastAsia" w:ascii="宋体" w:hAnsi="宋体" w:cs="宋体"/>
          <w:sz w:val="24"/>
        </w:rPr>
      </w:pPr>
      <w:r>
        <w:rPr>
          <w:rFonts w:hint="eastAsia" w:ascii="宋体" w:hAnsi="宋体" w:cs="宋体"/>
          <w:sz w:val="24"/>
        </w:rPr>
        <w:t xml:space="preserve">12.定制衣柜不在本次预算范围； </w:t>
      </w:r>
    </w:p>
    <w:p w14:paraId="2C95BDD6">
      <w:pPr>
        <w:wordWrap w:val="0"/>
        <w:spacing w:line="360" w:lineRule="auto"/>
        <w:ind w:firstLine="480" w:firstLineChars="200"/>
        <w:rPr>
          <w:rFonts w:hint="eastAsia" w:ascii="宋体" w:hAnsi="宋体" w:cs="宋体"/>
          <w:sz w:val="24"/>
        </w:rPr>
      </w:pPr>
      <w:r>
        <w:rPr>
          <w:rFonts w:hint="eastAsia" w:ascii="宋体" w:hAnsi="宋体" w:cs="宋体"/>
          <w:sz w:val="24"/>
        </w:rPr>
        <w:t xml:space="preserve">13.顶棚仅客房（含客房卫生间）、楼梯间在本次预算范围； </w:t>
      </w:r>
    </w:p>
    <w:p w14:paraId="07A08167">
      <w:pPr>
        <w:wordWrap w:val="0"/>
        <w:spacing w:line="360" w:lineRule="auto"/>
        <w:ind w:firstLine="480" w:firstLineChars="200"/>
        <w:rPr>
          <w:rFonts w:hint="eastAsia" w:ascii="宋体" w:hAnsi="宋体" w:cs="宋体"/>
          <w:sz w:val="24"/>
        </w:rPr>
      </w:pPr>
      <w:r>
        <w:rPr>
          <w:rFonts w:hint="eastAsia" w:ascii="宋体" w:hAnsi="宋体" w:cs="宋体"/>
          <w:sz w:val="24"/>
        </w:rPr>
        <w:t xml:space="preserve">14.客房消防应急疏散指示牌按亚克力材质计入预算； </w:t>
      </w:r>
    </w:p>
    <w:p w14:paraId="33910AE9">
      <w:pPr>
        <w:wordWrap w:val="0"/>
        <w:spacing w:line="360" w:lineRule="auto"/>
        <w:ind w:firstLine="480" w:firstLineChars="200"/>
        <w:rPr>
          <w:rFonts w:hint="eastAsia" w:ascii="宋体" w:hAnsi="宋体" w:cs="宋体"/>
          <w:sz w:val="24"/>
        </w:rPr>
      </w:pPr>
      <w:r>
        <w:rPr>
          <w:rFonts w:hint="eastAsia" w:ascii="宋体" w:hAnsi="宋体" w:cs="宋体"/>
          <w:sz w:val="24"/>
        </w:rPr>
        <w:t>15.其他详见采购公告及采购文件；</w:t>
      </w:r>
    </w:p>
    <w:p w14:paraId="5E5C52DA">
      <w:pPr>
        <w:wordWrap w:val="0"/>
        <w:spacing w:line="360" w:lineRule="auto"/>
        <w:ind w:firstLine="480" w:firstLineChars="200"/>
        <w:rPr>
          <w:rFonts w:hint="eastAsia" w:ascii="宋体" w:hAnsi="宋体" w:cs="宋体"/>
          <w:sz w:val="24"/>
        </w:rPr>
      </w:pPr>
      <w:r>
        <w:rPr>
          <w:rFonts w:hint="eastAsia" w:ascii="宋体" w:hAnsi="宋体" w:cs="宋体"/>
          <w:sz w:val="24"/>
        </w:rPr>
        <w:t>16.本说明未尽事项，以“计价</w:t>
      </w:r>
      <w:r>
        <w:rPr>
          <w:rFonts w:hint="eastAsia" w:ascii="宋体" w:hAnsi="宋体" w:cs="宋体"/>
          <w:sz w:val="24"/>
          <w:lang w:eastAsia="zh"/>
        </w:rPr>
        <w:t>标准</w:t>
      </w:r>
      <w:r>
        <w:rPr>
          <w:rFonts w:hint="eastAsia" w:ascii="宋体" w:hAnsi="宋体" w:cs="宋体"/>
          <w:sz w:val="24"/>
        </w:rPr>
        <w:t>”、“计量</w:t>
      </w:r>
      <w:r>
        <w:rPr>
          <w:rFonts w:hint="eastAsia" w:ascii="宋体" w:hAnsi="宋体" w:cs="宋体"/>
          <w:sz w:val="24"/>
          <w:lang w:eastAsia="zh"/>
        </w:rPr>
        <w:t>标准</w:t>
      </w:r>
      <w:r>
        <w:rPr>
          <w:rFonts w:hint="eastAsia" w:ascii="宋体" w:hAnsi="宋体" w:cs="宋体"/>
          <w:sz w:val="24"/>
        </w:rPr>
        <w:t>”、采购文件以及有关的法律、法规建设行政主管部门颁发的文件为准。</w:t>
      </w:r>
    </w:p>
    <w:p w14:paraId="16E3569B">
      <w:pPr>
        <w:wordWrap w:val="0"/>
        <w:spacing w:line="360" w:lineRule="auto"/>
        <w:ind w:firstLine="482" w:firstLineChars="200"/>
        <w:rPr>
          <w:rFonts w:hint="eastAsia" w:ascii="宋体" w:hAnsi="宋体" w:cs="宋体"/>
          <w:b/>
          <w:bCs/>
          <w:sz w:val="24"/>
        </w:rPr>
      </w:pPr>
      <w:r>
        <w:rPr>
          <w:rFonts w:hint="eastAsia" w:ascii="宋体" w:hAnsi="宋体" w:cs="宋体"/>
          <w:b/>
          <w:bCs/>
          <w:sz w:val="24"/>
        </w:rPr>
        <w:t>五、图纸（另附，详见附件）</w:t>
      </w:r>
    </w:p>
    <w:p w14:paraId="1FC96C51">
      <w:pPr>
        <w:rPr>
          <w:rFonts w:hint="eastAsia" w:ascii="黑体" w:hAnsi="黑体" w:eastAsia="黑体"/>
        </w:rPr>
      </w:pPr>
      <w:bookmarkStart w:id="442" w:name="_Toc15048361"/>
      <w:bookmarkStart w:id="443" w:name="_Toc6865"/>
      <w:bookmarkStart w:id="444" w:name="_Toc515647833"/>
      <w:bookmarkStart w:id="445" w:name="_Toc4796"/>
      <w:bookmarkStart w:id="446" w:name="_Toc532473757"/>
      <w:bookmarkStart w:id="447" w:name="_Toc532044541"/>
      <w:bookmarkStart w:id="448" w:name="_Toc6522"/>
      <w:bookmarkStart w:id="449" w:name="_Toc22927"/>
      <w:bookmarkStart w:id="450" w:name="_Toc10052"/>
    </w:p>
    <w:p w14:paraId="0D4D21E4">
      <w:pPr>
        <w:pStyle w:val="6"/>
        <w:tabs>
          <w:tab w:val="left" w:pos="0"/>
        </w:tabs>
        <w:wordWrap w:val="0"/>
        <w:autoSpaceDE w:val="0"/>
        <w:autoSpaceDN w:val="0"/>
        <w:adjustRightInd w:val="0"/>
        <w:spacing w:before="0" w:after="0" w:line="360" w:lineRule="auto"/>
        <w:ind w:left="-15"/>
        <w:jc w:val="center"/>
        <w:rPr>
          <w:rFonts w:hint="eastAsia" w:ascii="黑体" w:hAnsi="黑体" w:eastAsia="黑体"/>
          <w:b w:val="0"/>
          <w:bCs w:val="0"/>
        </w:rPr>
      </w:pPr>
    </w:p>
    <w:p w14:paraId="6319DFB9">
      <w:pPr>
        <w:pStyle w:val="6"/>
        <w:tabs>
          <w:tab w:val="left" w:pos="0"/>
        </w:tabs>
        <w:wordWrap w:val="0"/>
        <w:autoSpaceDE w:val="0"/>
        <w:autoSpaceDN w:val="0"/>
        <w:adjustRightInd w:val="0"/>
        <w:spacing w:before="0" w:after="0" w:line="360" w:lineRule="auto"/>
        <w:ind w:left="-15"/>
        <w:jc w:val="center"/>
        <w:rPr>
          <w:rFonts w:hint="eastAsia" w:ascii="黑体" w:hAnsi="黑体" w:eastAsia="黑体"/>
          <w:b w:val="0"/>
          <w:bCs w:val="0"/>
        </w:rPr>
      </w:pPr>
      <w:r>
        <w:rPr>
          <w:rFonts w:hint="eastAsia" w:ascii="黑体" w:hAnsi="黑体" w:eastAsia="黑体"/>
          <w:b w:val="0"/>
          <w:bCs w:val="0"/>
        </w:rPr>
        <w:t xml:space="preserve">第四章 </w:t>
      </w:r>
      <w:r>
        <w:rPr>
          <w:rFonts w:ascii="黑体" w:hAnsi="黑体" w:eastAsia="黑体"/>
          <w:b w:val="0"/>
          <w:bCs w:val="0"/>
        </w:rPr>
        <w:t xml:space="preserve"> </w:t>
      </w:r>
      <w:r>
        <w:rPr>
          <w:rFonts w:hint="eastAsia" w:ascii="黑体" w:hAnsi="黑体" w:eastAsia="黑体"/>
          <w:b w:val="0"/>
          <w:bCs w:val="0"/>
        </w:rPr>
        <w:t>采购合同</w:t>
      </w:r>
      <w:bookmarkEnd w:id="442"/>
      <w:bookmarkEnd w:id="443"/>
      <w:bookmarkEnd w:id="444"/>
      <w:bookmarkEnd w:id="445"/>
      <w:bookmarkEnd w:id="446"/>
      <w:bookmarkEnd w:id="447"/>
      <w:bookmarkEnd w:id="448"/>
      <w:bookmarkEnd w:id="449"/>
      <w:bookmarkEnd w:id="450"/>
      <w:bookmarkStart w:id="451" w:name="_Hlt487972895"/>
      <w:bookmarkEnd w:id="451"/>
      <w:bookmarkStart w:id="452" w:name="_Toc216513788"/>
      <w:bookmarkStart w:id="453" w:name="_Toc487900382"/>
    </w:p>
    <w:bookmarkEnd w:id="452"/>
    <w:bookmarkEnd w:id="453"/>
    <w:p w14:paraId="72A8A960">
      <w:pPr>
        <w:jc w:val="right"/>
        <w:rPr>
          <w:rFonts w:hint="eastAsia" w:ascii="宋体" w:hAnsi="宋体"/>
          <w:b/>
          <w:color w:val="000000"/>
          <w:sz w:val="24"/>
        </w:rPr>
      </w:pPr>
      <w:r>
        <w:rPr>
          <w:rFonts w:ascii="宋体" w:hAnsi="宋体"/>
          <w:b/>
          <w:color w:val="000000"/>
          <w:sz w:val="24"/>
        </w:rPr>
        <w:t>合同编号：</w:t>
      </w:r>
      <w:r>
        <w:rPr>
          <w:rFonts w:ascii="宋体" w:hAnsi="宋体"/>
          <w:b/>
          <w:bCs/>
          <w:color w:val="000000"/>
          <w:sz w:val="24"/>
        </w:rPr>
        <w:t>ZPJC-2026-010</w:t>
      </w:r>
    </w:p>
    <w:p w14:paraId="4B76BAAA">
      <w:pPr>
        <w:jc w:val="center"/>
        <w:rPr>
          <w:rFonts w:ascii="微软雅黑" w:eastAsia="微软雅黑"/>
          <w:b/>
          <w:color w:val="000000"/>
          <w:sz w:val="52"/>
          <w:szCs w:val="52"/>
        </w:rPr>
      </w:pPr>
      <w:r>
        <w:rPr>
          <w:rFonts w:ascii="微软雅黑" w:eastAsia="微软雅黑"/>
          <w:b/>
          <w:color w:val="000000"/>
          <w:sz w:val="52"/>
          <w:szCs w:val="52"/>
        </w:rPr>
        <w:t xml:space="preserve"> </w:t>
      </w:r>
    </w:p>
    <w:p w14:paraId="24E3F017">
      <w:pPr>
        <w:jc w:val="center"/>
        <w:rPr>
          <w:rFonts w:ascii="微软雅黑" w:eastAsia="微软雅黑"/>
          <w:b/>
          <w:color w:val="000000"/>
          <w:sz w:val="36"/>
          <w:szCs w:val="36"/>
        </w:rPr>
      </w:pPr>
      <w:r>
        <w:rPr>
          <w:rFonts w:ascii="微软雅黑" w:hAnsi="微软雅黑" w:eastAsia="微软雅黑"/>
          <w:b/>
          <w:color w:val="000000"/>
          <w:sz w:val="36"/>
          <w:szCs w:val="36"/>
        </w:rPr>
        <w:t>中国人民银行郑州培训学院</w:t>
      </w:r>
    </w:p>
    <w:p w14:paraId="577E5E26">
      <w:pPr>
        <w:jc w:val="center"/>
        <w:rPr>
          <w:rFonts w:ascii="微软雅黑" w:eastAsia="微软雅黑"/>
          <w:b/>
          <w:color w:val="000000"/>
          <w:sz w:val="36"/>
          <w:szCs w:val="36"/>
        </w:rPr>
      </w:pPr>
      <w:r>
        <w:rPr>
          <w:rFonts w:ascii="微软雅黑" w:hAnsi="微软雅黑" w:eastAsia="微软雅黑"/>
          <w:b/>
          <w:color w:val="000000"/>
          <w:sz w:val="36"/>
          <w:szCs w:val="36"/>
        </w:rPr>
        <w:t>二号培训楼修缮改造项目（四层五层及三层北区）施工合同</w:t>
      </w:r>
    </w:p>
    <w:p w14:paraId="25EEAFB3">
      <w:pPr>
        <w:rPr>
          <w:rFonts w:ascii="微软雅黑" w:eastAsia="微软雅黑"/>
          <w:b/>
          <w:color w:val="000000"/>
          <w:sz w:val="52"/>
          <w:szCs w:val="52"/>
        </w:rPr>
      </w:pPr>
      <w:r>
        <w:rPr>
          <w:rFonts w:ascii="微软雅黑" w:eastAsia="微软雅黑"/>
          <w:b/>
          <w:color w:val="000000"/>
          <w:sz w:val="52"/>
          <w:szCs w:val="52"/>
        </w:rPr>
        <w:t xml:space="preserve"> </w:t>
      </w:r>
    </w:p>
    <w:p w14:paraId="50D71BFA">
      <w:pPr>
        <w:rPr>
          <w:rFonts w:ascii="微软雅黑" w:eastAsia="微软雅黑"/>
          <w:b/>
          <w:color w:val="000000"/>
          <w:sz w:val="52"/>
          <w:szCs w:val="52"/>
        </w:rPr>
      </w:pPr>
      <w:r>
        <w:rPr>
          <w:rFonts w:ascii="微软雅黑" w:eastAsia="微软雅黑"/>
          <w:b/>
          <w:color w:val="000000"/>
          <w:sz w:val="52"/>
          <w:szCs w:val="52"/>
        </w:rPr>
        <w:t xml:space="preserve"> </w:t>
      </w:r>
    </w:p>
    <w:p w14:paraId="67591744">
      <w:pPr>
        <w:rPr>
          <w:rFonts w:ascii="微软雅黑" w:eastAsia="微软雅黑"/>
          <w:b/>
          <w:color w:val="000000"/>
          <w:sz w:val="52"/>
          <w:szCs w:val="52"/>
        </w:rPr>
      </w:pPr>
      <w:r>
        <w:rPr>
          <w:rFonts w:ascii="微软雅黑" w:eastAsia="微软雅黑"/>
          <w:b/>
          <w:color w:val="000000"/>
          <w:sz w:val="52"/>
          <w:szCs w:val="52"/>
        </w:rPr>
        <w:t xml:space="preserve"> </w:t>
      </w:r>
    </w:p>
    <w:p w14:paraId="5FDE768D">
      <w:pPr>
        <w:rPr>
          <w:rFonts w:ascii="微软雅黑" w:eastAsia="微软雅黑"/>
          <w:b/>
          <w:color w:val="000000"/>
          <w:sz w:val="52"/>
          <w:szCs w:val="52"/>
        </w:rPr>
      </w:pPr>
      <w:r>
        <w:rPr>
          <w:rFonts w:ascii="微软雅黑" w:eastAsia="微软雅黑"/>
          <w:b/>
          <w:color w:val="000000"/>
          <w:sz w:val="52"/>
          <w:szCs w:val="52"/>
        </w:rPr>
        <w:t xml:space="preserve"> </w:t>
      </w:r>
    </w:p>
    <w:p w14:paraId="7476D9CF">
      <w:pPr>
        <w:spacing w:line="460" w:lineRule="exact"/>
        <w:rPr>
          <w:rFonts w:hint="eastAsia" w:ascii="汉鼎简楷体" w:hAnsi="宋体"/>
          <w:b/>
          <w:bCs/>
          <w:spacing w:val="4"/>
          <w:sz w:val="24"/>
        </w:rPr>
      </w:pPr>
      <w:r>
        <w:rPr>
          <w:rFonts w:ascii="汉鼎简楷体" w:hAnsi="宋体"/>
          <w:b/>
          <w:bCs/>
          <w:spacing w:val="4"/>
          <w:sz w:val="24"/>
        </w:rPr>
        <w:t xml:space="preserve"> </w:t>
      </w:r>
    </w:p>
    <w:p w14:paraId="0E8ECB32">
      <w:pPr>
        <w:rPr>
          <w:rFonts w:hAnsi="Calibri" w:eastAsia="华文中宋"/>
          <w:szCs w:val="21"/>
        </w:rPr>
      </w:pPr>
      <w:r>
        <w:rPr>
          <w:rFonts w:ascii="Calibri" w:hAnsi="Calibri"/>
          <w:szCs w:val="21"/>
        </w:rPr>
        <w:t xml:space="preserve">          </w:t>
      </w:r>
      <w:r>
        <w:rPr>
          <w:rFonts w:hAnsi="Calibri" w:eastAsia="华文中宋"/>
          <w:szCs w:val="21"/>
        </w:rPr>
        <w:br w:type="textWrapping"/>
      </w:r>
    </w:p>
    <w:p w14:paraId="1715ED59">
      <w:pPr>
        <w:rPr>
          <w:rFonts w:ascii="Calibri" w:hAnsi="Calibri"/>
          <w:szCs w:val="21"/>
        </w:rPr>
      </w:pPr>
      <w:r>
        <w:rPr>
          <w:rFonts w:ascii="Calibri" w:hAnsi="Calibri"/>
          <w:szCs w:val="21"/>
        </w:rPr>
        <w:t xml:space="preserve">                       </w:t>
      </w:r>
    </w:p>
    <w:p w14:paraId="3F3F1AF1">
      <w:pPr>
        <w:rPr>
          <w:rFonts w:ascii="Calibri" w:hAnsi="Calibri"/>
          <w:szCs w:val="21"/>
        </w:rPr>
      </w:pPr>
      <w:r>
        <w:rPr>
          <w:rFonts w:ascii="Calibri" w:hAnsi="Calibri"/>
          <w:szCs w:val="21"/>
        </w:rPr>
        <w:t xml:space="preserve"> </w:t>
      </w:r>
    </w:p>
    <w:p w14:paraId="72F95E73">
      <w:pPr>
        <w:ind w:firstLine="2319" w:firstLineChars="773"/>
        <w:rPr>
          <w:rFonts w:ascii="Calibri" w:hAnsi="Calibri" w:eastAsia="黑体"/>
          <w:sz w:val="30"/>
          <w:szCs w:val="30"/>
        </w:rPr>
      </w:pPr>
      <w:r>
        <w:rPr>
          <w:rFonts w:ascii="Calibri" w:hAnsi="Calibri" w:eastAsia="黑体"/>
          <w:sz w:val="30"/>
          <w:szCs w:val="30"/>
        </w:rPr>
        <w:t xml:space="preserve"> </w:t>
      </w:r>
    </w:p>
    <w:p w14:paraId="63A945E1">
      <w:pPr>
        <w:ind w:firstLine="1500" w:firstLineChars="500"/>
        <w:rPr>
          <w:rFonts w:ascii="Calibri" w:hAnsi="Calibri" w:eastAsia="黑体"/>
          <w:sz w:val="30"/>
          <w:szCs w:val="30"/>
        </w:rPr>
      </w:pPr>
      <w:r>
        <w:rPr>
          <w:rFonts w:ascii="黑体" w:hAnsi="黑体" w:eastAsia="黑体"/>
          <w:sz w:val="30"/>
          <w:szCs w:val="30"/>
        </w:rPr>
        <w:t>发包人：中国人民银行郑州培训学院</w:t>
      </w:r>
    </w:p>
    <w:p w14:paraId="6FEABC5A">
      <w:pPr>
        <w:ind w:firstLine="1500" w:firstLineChars="500"/>
        <w:rPr>
          <w:rFonts w:ascii="Calibri" w:hAnsi="Calibri" w:eastAsia="黑体"/>
          <w:sz w:val="30"/>
          <w:szCs w:val="30"/>
        </w:rPr>
      </w:pPr>
      <w:r>
        <w:rPr>
          <w:rFonts w:ascii="黑体" w:hAnsi="黑体" w:eastAsia="黑体"/>
          <w:sz w:val="30"/>
          <w:szCs w:val="30"/>
        </w:rPr>
        <w:t>承包人：</w:t>
      </w:r>
    </w:p>
    <w:p w14:paraId="1B48ACF4">
      <w:pPr>
        <w:ind w:firstLine="1500" w:firstLineChars="500"/>
        <w:rPr>
          <w:rFonts w:ascii="Calibri" w:hAnsi="Calibri" w:eastAsia="黑体"/>
          <w:sz w:val="30"/>
          <w:szCs w:val="30"/>
        </w:rPr>
      </w:pPr>
      <w:r>
        <w:rPr>
          <w:rFonts w:ascii="黑体" w:hAnsi="黑体" w:eastAsia="黑体"/>
          <w:sz w:val="30"/>
          <w:szCs w:val="30"/>
        </w:rPr>
        <w:t>签订日期：</w:t>
      </w:r>
      <w:r>
        <w:rPr>
          <w:rFonts w:ascii="Calibri" w:hAnsi="Calibri" w:eastAsia="黑体" w:cs="Calibri"/>
          <w:sz w:val="30"/>
          <w:szCs w:val="30"/>
        </w:rPr>
        <w:t>2026</w:t>
      </w:r>
      <w:r>
        <w:rPr>
          <w:rFonts w:ascii="黑体" w:hAnsi="黑体" w:eastAsia="黑体"/>
          <w:sz w:val="30"/>
          <w:szCs w:val="30"/>
        </w:rPr>
        <w:t>年    月</w:t>
      </w:r>
    </w:p>
    <w:p w14:paraId="4E1FC19D">
      <w:pPr>
        <w:jc w:val="center"/>
        <w:rPr>
          <w:rFonts w:ascii="Calibri" w:hAnsi="Calibri" w:eastAsia="黑体"/>
          <w:sz w:val="28"/>
          <w:szCs w:val="28"/>
        </w:rPr>
      </w:pPr>
      <w:r>
        <w:rPr>
          <w:rFonts w:ascii="Calibri" w:hAnsi="Calibri" w:eastAsia="黑体"/>
          <w:sz w:val="28"/>
          <w:szCs w:val="28"/>
        </w:rPr>
        <w:br w:type="page"/>
      </w:r>
      <w:r>
        <w:rPr>
          <w:rFonts w:ascii="黑体" w:hAnsi="黑体" w:eastAsia="黑体"/>
          <w:sz w:val="28"/>
          <w:szCs w:val="28"/>
        </w:rPr>
        <w:t>第一部分</w:t>
      </w:r>
      <w:r>
        <w:rPr>
          <w:rFonts w:ascii="Calibri" w:hAnsi="Calibri" w:eastAsia="黑体"/>
          <w:sz w:val="28"/>
          <w:szCs w:val="28"/>
        </w:rPr>
        <w:t xml:space="preserve"> </w:t>
      </w:r>
      <w:r>
        <w:rPr>
          <w:rFonts w:ascii="黑体" w:hAnsi="黑体" w:eastAsia="黑体"/>
          <w:sz w:val="28"/>
          <w:szCs w:val="28"/>
        </w:rPr>
        <w:t>合同协议书</w:t>
      </w:r>
    </w:p>
    <w:p w14:paraId="33538DFC">
      <w:pPr>
        <w:spacing w:line="360" w:lineRule="auto"/>
        <w:rPr>
          <w:rFonts w:hint="eastAsia" w:ascii="宋体" w:hAnsi="宋体"/>
          <w:szCs w:val="21"/>
        </w:rPr>
      </w:pPr>
      <w:r>
        <w:rPr>
          <w:rFonts w:ascii="宋体" w:hAnsi="宋体"/>
          <w:szCs w:val="21"/>
        </w:rPr>
        <w:t xml:space="preserve"> </w:t>
      </w:r>
    </w:p>
    <w:p w14:paraId="277AD03E">
      <w:pPr>
        <w:spacing w:line="360" w:lineRule="auto"/>
        <w:rPr>
          <w:rFonts w:hint="eastAsia" w:ascii="宋体" w:hAnsi="宋体"/>
          <w:szCs w:val="21"/>
          <w:u w:val="single"/>
        </w:rPr>
      </w:pPr>
      <w:r>
        <w:rPr>
          <w:rFonts w:ascii="宋体" w:hAnsi="宋体"/>
          <w:szCs w:val="21"/>
        </w:rPr>
        <w:t>发包人（全称）：</w:t>
      </w:r>
      <w:r>
        <w:rPr>
          <w:rFonts w:ascii="宋体" w:hAnsi="宋体"/>
          <w:szCs w:val="21"/>
          <w:u w:val="single"/>
        </w:rPr>
        <w:t xml:space="preserve">中国人民银行郑州培训学院  </w:t>
      </w:r>
    </w:p>
    <w:p w14:paraId="2D93B03E">
      <w:pPr>
        <w:spacing w:line="360" w:lineRule="auto"/>
        <w:rPr>
          <w:rFonts w:hint="eastAsia" w:ascii="宋体" w:hAnsi="宋体"/>
          <w:szCs w:val="21"/>
          <w:u w:val="single"/>
        </w:rPr>
      </w:pPr>
      <w:r>
        <w:rPr>
          <w:rFonts w:ascii="宋体" w:hAnsi="宋体"/>
          <w:szCs w:val="21"/>
        </w:rPr>
        <w:t>承包人（全称）：</w:t>
      </w:r>
      <w:r>
        <w:rPr>
          <w:rFonts w:ascii="宋体" w:hAnsi="宋体"/>
          <w:szCs w:val="21"/>
          <w:u w:val="single"/>
        </w:rPr>
        <w:t xml:space="preserve">                          </w:t>
      </w:r>
    </w:p>
    <w:p w14:paraId="15DD0C93">
      <w:pPr>
        <w:spacing w:line="360" w:lineRule="auto"/>
        <w:ind w:firstLine="420" w:firstLineChars="200"/>
        <w:rPr>
          <w:rFonts w:hint="eastAsia" w:ascii="宋体" w:hAnsi="宋体"/>
          <w:szCs w:val="21"/>
        </w:rPr>
      </w:pPr>
      <w:r>
        <w:rPr>
          <w:rFonts w:ascii="宋体" w:hAnsi="宋体"/>
          <w:szCs w:val="21"/>
        </w:rPr>
        <w:t>根据《中华人民共和国民法典》、《中华人民共和国建筑法》及有关法律规定，遵循平等、自愿、公平和诚实信用的原则，双方就</w:t>
      </w:r>
      <w:r>
        <w:rPr>
          <w:rFonts w:ascii="宋体" w:hAnsi="宋体"/>
          <w:szCs w:val="21"/>
          <w:u w:val="single"/>
        </w:rPr>
        <w:t xml:space="preserve"> 中国人民银行郑州培训学院二号培训楼修缮改造项目（四层五层及三层北区） </w:t>
      </w:r>
      <w:r>
        <w:rPr>
          <w:rFonts w:ascii="宋体" w:hAnsi="宋体"/>
          <w:szCs w:val="21"/>
        </w:rPr>
        <w:t xml:space="preserve"> 工程施工及有关事项协商一致，共同达成如下协议：</w:t>
      </w:r>
    </w:p>
    <w:p w14:paraId="5C3812E8">
      <w:pPr>
        <w:spacing w:line="360" w:lineRule="auto"/>
        <w:outlineLvl w:val="0"/>
        <w:rPr>
          <w:rFonts w:ascii="Calibri" w:hAnsi="Calibri"/>
          <w:szCs w:val="21"/>
        </w:rPr>
      </w:pPr>
      <w:r>
        <w:rPr>
          <w:rFonts w:ascii="Calibri" w:hAnsi="Calibri"/>
          <w:szCs w:val="21"/>
        </w:rPr>
        <w:t xml:space="preserve">    </w:t>
      </w:r>
      <w:r>
        <w:rPr>
          <w:rFonts w:ascii="宋体" w:hAnsi="宋体"/>
          <w:szCs w:val="21"/>
        </w:rPr>
        <w:t>一、工程概况</w:t>
      </w:r>
    </w:p>
    <w:p w14:paraId="6E3A2E43">
      <w:pPr>
        <w:spacing w:line="360" w:lineRule="auto"/>
        <w:ind w:firstLine="411" w:firstLineChars="196"/>
        <w:rPr>
          <w:rFonts w:hint="eastAsia" w:ascii="宋体" w:hAnsi="宋体"/>
          <w:szCs w:val="21"/>
          <w:u w:val="single"/>
        </w:rPr>
      </w:pPr>
      <w:r>
        <w:rPr>
          <w:rFonts w:ascii="宋体" w:hAnsi="宋体"/>
          <w:bCs/>
          <w:szCs w:val="21"/>
        </w:rPr>
        <w:t>1.工程名称</w:t>
      </w:r>
      <w:r>
        <w:rPr>
          <w:rFonts w:ascii="宋体" w:hAnsi="宋体"/>
          <w:szCs w:val="21"/>
        </w:rPr>
        <w:t>：</w:t>
      </w:r>
      <w:r>
        <w:rPr>
          <w:rFonts w:ascii="宋体" w:hAnsi="宋体"/>
          <w:szCs w:val="21"/>
          <w:u w:val="single"/>
        </w:rPr>
        <w:t xml:space="preserve"> 中国人民银行郑州培训学院二号培训楼修缮改造项目（四层五层及三层北区）</w:t>
      </w:r>
      <w:r>
        <w:rPr>
          <w:rFonts w:ascii="宋体" w:hAnsi="宋体"/>
          <w:szCs w:val="21"/>
        </w:rPr>
        <w:t>。</w:t>
      </w:r>
    </w:p>
    <w:p w14:paraId="490DB454">
      <w:pPr>
        <w:spacing w:line="360" w:lineRule="auto"/>
        <w:ind w:firstLine="411" w:firstLineChars="196"/>
        <w:rPr>
          <w:rFonts w:hint="eastAsia" w:ascii="宋体" w:hAnsi="宋体"/>
          <w:bCs/>
          <w:szCs w:val="21"/>
        </w:rPr>
      </w:pPr>
      <w:r>
        <w:rPr>
          <w:rFonts w:ascii="宋体" w:hAnsi="宋体"/>
          <w:bCs/>
          <w:szCs w:val="21"/>
        </w:rPr>
        <w:t>2.工程地点：</w:t>
      </w:r>
      <w:r>
        <w:rPr>
          <w:rFonts w:ascii="宋体" w:hAnsi="宋体"/>
          <w:szCs w:val="21"/>
          <w:u w:val="single"/>
        </w:rPr>
        <w:t xml:space="preserve">    中国人民银行郑州培训学院院内      </w:t>
      </w:r>
      <w:r>
        <w:rPr>
          <w:rFonts w:ascii="宋体" w:hAnsi="宋体"/>
          <w:szCs w:val="21"/>
        </w:rPr>
        <w:t>。</w:t>
      </w:r>
    </w:p>
    <w:p w14:paraId="2DCBDB40">
      <w:pPr>
        <w:spacing w:line="360" w:lineRule="auto"/>
        <w:ind w:firstLine="411" w:firstLineChars="196"/>
        <w:rPr>
          <w:rFonts w:hint="eastAsia" w:ascii="宋体" w:hAnsi="宋体"/>
          <w:bCs/>
          <w:szCs w:val="21"/>
        </w:rPr>
      </w:pPr>
      <w:r>
        <w:rPr>
          <w:rFonts w:ascii="宋体" w:hAnsi="宋体"/>
          <w:bCs/>
          <w:szCs w:val="21"/>
        </w:rPr>
        <w:t>3.资金来源：</w:t>
      </w:r>
      <w:r>
        <w:rPr>
          <w:rFonts w:ascii="宋体" w:hAnsi="宋体"/>
          <w:szCs w:val="21"/>
          <w:u w:val="single"/>
        </w:rPr>
        <w:t xml:space="preserve">    上级主管部门预算批复资金     </w:t>
      </w:r>
      <w:r>
        <w:rPr>
          <w:rFonts w:ascii="宋体" w:hAnsi="宋体"/>
          <w:bCs/>
          <w:szCs w:val="21"/>
        </w:rPr>
        <w:t>。</w:t>
      </w:r>
    </w:p>
    <w:p w14:paraId="00A6ECD6">
      <w:pPr>
        <w:spacing w:line="360" w:lineRule="auto"/>
        <w:ind w:firstLine="411" w:firstLineChars="196"/>
        <w:rPr>
          <w:rFonts w:hint="eastAsia" w:ascii="宋体" w:hAnsi="宋体"/>
          <w:bCs/>
          <w:szCs w:val="21"/>
        </w:rPr>
      </w:pPr>
      <w:r>
        <w:rPr>
          <w:rFonts w:ascii="宋体" w:hAnsi="宋体"/>
          <w:bCs/>
          <w:szCs w:val="21"/>
        </w:rPr>
        <w:t>4.工程内容：</w:t>
      </w:r>
      <w:r>
        <w:rPr>
          <w:rFonts w:ascii="宋体" w:hAnsi="宋体"/>
          <w:szCs w:val="21"/>
          <w:u w:val="single"/>
        </w:rPr>
        <w:t xml:space="preserve"> 中国人民银行郑州培训学院二号培训楼修缮改造项目（四层五层及三层北区），工程内容主要包括装饰工程、强电工程、弱电工程、给排水工程、消防工程等</w:t>
      </w:r>
    </w:p>
    <w:p w14:paraId="1ED88544">
      <w:pPr>
        <w:spacing w:line="360" w:lineRule="auto"/>
        <w:ind w:firstLine="405" w:firstLineChars="193"/>
        <w:rPr>
          <w:rFonts w:hint="eastAsia" w:ascii="宋体" w:hAnsi="宋体"/>
          <w:b/>
          <w:szCs w:val="21"/>
          <w:u w:val="single"/>
        </w:rPr>
      </w:pPr>
      <w:r>
        <w:rPr>
          <w:rFonts w:ascii="宋体" w:hAnsi="宋体"/>
          <w:bCs/>
          <w:szCs w:val="21"/>
        </w:rPr>
        <w:t>5.工程承包范围</w:t>
      </w:r>
      <w:r>
        <w:rPr>
          <w:rFonts w:ascii="宋体" w:hAnsi="宋体"/>
          <w:bCs/>
          <w:szCs w:val="21"/>
          <w:u w:val="single"/>
        </w:rPr>
        <w:t>：</w:t>
      </w:r>
      <w:r>
        <w:rPr>
          <w:rFonts w:ascii="宋体" w:hAnsi="宋体"/>
          <w:b/>
          <w:szCs w:val="21"/>
          <w:u w:val="single"/>
        </w:rPr>
        <w:t>二号培训楼四层、五层全部区域以及三层北区所在区域客房及公共走廊区域的装饰工程、强电工程、弱电工程、给排水工程、消防工程。具体详见竞争性磋商文件、图纸及工程量清单所示的全部内容以及发包人现场要求（发包人有权依据功能需求，对工程内容和工程量作出调整）。</w:t>
      </w:r>
    </w:p>
    <w:p w14:paraId="737D4C08">
      <w:pPr>
        <w:spacing w:line="360" w:lineRule="auto"/>
        <w:outlineLvl w:val="0"/>
        <w:rPr>
          <w:rFonts w:ascii="Calibri" w:hAnsi="Calibri"/>
          <w:szCs w:val="21"/>
        </w:rPr>
      </w:pPr>
      <w:r>
        <w:rPr>
          <w:rFonts w:ascii="Calibri" w:hAnsi="Calibri"/>
          <w:szCs w:val="21"/>
        </w:rPr>
        <w:t xml:space="preserve">    </w:t>
      </w:r>
      <w:r>
        <w:rPr>
          <w:rFonts w:ascii="宋体" w:hAnsi="宋体"/>
          <w:szCs w:val="21"/>
        </w:rPr>
        <w:t>二、合同工期</w:t>
      </w:r>
    </w:p>
    <w:p w14:paraId="28DABB71">
      <w:pPr>
        <w:spacing w:line="360" w:lineRule="auto"/>
        <w:ind w:firstLine="459"/>
        <w:rPr>
          <w:rFonts w:hint="eastAsia" w:ascii="宋体" w:hAnsi="宋体"/>
          <w:szCs w:val="21"/>
        </w:rPr>
      </w:pPr>
      <w:r>
        <w:rPr>
          <w:rFonts w:ascii="宋体" w:hAnsi="宋体"/>
          <w:szCs w:val="21"/>
        </w:rPr>
        <w:t>计划开工日期：</w:t>
      </w:r>
      <w:r>
        <w:rPr>
          <w:rFonts w:ascii="宋体" w:hAnsi="宋体"/>
          <w:szCs w:val="21"/>
          <w:u w:val="single"/>
        </w:rPr>
        <w:t>2026</w:t>
      </w:r>
      <w:r>
        <w:rPr>
          <w:rFonts w:ascii="宋体" w:hAnsi="宋体"/>
          <w:szCs w:val="21"/>
        </w:rPr>
        <w:t>年</w:t>
      </w:r>
      <w:r>
        <w:rPr>
          <w:rFonts w:ascii="宋体" w:hAnsi="宋体"/>
          <w:szCs w:val="21"/>
          <w:u w:val="single"/>
        </w:rPr>
        <w:t xml:space="preserve">   </w:t>
      </w:r>
      <w:r>
        <w:rPr>
          <w:rFonts w:ascii="宋体" w:hAnsi="宋体"/>
          <w:szCs w:val="21"/>
        </w:rPr>
        <w:t>月</w:t>
      </w:r>
      <w:r>
        <w:rPr>
          <w:rFonts w:ascii="宋体" w:hAnsi="宋体"/>
          <w:szCs w:val="21"/>
          <w:u w:val="single"/>
        </w:rPr>
        <w:t> </w:t>
      </w:r>
      <w:r>
        <w:rPr>
          <w:rFonts w:ascii="宋体" w:hAnsi="宋体"/>
          <w:szCs w:val="21"/>
        </w:rPr>
        <w:t>日。</w:t>
      </w:r>
    </w:p>
    <w:p w14:paraId="6A55A8E7">
      <w:pPr>
        <w:spacing w:line="360" w:lineRule="auto"/>
        <w:ind w:firstLine="459"/>
        <w:rPr>
          <w:rFonts w:hint="eastAsia" w:ascii="宋体" w:hAnsi="宋体"/>
          <w:szCs w:val="21"/>
        </w:rPr>
      </w:pPr>
      <w:r>
        <w:rPr>
          <w:rFonts w:ascii="宋体" w:hAnsi="宋体"/>
          <w:szCs w:val="21"/>
        </w:rPr>
        <w:t>计划竣工日期：</w:t>
      </w:r>
      <w:r>
        <w:rPr>
          <w:rFonts w:ascii="宋体" w:hAnsi="宋体"/>
          <w:szCs w:val="21"/>
          <w:u w:val="single"/>
        </w:rPr>
        <w:t>2027</w:t>
      </w:r>
      <w:r>
        <w:rPr>
          <w:rFonts w:ascii="宋体" w:hAnsi="宋体"/>
          <w:szCs w:val="21"/>
        </w:rPr>
        <w:t>年</w:t>
      </w:r>
      <w:r>
        <w:rPr>
          <w:rFonts w:ascii="宋体" w:hAnsi="宋体"/>
          <w:szCs w:val="21"/>
          <w:u w:val="single"/>
        </w:rPr>
        <w:t> </w:t>
      </w:r>
      <w:r>
        <w:rPr>
          <w:rFonts w:ascii="宋体" w:hAnsi="宋体"/>
          <w:szCs w:val="21"/>
        </w:rPr>
        <w:t>月</w:t>
      </w:r>
      <w:r>
        <w:rPr>
          <w:rFonts w:ascii="宋体" w:hAnsi="宋体"/>
          <w:szCs w:val="21"/>
          <w:u w:val="single"/>
        </w:rPr>
        <w:t>  </w:t>
      </w:r>
      <w:r>
        <w:rPr>
          <w:rFonts w:ascii="宋体" w:hAnsi="宋体"/>
          <w:szCs w:val="21"/>
        </w:rPr>
        <w:t>日。</w:t>
      </w:r>
    </w:p>
    <w:p w14:paraId="733D915D">
      <w:pPr>
        <w:spacing w:line="360" w:lineRule="auto"/>
        <w:ind w:firstLine="459"/>
        <w:rPr>
          <w:rFonts w:hint="eastAsia" w:ascii="宋体" w:hAnsi="宋体"/>
          <w:szCs w:val="21"/>
        </w:rPr>
      </w:pPr>
      <w:r>
        <w:rPr>
          <w:rFonts w:ascii="宋体" w:hAnsi="宋体"/>
          <w:szCs w:val="21"/>
        </w:rPr>
        <w:t>工期总日历天数：</w:t>
      </w:r>
      <w:r>
        <w:rPr>
          <w:rFonts w:ascii="宋体" w:hAnsi="宋体"/>
          <w:szCs w:val="21"/>
          <w:u w:val="single"/>
        </w:rPr>
        <w:t xml:space="preserve">      </w:t>
      </w:r>
      <w:r>
        <w:rPr>
          <w:rFonts w:ascii="宋体" w:hAnsi="宋体"/>
          <w:szCs w:val="21"/>
        </w:rPr>
        <w:t>天（包含节假日）。自实际开工之日起起算，实际开工日以甲方（或监理）下发开工令为准，有效工期不包括因不可抗力因素及甲方原因导致的施工暂停天数。有效工期总日历天数与根据前述计划开竣工日期计算的工期天数不一致的，以有效工期总日历天数为准。</w:t>
      </w:r>
    </w:p>
    <w:p w14:paraId="1BFE88C2">
      <w:pPr>
        <w:spacing w:line="360" w:lineRule="auto"/>
        <w:outlineLvl w:val="0"/>
        <w:rPr>
          <w:rFonts w:ascii="Calibri" w:hAnsi="Calibri"/>
          <w:szCs w:val="21"/>
        </w:rPr>
      </w:pPr>
      <w:r>
        <w:rPr>
          <w:rFonts w:ascii="Calibri" w:hAnsi="Calibri"/>
          <w:szCs w:val="21"/>
        </w:rPr>
        <w:t xml:space="preserve">    </w:t>
      </w:r>
      <w:r>
        <w:rPr>
          <w:rFonts w:ascii="宋体" w:hAnsi="宋体"/>
          <w:szCs w:val="21"/>
        </w:rPr>
        <w:t>三、质量标准</w:t>
      </w:r>
    </w:p>
    <w:p w14:paraId="0ED14A94">
      <w:pPr>
        <w:spacing w:line="360" w:lineRule="auto"/>
        <w:ind w:firstLine="420" w:firstLineChars="200"/>
        <w:rPr>
          <w:rFonts w:hint="eastAsia" w:ascii="宋体" w:hAnsi="宋体"/>
          <w:szCs w:val="21"/>
        </w:rPr>
      </w:pPr>
      <w:r>
        <w:rPr>
          <w:rFonts w:ascii="宋体" w:hAnsi="宋体"/>
          <w:szCs w:val="21"/>
        </w:rPr>
        <w:t>工程质量</w:t>
      </w:r>
      <w:r>
        <w:rPr>
          <w:rFonts w:ascii="宋体" w:hAnsi="宋体"/>
          <w:szCs w:val="21"/>
          <w:u w:val="single"/>
        </w:rPr>
        <w:t>符合发包人要求、国家质量验收合格标准、建筑工程施工质量验收、消防工程相关施工验收规定与规范（标准），一次性验收合格。</w:t>
      </w:r>
    </w:p>
    <w:p w14:paraId="0E26C9EA">
      <w:pPr>
        <w:spacing w:line="360" w:lineRule="auto"/>
        <w:outlineLvl w:val="0"/>
        <w:rPr>
          <w:rFonts w:ascii="Calibri" w:hAnsi="Calibri"/>
          <w:szCs w:val="21"/>
        </w:rPr>
      </w:pPr>
      <w:r>
        <w:rPr>
          <w:rFonts w:ascii="Calibri" w:hAnsi="Calibri"/>
          <w:szCs w:val="21"/>
        </w:rPr>
        <w:t xml:space="preserve">    </w:t>
      </w:r>
      <w:r>
        <w:rPr>
          <w:rFonts w:ascii="宋体" w:hAnsi="宋体"/>
          <w:szCs w:val="21"/>
        </w:rPr>
        <w:t>四、签约合同价与合同价格形式</w:t>
      </w:r>
      <w:r>
        <w:rPr>
          <w:rFonts w:ascii="Calibri" w:hAnsi="Calibri"/>
          <w:szCs w:val="21"/>
        </w:rPr>
        <w:tab/>
      </w:r>
    </w:p>
    <w:p w14:paraId="011CC7B0">
      <w:pPr>
        <w:spacing w:line="360" w:lineRule="auto"/>
        <w:ind w:firstLine="420" w:firstLineChars="200"/>
        <w:outlineLvl w:val="1"/>
        <w:rPr>
          <w:rFonts w:hint="eastAsia" w:ascii="宋体" w:hAnsi="宋体"/>
          <w:szCs w:val="21"/>
        </w:rPr>
      </w:pPr>
      <w:r>
        <w:rPr>
          <w:rFonts w:ascii="宋体" w:hAnsi="宋体"/>
          <w:szCs w:val="21"/>
        </w:rPr>
        <w:t>1.签约合同价为：</w:t>
      </w:r>
      <w:r>
        <w:rPr>
          <w:rFonts w:ascii="宋体" w:hAnsi="宋体"/>
          <w:szCs w:val="21"/>
          <w:u w:val="single"/>
        </w:rPr>
        <w:t xml:space="preserve">            元 </w:t>
      </w:r>
    </w:p>
    <w:p w14:paraId="48256ED3">
      <w:pPr>
        <w:spacing w:line="360" w:lineRule="auto"/>
        <w:ind w:firstLine="525" w:firstLineChars="250"/>
        <w:rPr>
          <w:rFonts w:hint="eastAsia" w:ascii="宋体" w:hAnsi="宋体"/>
          <w:szCs w:val="21"/>
        </w:rPr>
      </w:pPr>
      <w:r>
        <w:rPr>
          <w:rFonts w:ascii="宋体" w:hAnsi="宋体"/>
          <w:szCs w:val="21"/>
        </w:rPr>
        <w:t>人民币（大写）</w:t>
      </w:r>
      <w:r>
        <w:rPr>
          <w:rFonts w:ascii="宋体" w:hAnsi="宋体"/>
          <w:szCs w:val="21"/>
          <w:u w:val="single"/>
        </w:rPr>
        <w:t xml:space="preserve">                </w:t>
      </w:r>
    </w:p>
    <w:p w14:paraId="5F195DDB">
      <w:pPr>
        <w:spacing w:line="360" w:lineRule="auto"/>
        <w:ind w:firstLine="420" w:firstLineChars="200"/>
        <w:rPr>
          <w:rFonts w:hint="eastAsia" w:ascii="宋体" w:hAnsi="宋体"/>
          <w:szCs w:val="21"/>
        </w:rPr>
      </w:pPr>
      <w:r>
        <w:rPr>
          <w:rFonts w:ascii="宋体" w:hAnsi="宋体"/>
          <w:szCs w:val="21"/>
        </w:rPr>
        <w:t>其中：</w:t>
      </w:r>
    </w:p>
    <w:p w14:paraId="6B32919E">
      <w:pPr>
        <w:spacing w:line="360" w:lineRule="auto"/>
        <w:ind w:firstLine="420" w:firstLineChars="200"/>
        <w:outlineLvl w:val="2"/>
        <w:rPr>
          <w:rFonts w:hint="eastAsia" w:ascii="宋体" w:hAnsi="宋体"/>
          <w:szCs w:val="21"/>
        </w:rPr>
      </w:pPr>
      <w:r>
        <w:rPr>
          <w:rFonts w:ascii="宋体" w:hAnsi="宋体"/>
          <w:szCs w:val="21"/>
        </w:rPr>
        <w:t>（1）安全文明施工费：</w:t>
      </w:r>
      <w:r>
        <w:rPr>
          <w:rFonts w:ascii="宋体" w:hAnsi="宋体"/>
          <w:szCs w:val="21"/>
          <w:u w:val="single"/>
        </w:rPr>
        <w:t xml:space="preserve">         元</w:t>
      </w:r>
      <w:r>
        <w:rPr>
          <w:rFonts w:ascii="宋体" w:hAnsi="宋体"/>
          <w:szCs w:val="21"/>
        </w:rPr>
        <w:t>（安全生产费+环境保护费、文明施工费、临时设施费及扬尘污染防治增加费）</w:t>
      </w:r>
    </w:p>
    <w:p w14:paraId="0E094C4B">
      <w:pPr>
        <w:spacing w:line="360" w:lineRule="auto"/>
        <w:ind w:firstLine="945" w:firstLineChars="450"/>
        <w:rPr>
          <w:rFonts w:hint="eastAsia" w:ascii="宋体" w:hAnsi="宋体"/>
          <w:szCs w:val="21"/>
        </w:rPr>
      </w:pPr>
      <w:r>
        <w:rPr>
          <w:rFonts w:ascii="宋体" w:hAnsi="宋体"/>
          <w:szCs w:val="21"/>
        </w:rPr>
        <w:t>人民币（大写）</w:t>
      </w:r>
      <w:r>
        <w:rPr>
          <w:rFonts w:ascii="宋体" w:hAnsi="宋体"/>
          <w:szCs w:val="21"/>
          <w:u w:val="single"/>
        </w:rPr>
        <w:t xml:space="preserve">                                </w:t>
      </w:r>
      <w:r>
        <w:rPr>
          <w:rFonts w:ascii="宋体" w:hAnsi="宋体"/>
          <w:szCs w:val="21"/>
        </w:rPr>
        <w:t>；</w:t>
      </w:r>
    </w:p>
    <w:p w14:paraId="15C09052">
      <w:pPr>
        <w:spacing w:line="360" w:lineRule="auto"/>
        <w:ind w:firstLine="420" w:firstLineChars="200"/>
        <w:outlineLvl w:val="2"/>
        <w:rPr>
          <w:rFonts w:hint="eastAsia" w:ascii="宋体" w:hAnsi="宋体"/>
          <w:szCs w:val="21"/>
        </w:rPr>
      </w:pPr>
      <w:r>
        <w:rPr>
          <w:rFonts w:ascii="宋体" w:hAnsi="宋体"/>
          <w:szCs w:val="21"/>
        </w:rPr>
        <w:t>（2）材料和工程设备暂估价金额：</w:t>
      </w:r>
    </w:p>
    <w:p w14:paraId="176D60AD">
      <w:pPr>
        <w:spacing w:line="360" w:lineRule="auto"/>
        <w:ind w:firstLine="945" w:firstLineChars="450"/>
        <w:rPr>
          <w:rFonts w:hint="eastAsia" w:ascii="宋体" w:hAnsi="宋体"/>
          <w:szCs w:val="21"/>
        </w:rPr>
      </w:pPr>
      <w:r>
        <w:rPr>
          <w:rFonts w:ascii="宋体" w:hAnsi="宋体"/>
          <w:szCs w:val="21"/>
        </w:rPr>
        <w:t>人民币（大写）</w:t>
      </w:r>
      <w:r>
        <w:rPr>
          <w:rFonts w:ascii="宋体" w:hAnsi="宋体"/>
          <w:szCs w:val="21"/>
          <w:u w:val="single"/>
        </w:rPr>
        <w:t xml:space="preserve">       ／       </w:t>
      </w:r>
      <w:r>
        <w:rPr>
          <w:rFonts w:ascii="宋体" w:hAnsi="宋体"/>
          <w:szCs w:val="21"/>
        </w:rPr>
        <w:t xml:space="preserve"> (¥</w:t>
      </w:r>
      <w:r>
        <w:rPr>
          <w:rFonts w:ascii="宋体" w:hAnsi="宋体"/>
          <w:szCs w:val="21"/>
          <w:u w:val="single"/>
        </w:rPr>
        <w:t xml:space="preserve">    ／      </w:t>
      </w:r>
      <w:r>
        <w:rPr>
          <w:rFonts w:ascii="宋体" w:hAnsi="宋体"/>
          <w:szCs w:val="21"/>
        </w:rPr>
        <w:t>元)；</w:t>
      </w:r>
    </w:p>
    <w:p w14:paraId="5A2279E1">
      <w:pPr>
        <w:spacing w:line="360" w:lineRule="auto"/>
        <w:ind w:firstLine="420" w:firstLineChars="200"/>
        <w:outlineLvl w:val="2"/>
        <w:rPr>
          <w:rFonts w:hint="eastAsia" w:ascii="宋体" w:hAnsi="宋体"/>
          <w:szCs w:val="21"/>
        </w:rPr>
      </w:pPr>
      <w:r>
        <w:rPr>
          <w:rFonts w:ascii="宋体" w:hAnsi="宋体"/>
          <w:szCs w:val="21"/>
        </w:rPr>
        <w:t>（3）专业工程暂估价金额：</w:t>
      </w:r>
    </w:p>
    <w:p w14:paraId="77AA8CF1">
      <w:pPr>
        <w:spacing w:line="360" w:lineRule="auto"/>
        <w:ind w:firstLine="945" w:firstLineChars="450"/>
        <w:rPr>
          <w:rFonts w:hint="eastAsia" w:ascii="宋体" w:hAnsi="宋体"/>
          <w:szCs w:val="21"/>
        </w:rPr>
      </w:pPr>
      <w:r>
        <w:rPr>
          <w:rFonts w:ascii="宋体" w:hAnsi="宋体"/>
          <w:szCs w:val="21"/>
        </w:rPr>
        <w:t>人民币（大写）</w:t>
      </w:r>
      <w:r>
        <w:rPr>
          <w:rFonts w:ascii="宋体" w:hAnsi="宋体"/>
          <w:szCs w:val="21"/>
          <w:u w:val="single"/>
        </w:rPr>
        <w:t xml:space="preserve">        ／      </w:t>
      </w:r>
      <w:r>
        <w:rPr>
          <w:rFonts w:ascii="宋体" w:hAnsi="宋体"/>
          <w:szCs w:val="21"/>
        </w:rPr>
        <w:t xml:space="preserve"> (¥</w:t>
      </w:r>
      <w:r>
        <w:rPr>
          <w:rFonts w:ascii="宋体" w:hAnsi="宋体"/>
          <w:szCs w:val="21"/>
          <w:u w:val="single"/>
        </w:rPr>
        <w:t xml:space="preserve">       ／   </w:t>
      </w:r>
      <w:r>
        <w:rPr>
          <w:rFonts w:ascii="宋体" w:hAnsi="宋体"/>
          <w:szCs w:val="21"/>
        </w:rPr>
        <w:t>元)；</w:t>
      </w:r>
    </w:p>
    <w:p w14:paraId="64EE0271">
      <w:pPr>
        <w:spacing w:line="360" w:lineRule="auto"/>
        <w:ind w:firstLine="420" w:firstLineChars="200"/>
        <w:outlineLvl w:val="2"/>
        <w:rPr>
          <w:rFonts w:hint="eastAsia" w:ascii="宋体" w:hAnsi="宋体"/>
          <w:szCs w:val="21"/>
        </w:rPr>
      </w:pPr>
      <w:r>
        <w:rPr>
          <w:rFonts w:ascii="宋体" w:hAnsi="宋体"/>
          <w:szCs w:val="21"/>
        </w:rPr>
        <w:t>（4）暂列金额：</w:t>
      </w:r>
    </w:p>
    <w:p w14:paraId="19E0A3DC">
      <w:pPr>
        <w:spacing w:line="360" w:lineRule="auto"/>
        <w:ind w:firstLine="945" w:firstLineChars="450"/>
        <w:rPr>
          <w:rFonts w:hint="eastAsia" w:ascii="宋体" w:hAnsi="宋体"/>
          <w:szCs w:val="21"/>
        </w:rPr>
      </w:pPr>
      <w:r>
        <w:rPr>
          <w:rFonts w:ascii="宋体" w:hAnsi="宋体"/>
          <w:szCs w:val="21"/>
        </w:rPr>
        <w:t>人民币（大写）</w:t>
      </w:r>
      <w:r>
        <w:rPr>
          <w:rFonts w:ascii="宋体" w:hAnsi="宋体"/>
          <w:szCs w:val="21"/>
          <w:u w:val="single"/>
        </w:rPr>
        <w:t xml:space="preserve">  ／   </w:t>
      </w:r>
      <w:r>
        <w:rPr>
          <w:rFonts w:ascii="宋体" w:hAnsi="宋体"/>
          <w:szCs w:val="21"/>
        </w:rPr>
        <w:t xml:space="preserve"> (¥</w:t>
      </w:r>
      <w:r>
        <w:rPr>
          <w:rFonts w:ascii="宋体" w:hAnsi="宋体"/>
          <w:szCs w:val="21"/>
          <w:u w:val="single"/>
        </w:rPr>
        <w:t xml:space="preserve"> ／  </w:t>
      </w:r>
      <w:r>
        <w:rPr>
          <w:rFonts w:ascii="宋体" w:hAnsi="宋体"/>
          <w:szCs w:val="21"/>
        </w:rPr>
        <w:t>元)。</w:t>
      </w:r>
    </w:p>
    <w:p w14:paraId="59FAFD98">
      <w:pPr>
        <w:spacing w:line="360" w:lineRule="auto"/>
        <w:ind w:firstLine="420" w:firstLineChars="200"/>
        <w:outlineLvl w:val="1"/>
        <w:rPr>
          <w:rFonts w:hint="eastAsia" w:ascii="宋体" w:hAnsi="宋体"/>
          <w:szCs w:val="21"/>
        </w:rPr>
      </w:pPr>
      <w:r>
        <w:rPr>
          <w:rFonts w:ascii="宋体" w:hAnsi="宋体"/>
          <w:szCs w:val="21"/>
        </w:rPr>
        <w:t>2.合同价格形式：</w:t>
      </w:r>
      <w:r>
        <w:rPr>
          <w:rFonts w:ascii="宋体" w:hAnsi="宋体"/>
          <w:b/>
          <w:bCs/>
          <w:szCs w:val="21"/>
          <w:u w:val="single"/>
        </w:rPr>
        <w:t>固定总价合同     </w:t>
      </w:r>
      <w:r>
        <w:rPr>
          <w:rFonts w:ascii="宋体" w:hAnsi="宋体"/>
          <w:b/>
          <w:bCs/>
          <w:szCs w:val="21"/>
        </w:rPr>
        <w:t>。</w:t>
      </w:r>
    </w:p>
    <w:p w14:paraId="0CDFA5C9">
      <w:pPr>
        <w:spacing w:line="360" w:lineRule="auto"/>
        <w:outlineLvl w:val="0"/>
        <w:rPr>
          <w:rFonts w:ascii="Calibri" w:hAnsi="Calibri"/>
          <w:szCs w:val="21"/>
        </w:rPr>
      </w:pPr>
      <w:r>
        <w:rPr>
          <w:rFonts w:ascii="Calibri" w:hAnsi="Calibri"/>
          <w:szCs w:val="21"/>
        </w:rPr>
        <w:t xml:space="preserve">    </w:t>
      </w:r>
      <w:r>
        <w:rPr>
          <w:rFonts w:ascii="宋体" w:hAnsi="宋体"/>
          <w:szCs w:val="21"/>
        </w:rPr>
        <w:t>五、项目经理</w:t>
      </w:r>
    </w:p>
    <w:p w14:paraId="7AE7C344">
      <w:pPr>
        <w:spacing w:line="360" w:lineRule="auto"/>
        <w:ind w:firstLine="420" w:firstLineChars="200"/>
        <w:rPr>
          <w:rFonts w:ascii="Calibri" w:hAnsi="Calibri"/>
          <w:szCs w:val="21"/>
        </w:rPr>
      </w:pPr>
      <w:r>
        <w:rPr>
          <w:rFonts w:ascii="宋体" w:hAnsi="宋体"/>
          <w:szCs w:val="21"/>
        </w:rPr>
        <w:t>承包人项目经理：</w:t>
      </w:r>
      <w:r>
        <w:rPr>
          <w:rFonts w:ascii="Calibri" w:hAnsi="Calibri"/>
          <w:szCs w:val="21"/>
          <w:u w:val="single"/>
        </w:rPr>
        <w:t xml:space="preserve">  </w:t>
      </w:r>
      <w:r>
        <w:rPr>
          <w:rFonts w:ascii="宋体" w:hAnsi="宋体"/>
          <w:szCs w:val="21"/>
          <w:u w:val="single"/>
        </w:rPr>
        <w:t xml:space="preserve">        </w:t>
      </w:r>
      <w:r>
        <w:rPr>
          <w:rFonts w:ascii="Calibri" w:hAnsi="Calibri"/>
          <w:szCs w:val="21"/>
          <w:u w:val="single"/>
        </w:rPr>
        <w:t xml:space="preserve">  </w:t>
      </w:r>
    </w:p>
    <w:p w14:paraId="283B1133">
      <w:pPr>
        <w:spacing w:line="360" w:lineRule="auto"/>
        <w:ind w:firstLine="420" w:firstLineChars="200"/>
        <w:rPr>
          <w:rFonts w:ascii="Calibri" w:hAnsi="Calibri"/>
          <w:szCs w:val="21"/>
        </w:rPr>
      </w:pPr>
      <w:r>
        <w:rPr>
          <w:rFonts w:ascii="宋体" w:hAnsi="宋体"/>
          <w:szCs w:val="21"/>
        </w:rPr>
        <w:t>项目经理资质：</w:t>
      </w:r>
      <w:r>
        <w:rPr>
          <w:rFonts w:ascii="Calibri" w:hAnsi="Calibri"/>
          <w:szCs w:val="21"/>
          <w:u w:val="single"/>
        </w:rPr>
        <w:t xml:space="preserve"> </w:t>
      </w:r>
      <w:r>
        <w:rPr>
          <w:rFonts w:ascii="宋体" w:hAnsi="宋体"/>
          <w:szCs w:val="21"/>
          <w:u w:val="single"/>
        </w:rPr>
        <w:t xml:space="preserve">            </w:t>
      </w:r>
      <w:r>
        <w:rPr>
          <w:rFonts w:ascii="Calibri" w:hAnsi="Calibri"/>
          <w:szCs w:val="21"/>
          <w:u w:val="single"/>
        </w:rPr>
        <w:t xml:space="preserve"> </w:t>
      </w:r>
    </w:p>
    <w:p w14:paraId="7D0F90FD">
      <w:pPr>
        <w:spacing w:line="360" w:lineRule="auto"/>
        <w:ind w:firstLine="420" w:firstLineChars="200"/>
        <w:rPr>
          <w:rFonts w:ascii="Calibri" w:hAnsi="Calibri"/>
          <w:szCs w:val="21"/>
        </w:rPr>
      </w:pPr>
      <w:r>
        <w:rPr>
          <w:rFonts w:ascii="宋体" w:hAnsi="宋体"/>
          <w:szCs w:val="21"/>
        </w:rPr>
        <w:t>证书编号：</w:t>
      </w:r>
      <w:r>
        <w:rPr>
          <w:rFonts w:ascii="Calibri" w:hAnsi="Calibri"/>
          <w:szCs w:val="21"/>
          <w:u w:val="single"/>
        </w:rPr>
        <w:t xml:space="preserve"> </w:t>
      </w:r>
      <w:r>
        <w:rPr>
          <w:rFonts w:ascii="宋体" w:hAnsi="宋体"/>
          <w:szCs w:val="21"/>
          <w:u w:val="single"/>
        </w:rPr>
        <w:t xml:space="preserve">                </w:t>
      </w:r>
      <w:r>
        <w:rPr>
          <w:rFonts w:ascii="Calibri" w:hAnsi="Calibri"/>
          <w:szCs w:val="21"/>
          <w:u w:val="single"/>
        </w:rPr>
        <w:t xml:space="preserve"> </w:t>
      </w:r>
    </w:p>
    <w:p w14:paraId="593A3457">
      <w:pPr>
        <w:spacing w:line="360" w:lineRule="auto"/>
        <w:outlineLvl w:val="0"/>
        <w:rPr>
          <w:rFonts w:ascii="Calibri" w:hAnsi="Calibri"/>
          <w:szCs w:val="21"/>
        </w:rPr>
      </w:pPr>
      <w:r>
        <w:rPr>
          <w:rFonts w:ascii="Calibri" w:hAnsi="Calibri"/>
          <w:szCs w:val="21"/>
        </w:rPr>
        <w:t xml:space="preserve">    </w:t>
      </w:r>
      <w:r>
        <w:rPr>
          <w:rFonts w:ascii="宋体" w:hAnsi="宋体"/>
          <w:szCs w:val="21"/>
        </w:rPr>
        <w:t>六、合同文件构成</w:t>
      </w:r>
    </w:p>
    <w:p w14:paraId="28F6E651">
      <w:pPr>
        <w:spacing w:line="360" w:lineRule="auto"/>
        <w:ind w:firstLine="420" w:firstLineChars="200"/>
        <w:rPr>
          <w:rFonts w:ascii="Calibri" w:hAnsi="Calibri"/>
          <w:bCs/>
          <w:szCs w:val="21"/>
        </w:rPr>
      </w:pPr>
      <w:r>
        <w:rPr>
          <w:rFonts w:ascii="宋体" w:hAnsi="宋体"/>
          <w:bCs/>
          <w:szCs w:val="21"/>
        </w:rPr>
        <w:t>本协议书与下列文件一起构成合同文件：</w:t>
      </w:r>
    </w:p>
    <w:p w14:paraId="22EE7CCE">
      <w:pPr>
        <w:spacing w:line="360" w:lineRule="auto"/>
        <w:ind w:firstLine="424" w:firstLineChars="202"/>
        <w:rPr>
          <w:rFonts w:ascii="Calibri" w:hAnsi="Calibri"/>
          <w:szCs w:val="21"/>
        </w:rPr>
      </w:pPr>
      <w:r>
        <w:rPr>
          <w:rFonts w:ascii="宋体" w:hAnsi="宋体"/>
          <w:szCs w:val="21"/>
        </w:rPr>
        <w:t>（</w:t>
      </w:r>
      <w:r>
        <w:rPr>
          <w:rFonts w:ascii="Calibri" w:hAnsi="Calibri"/>
          <w:szCs w:val="21"/>
        </w:rPr>
        <w:t>1</w:t>
      </w:r>
      <w:r>
        <w:rPr>
          <w:rFonts w:ascii="宋体" w:hAnsi="宋体"/>
          <w:szCs w:val="21"/>
        </w:rPr>
        <w:t>）中标通知书（如果有）；</w:t>
      </w:r>
    </w:p>
    <w:p w14:paraId="3236BA56">
      <w:pPr>
        <w:spacing w:line="360" w:lineRule="auto"/>
        <w:ind w:firstLine="424" w:firstLineChars="202"/>
        <w:rPr>
          <w:rFonts w:ascii="Calibri" w:hAnsi="Calibri"/>
          <w:szCs w:val="21"/>
        </w:rPr>
      </w:pPr>
      <w:r>
        <w:rPr>
          <w:rFonts w:ascii="宋体" w:hAnsi="宋体"/>
          <w:szCs w:val="21"/>
        </w:rPr>
        <w:t>（</w:t>
      </w:r>
      <w:r>
        <w:rPr>
          <w:rFonts w:ascii="Calibri" w:hAnsi="Calibri"/>
          <w:szCs w:val="21"/>
        </w:rPr>
        <w:t>2</w:t>
      </w:r>
      <w:r>
        <w:rPr>
          <w:rFonts w:ascii="宋体" w:hAnsi="宋体"/>
          <w:szCs w:val="21"/>
        </w:rPr>
        <w:t>）招标文件及其附件、招标答疑、承包人的单方承诺；</w:t>
      </w:r>
    </w:p>
    <w:p w14:paraId="7897445D">
      <w:pPr>
        <w:spacing w:line="360" w:lineRule="auto"/>
        <w:ind w:firstLine="424" w:firstLineChars="202"/>
        <w:rPr>
          <w:rFonts w:ascii="Calibri" w:hAnsi="Calibri"/>
          <w:szCs w:val="21"/>
        </w:rPr>
      </w:pPr>
      <w:r>
        <w:rPr>
          <w:rFonts w:ascii="宋体" w:hAnsi="宋体"/>
          <w:szCs w:val="21"/>
        </w:rPr>
        <w:t>（</w:t>
      </w:r>
      <w:r>
        <w:rPr>
          <w:rFonts w:ascii="Calibri" w:hAnsi="Calibri" w:cs="Calibri"/>
          <w:szCs w:val="21"/>
        </w:rPr>
        <w:t>3</w:t>
      </w:r>
      <w:r>
        <w:rPr>
          <w:rFonts w:ascii="宋体" w:hAnsi="宋体"/>
          <w:szCs w:val="21"/>
        </w:rPr>
        <w:t>）投标文件、投标函及其附录（如果有）；</w:t>
      </w:r>
      <w:r>
        <w:rPr>
          <w:rFonts w:ascii="Calibri" w:hAnsi="Calibri"/>
          <w:szCs w:val="21"/>
        </w:rPr>
        <w:t xml:space="preserve"> </w:t>
      </w:r>
    </w:p>
    <w:p w14:paraId="5E269CCB">
      <w:pPr>
        <w:spacing w:line="360" w:lineRule="auto"/>
        <w:ind w:firstLine="424" w:firstLineChars="202"/>
        <w:rPr>
          <w:rFonts w:ascii="Calibri" w:hAnsi="Calibri"/>
          <w:szCs w:val="21"/>
        </w:rPr>
      </w:pPr>
      <w:r>
        <w:rPr>
          <w:rFonts w:ascii="宋体" w:hAnsi="宋体"/>
          <w:szCs w:val="21"/>
        </w:rPr>
        <w:t>（</w:t>
      </w:r>
      <w:r>
        <w:rPr>
          <w:rFonts w:ascii="Calibri" w:hAnsi="Calibri" w:cs="Calibri"/>
          <w:szCs w:val="21"/>
        </w:rPr>
        <w:t>4</w:t>
      </w:r>
      <w:r>
        <w:rPr>
          <w:rFonts w:ascii="宋体" w:hAnsi="宋体"/>
          <w:szCs w:val="21"/>
        </w:rPr>
        <w:t>）专用合同条款及其附件；</w:t>
      </w:r>
    </w:p>
    <w:p w14:paraId="0A59FF13">
      <w:pPr>
        <w:spacing w:line="360" w:lineRule="auto"/>
        <w:ind w:firstLine="424" w:firstLineChars="202"/>
        <w:rPr>
          <w:rFonts w:ascii="Calibri" w:hAnsi="Calibri"/>
          <w:szCs w:val="21"/>
        </w:rPr>
      </w:pPr>
      <w:r>
        <w:rPr>
          <w:rFonts w:ascii="宋体" w:hAnsi="宋体"/>
          <w:szCs w:val="21"/>
        </w:rPr>
        <w:t>（</w:t>
      </w:r>
      <w:r>
        <w:rPr>
          <w:rFonts w:ascii="Calibri" w:hAnsi="Calibri" w:cs="Calibri"/>
          <w:szCs w:val="21"/>
        </w:rPr>
        <w:t>5</w:t>
      </w:r>
      <w:r>
        <w:rPr>
          <w:rFonts w:ascii="宋体" w:hAnsi="宋体"/>
          <w:szCs w:val="21"/>
        </w:rPr>
        <w:t>）通用合同条款；</w:t>
      </w:r>
    </w:p>
    <w:p w14:paraId="399B41E3">
      <w:pPr>
        <w:spacing w:line="360" w:lineRule="auto"/>
        <w:ind w:firstLine="424" w:firstLineChars="202"/>
        <w:rPr>
          <w:rFonts w:ascii="Calibri" w:hAnsi="Calibri"/>
          <w:szCs w:val="21"/>
        </w:rPr>
      </w:pPr>
      <w:r>
        <w:rPr>
          <w:rFonts w:ascii="宋体" w:hAnsi="宋体"/>
          <w:szCs w:val="21"/>
        </w:rPr>
        <w:t>（</w:t>
      </w:r>
      <w:r>
        <w:rPr>
          <w:rFonts w:ascii="Calibri" w:hAnsi="Calibri" w:cs="Calibri"/>
          <w:szCs w:val="21"/>
        </w:rPr>
        <w:t>6</w:t>
      </w:r>
      <w:r>
        <w:rPr>
          <w:rFonts w:ascii="宋体" w:hAnsi="宋体"/>
          <w:szCs w:val="21"/>
        </w:rPr>
        <w:t>）技术标准和要求；</w:t>
      </w:r>
    </w:p>
    <w:p w14:paraId="143B6DF8">
      <w:pPr>
        <w:spacing w:line="360" w:lineRule="auto"/>
        <w:ind w:firstLine="424" w:firstLineChars="202"/>
        <w:rPr>
          <w:rFonts w:ascii="Calibri" w:hAnsi="Calibri"/>
          <w:szCs w:val="21"/>
        </w:rPr>
      </w:pPr>
      <w:r>
        <w:rPr>
          <w:rFonts w:ascii="宋体" w:hAnsi="宋体"/>
          <w:szCs w:val="21"/>
        </w:rPr>
        <w:t>（</w:t>
      </w:r>
      <w:r>
        <w:rPr>
          <w:rFonts w:ascii="Calibri" w:hAnsi="Calibri" w:cs="Calibri"/>
          <w:szCs w:val="21"/>
        </w:rPr>
        <w:t>7</w:t>
      </w:r>
      <w:r>
        <w:rPr>
          <w:rFonts w:ascii="宋体" w:hAnsi="宋体"/>
          <w:szCs w:val="21"/>
        </w:rPr>
        <w:t>）图纸；</w:t>
      </w:r>
    </w:p>
    <w:p w14:paraId="46F68807">
      <w:pPr>
        <w:spacing w:line="360" w:lineRule="auto"/>
        <w:ind w:firstLine="424" w:firstLineChars="202"/>
        <w:rPr>
          <w:rFonts w:ascii="Calibri" w:hAnsi="Calibri"/>
          <w:szCs w:val="21"/>
        </w:rPr>
      </w:pPr>
      <w:r>
        <w:rPr>
          <w:rFonts w:ascii="宋体" w:hAnsi="宋体"/>
          <w:szCs w:val="21"/>
        </w:rPr>
        <w:t>（</w:t>
      </w:r>
      <w:r>
        <w:rPr>
          <w:rFonts w:ascii="Calibri" w:hAnsi="Calibri" w:cs="Calibri"/>
          <w:szCs w:val="21"/>
        </w:rPr>
        <w:t>8</w:t>
      </w:r>
      <w:r>
        <w:rPr>
          <w:rFonts w:ascii="宋体" w:hAnsi="宋体"/>
          <w:szCs w:val="21"/>
        </w:rPr>
        <w:t>）已标价工程量清单或预算书；</w:t>
      </w:r>
    </w:p>
    <w:p w14:paraId="7ACD5293">
      <w:pPr>
        <w:spacing w:line="360" w:lineRule="auto"/>
        <w:ind w:firstLine="424" w:firstLineChars="202"/>
        <w:rPr>
          <w:rFonts w:ascii="Calibri" w:hAnsi="Calibri"/>
          <w:szCs w:val="21"/>
        </w:rPr>
      </w:pPr>
      <w:r>
        <w:rPr>
          <w:rFonts w:ascii="宋体" w:hAnsi="宋体"/>
          <w:szCs w:val="21"/>
        </w:rPr>
        <w:t>（</w:t>
      </w:r>
      <w:r>
        <w:rPr>
          <w:rFonts w:ascii="Calibri" w:hAnsi="Calibri" w:cs="Calibri"/>
          <w:szCs w:val="21"/>
        </w:rPr>
        <w:t>9</w:t>
      </w:r>
      <w:r>
        <w:rPr>
          <w:rFonts w:ascii="宋体" w:hAnsi="宋体"/>
          <w:szCs w:val="21"/>
        </w:rPr>
        <w:t>）其他合同文件。</w:t>
      </w:r>
    </w:p>
    <w:p w14:paraId="31E5D008">
      <w:pPr>
        <w:snapToGrid w:val="0"/>
        <w:spacing w:line="312" w:lineRule="auto"/>
        <w:ind w:firstLine="420" w:firstLineChars="200"/>
        <w:outlineLvl w:val="2"/>
        <w:rPr>
          <w:rFonts w:ascii="Calibri" w:hAnsi="Calibri"/>
          <w:szCs w:val="21"/>
        </w:rPr>
      </w:pPr>
      <w:r>
        <w:rPr>
          <w:rFonts w:ascii="宋体" w:hAnsi="宋体"/>
          <w:szCs w:val="21"/>
        </w:rPr>
        <w:t>在合同订立及履行过程中形成的与合同有关的文件均构成合同文件组成部分，并根据其性质和时间确定优先解释顺序。</w:t>
      </w:r>
    </w:p>
    <w:p w14:paraId="586A9BD8">
      <w:pPr>
        <w:spacing w:line="360" w:lineRule="auto"/>
        <w:ind w:firstLine="420" w:firstLineChars="200"/>
        <w:rPr>
          <w:rFonts w:ascii="Calibri" w:hAnsi="Calibri"/>
          <w:szCs w:val="21"/>
        </w:rPr>
      </w:pPr>
      <w:r>
        <w:rPr>
          <w:rFonts w:ascii="宋体" w:hAnsi="宋体"/>
          <w:szCs w:val="21"/>
        </w:rPr>
        <w:t>上述各项合同文件包括合同当事人就该项合同文件所作出的补充和修改，属于同一类内容的文件，应以最新签署的为准。专用合同条款及其附件须经合同当事人签字或盖章。</w:t>
      </w:r>
    </w:p>
    <w:p w14:paraId="0CE99E9D">
      <w:pPr>
        <w:spacing w:line="360" w:lineRule="auto"/>
        <w:outlineLvl w:val="0"/>
        <w:rPr>
          <w:rFonts w:ascii="Calibri" w:hAnsi="Calibri"/>
          <w:szCs w:val="21"/>
        </w:rPr>
      </w:pPr>
      <w:r>
        <w:rPr>
          <w:rFonts w:ascii="Calibri" w:hAnsi="Calibri"/>
          <w:szCs w:val="21"/>
        </w:rPr>
        <w:t xml:space="preserve">    </w:t>
      </w:r>
      <w:r>
        <w:rPr>
          <w:rFonts w:ascii="宋体" w:hAnsi="宋体"/>
          <w:szCs w:val="21"/>
        </w:rPr>
        <w:t>七、承诺</w:t>
      </w:r>
    </w:p>
    <w:p w14:paraId="7976AB26">
      <w:pPr>
        <w:spacing w:line="360" w:lineRule="auto"/>
        <w:ind w:firstLine="420" w:firstLineChars="200"/>
        <w:rPr>
          <w:rFonts w:hint="eastAsia" w:ascii="宋体" w:hAnsi="宋体"/>
          <w:bCs/>
          <w:szCs w:val="21"/>
        </w:rPr>
      </w:pPr>
      <w:r>
        <w:rPr>
          <w:rFonts w:ascii="宋体" w:hAnsi="宋体"/>
          <w:bCs/>
          <w:szCs w:val="21"/>
        </w:rPr>
        <w:t>1.发包人承诺按照法律规定履行项目审批手续、筹集工程建设资金并按照合同约定的期限和方式支付合同价款</w:t>
      </w:r>
      <w:r>
        <w:rPr>
          <w:rFonts w:ascii="宋体" w:hAnsi="宋体"/>
          <w:szCs w:val="21"/>
        </w:rPr>
        <w:t>，及时足额支付人工费用，并加强对施工总承包单位按时足额支付农民工工资的监督</w:t>
      </w:r>
      <w:r>
        <w:rPr>
          <w:rFonts w:ascii="宋体" w:hAnsi="宋体"/>
          <w:bCs/>
          <w:szCs w:val="21"/>
        </w:rPr>
        <w:t>。</w:t>
      </w:r>
    </w:p>
    <w:p w14:paraId="5890C0E5">
      <w:pPr>
        <w:spacing w:line="360" w:lineRule="auto"/>
        <w:ind w:firstLine="420" w:firstLineChars="200"/>
        <w:rPr>
          <w:rFonts w:hint="eastAsia" w:ascii="宋体" w:hAnsi="宋体"/>
          <w:bCs/>
          <w:szCs w:val="21"/>
        </w:rPr>
      </w:pPr>
      <w:r>
        <w:rPr>
          <w:rFonts w:ascii="宋体" w:hAnsi="宋体"/>
          <w:bCs/>
          <w:szCs w:val="21"/>
        </w:rPr>
        <w:t>2.承包人承诺按照法律规定及合同约定组织完成工程施工，确保工程质量和安全，不进行转包及违法分包，并在缺陷责任期及保修期内承担相应的工程维修责任</w:t>
      </w:r>
      <w:r>
        <w:rPr>
          <w:rFonts w:ascii="宋体" w:hAnsi="宋体"/>
          <w:szCs w:val="21"/>
        </w:rPr>
        <w:t>；按照有关规定开设农民工工资专用账户，专项用于支付本工程农民工工资。农民工工资拨付周期不超过1个月</w:t>
      </w:r>
      <w:r>
        <w:rPr>
          <w:rFonts w:ascii="宋体" w:hAnsi="宋体"/>
          <w:bCs/>
          <w:szCs w:val="21"/>
        </w:rPr>
        <w:t>。</w:t>
      </w:r>
    </w:p>
    <w:p w14:paraId="44450734">
      <w:pPr>
        <w:spacing w:line="360" w:lineRule="auto"/>
        <w:ind w:firstLine="420" w:firstLineChars="200"/>
        <w:rPr>
          <w:rFonts w:hint="eastAsia" w:ascii="宋体" w:hAnsi="宋体"/>
          <w:bCs/>
          <w:szCs w:val="21"/>
        </w:rPr>
      </w:pPr>
      <w:r>
        <w:rPr>
          <w:rFonts w:ascii="宋体" w:hAnsi="宋体"/>
          <w:bCs/>
          <w:szCs w:val="21"/>
        </w:rPr>
        <w:t>3.发包人和承包人通过招投标形式签订合同的，双方理解并承诺不再就同一工程另行签订与合同实质性内容相背离的协议。</w:t>
      </w:r>
    </w:p>
    <w:p w14:paraId="273232F4">
      <w:pPr>
        <w:spacing w:line="360" w:lineRule="auto"/>
        <w:ind w:firstLine="422" w:firstLineChars="200"/>
        <w:rPr>
          <w:rFonts w:hint="eastAsia" w:ascii="宋体" w:hAnsi="宋体"/>
          <w:b/>
          <w:szCs w:val="21"/>
        </w:rPr>
      </w:pPr>
      <w:r>
        <w:rPr>
          <w:rFonts w:ascii="宋体" w:hAnsi="宋体"/>
          <w:b/>
          <w:szCs w:val="21"/>
        </w:rPr>
        <w:t>4.承包人应严格按照采购文件要求，在项目实施过程中严格执行国家(行业)相关标准规范施工，否则要承担由此造成的违约责任和全部人员与经济损失。</w:t>
      </w:r>
    </w:p>
    <w:p w14:paraId="4BD9850B">
      <w:pPr>
        <w:spacing w:line="360" w:lineRule="auto"/>
        <w:ind w:firstLine="422" w:firstLineChars="200"/>
        <w:rPr>
          <w:rFonts w:hint="eastAsia" w:ascii="宋体" w:hAnsi="宋体"/>
          <w:b/>
          <w:szCs w:val="21"/>
        </w:rPr>
      </w:pPr>
      <w:r>
        <w:rPr>
          <w:rFonts w:ascii="宋体" w:hAnsi="宋体"/>
          <w:b/>
          <w:szCs w:val="21"/>
        </w:rPr>
        <w:t>5.若本项目涉及向有关部门的报批及验收等相关工作，全部由承包人完成；如发包人提供的图纸需要完善时，由承包人完善，其产生的所有费用均含在合同总价内。</w:t>
      </w:r>
    </w:p>
    <w:p w14:paraId="72D1DEFE">
      <w:pPr>
        <w:spacing w:line="360" w:lineRule="auto"/>
        <w:ind w:firstLine="422" w:firstLineChars="200"/>
        <w:rPr>
          <w:rFonts w:hint="eastAsia" w:ascii="宋体" w:hAnsi="宋体"/>
          <w:b/>
          <w:szCs w:val="21"/>
        </w:rPr>
      </w:pPr>
      <w:r>
        <w:rPr>
          <w:rFonts w:ascii="宋体" w:hAnsi="宋体"/>
          <w:b/>
          <w:szCs w:val="21"/>
        </w:rPr>
        <w:t>6.承包人所选用材料必须达到国标以上(含国标)，并满足有关部门报批报建及验收等相关要求，否则承包人应承担相应违约责任。</w:t>
      </w:r>
    </w:p>
    <w:p w14:paraId="7864BAF8">
      <w:pPr>
        <w:spacing w:line="360" w:lineRule="auto"/>
        <w:ind w:firstLine="422" w:firstLineChars="200"/>
        <w:rPr>
          <w:rFonts w:hint="eastAsia" w:ascii="宋体" w:hAnsi="宋体"/>
          <w:b/>
          <w:szCs w:val="21"/>
        </w:rPr>
      </w:pPr>
      <w:r>
        <w:rPr>
          <w:rFonts w:ascii="宋体" w:hAnsi="宋体"/>
          <w:b/>
          <w:szCs w:val="21"/>
        </w:rPr>
        <w:t>7.施工顺序为先确认工程量，再向有关部门报批(若有)，获批后再订购设备，设备到场经发包人确认后方可安装施工。</w:t>
      </w:r>
    </w:p>
    <w:p w14:paraId="4B65B04F">
      <w:pPr>
        <w:spacing w:line="360" w:lineRule="auto"/>
        <w:ind w:firstLine="422" w:firstLineChars="200"/>
        <w:rPr>
          <w:rFonts w:hint="eastAsia" w:ascii="宋体" w:hAnsi="宋体"/>
          <w:b/>
          <w:szCs w:val="21"/>
        </w:rPr>
      </w:pPr>
      <w:r>
        <w:rPr>
          <w:rFonts w:ascii="宋体" w:hAnsi="宋体"/>
          <w:b/>
          <w:szCs w:val="21"/>
        </w:rPr>
        <w:t>8.发票开具后，若因报批未通过等原因造成项目未能依合同如期进行，所有损失(含开票税金等)均由承包人承担，发包人不承担任何责任和费用。</w:t>
      </w:r>
    </w:p>
    <w:p w14:paraId="1729960D">
      <w:pPr>
        <w:spacing w:line="360" w:lineRule="auto"/>
        <w:ind w:firstLine="422" w:firstLineChars="200"/>
        <w:rPr>
          <w:rFonts w:hint="eastAsia" w:ascii="宋体" w:hAnsi="宋体"/>
          <w:b/>
          <w:szCs w:val="21"/>
        </w:rPr>
      </w:pPr>
      <w:r>
        <w:rPr>
          <w:rFonts w:ascii="宋体" w:hAnsi="宋体"/>
          <w:b/>
          <w:szCs w:val="21"/>
        </w:rPr>
        <w:t>9.承包人承诺施工现场无抽烟现象出现，保证施工现场无烟头，发包人有权对施工现场进行不定期巡查，每发现一次承包人应当日支付违约金500元/次并进行整改，拒不整改的，发包人有权解除合同并责令承包人退场，承包人应承担相应的违约责任，发包人有权自应付承包人工程款中直接予以扣除。</w:t>
      </w:r>
    </w:p>
    <w:p w14:paraId="316E31E9">
      <w:pPr>
        <w:spacing w:line="360" w:lineRule="auto"/>
        <w:ind w:firstLine="422" w:firstLineChars="200"/>
        <w:rPr>
          <w:rFonts w:hint="eastAsia" w:ascii="宋体" w:hAnsi="宋体"/>
          <w:b/>
          <w:szCs w:val="21"/>
        </w:rPr>
      </w:pPr>
      <w:r>
        <w:rPr>
          <w:rFonts w:ascii="宋体" w:hAnsi="宋体"/>
          <w:b/>
          <w:szCs w:val="21"/>
        </w:rPr>
        <w:t>10.承包人承诺施工过程中无重大安全事故出现，严格遵守国家有关法律法规和中国人民银行郑州培训学院相关制度，对施工人员进行施工安全培训，如若发生安全事故，由承包人承担所有责任，与发包人无关。发包人因此承担责任的，有权向承包人追偿，并要求承包人承担因追偿发生的全部费用，且有权自应付承包人工程款中直接予以扣除。</w:t>
      </w:r>
    </w:p>
    <w:p w14:paraId="6B7D9288">
      <w:pPr>
        <w:spacing w:line="360" w:lineRule="auto"/>
        <w:ind w:firstLine="422" w:firstLineChars="200"/>
        <w:rPr>
          <w:rFonts w:hint="eastAsia" w:ascii="宋体" w:hAnsi="宋体"/>
          <w:b/>
          <w:szCs w:val="21"/>
        </w:rPr>
      </w:pPr>
      <w:r>
        <w:rPr>
          <w:rFonts w:ascii="宋体" w:hAnsi="宋体"/>
          <w:b/>
          <w:szCs w:val="21"/>
        </w:rPr>
        <w:t>11.承包人承诺竣工验收一次合格率可达到100%。若竣工验收时达不到承诺的质量标准，接受按工程总造价的20%承担违约金，发包人有权自应付承包人工程款中直接予以扣除。</w:t>
      </w:r>
    </w:p>
    <w:p w14:paraId="4B6B51E8">
      <w:pPr>
        <w:spacing w:line="360" w:lineRule="auto"/>
        <w:outlineLvl w:val="0"/>
        <w:rPr>
          <w:rFonts w:hint="eastAsia" w:ascii="宋体" w:hAnsi="宋体"/>
          <w:bCs/>
          <w:szCs w:val="21"/>
        </w:rPr>
      </w:pPr>
      <w:r>
        <w:rPr>
          <w:rFonts w:ascii="宋体" w:hAnsi="宋体"/>
          <w:szCs w:val="21"/>
        </w:rPr>
        <w:t xml:space="preserve">    八、词语含义</w:t>
      </w:r>
    </w:p>
    <w:p w14:paraId="6F321DB3">
      <w:pPr>
        <w:spacing w:line="360" w:lineRule="auto"/>
        <w:ind w:firstLine="420" w:firstLineChars="200"/>
        <w:rPr>
          <w:rFonts w:hint="eastAsia" w:ascii="宋体" w:hAnsi="宋体"/>
          <w:bCs/>
          <w:szCs w:val="21"/>
        </w:rPr>
      </w:pPr>
      <w:r>
        <w:rPr>
          <w:rFonts w:ascii="宋体" w:hAnsi="宋体"/>
          <w:bCs/>
          <w:szCs w:val="21"/>
        </w:rPr>
        <w:t>本协议书中词语含义与第二部分通用合同条款中赋予的含义相同。</w:t>
      </w:r>
    </w:p>
    <w:p w14:paraId="70AA55DC">
      <w:pPr>
        <w:spacing w:line="360" w:lineRule="auto"/>
        <w:outlineLvl w:val="0"/>
        <w:rPr>
          <w:rFonts w:ascii="Calibri" w:hAnsi="Calibri"/>
          <w:szCs w:val="21"/>
        </w:rPr>
      </w:pPr>
      <w:r>
        <w:rPr>
          <w:rFonts w:ascii="Calibri" w:hAnsi="Calibri"/>
          <w:szCs w:val="21"/>
        </w:rPr>
        <w:t xml:space="preserve">    </w:t>
      </w:r>
      <w:r>
        <w:rPr>
          <w:rFonts w:ascii="宋体" w:hAnsi="宋体"/>
          <w:szCs w:val="21"/>
        </w:rPr>
        <w:t>九、签订时间</w:t>
      </w:r>
    </w:p>
    <w:p w14:paraId="51ACC03F">
      <w:pPr>
        <w:spacing w:line="360" w:lineRule="auto"/>
        <w:ind w:firstLine="420" w:firstLineChars="200"/>
        <w:rPr>
          <w:rFonts w:ascii="Calibri" w:hAnsi="Calibri"/>
          <w:bCs/>
          <w:szCs w:val="21"/>
        </w:rPr>
      </w:pPr>
      <w:r>
        <w:rPr>
          <w:rFonts w:ascii="宋体" w:hAnsi="宋体"/>
          <w:bCs/>
          <w:szCs w:val="21"/>
        </w:rPr>
        <w:t>本合同于</w:t>
      </w:r>
      <w:r>
        <w:rPr>
          <w:rFonts w:ascii="Calibri" w:hAnsi="Calibri"/>
          <w:bCs/>
          <w:szCs w:val="21"/>
          <w:u w:val="single"/>
        </w:rPr>
        <w:t xml:space="preserve">       </w:t>
      </w:r>
      <w:r>
        <w:rPr>
          <w:rFonts w:ascii="宋体" w:hAnsi="宋体"/>
          <w:bCs/>
          <w:szCs w:val="21"/>
        </w:rPr>
        <w:t>年</w:t>
      </w:r>
      <w:r>
        <w:rPr>
          <w:rFonts w:ascii="Calibri" w:hAnsi="Calibri"/>
          <w:bCs/>
          <w:szCs w:val="21"/>
          <w:u w:val="single"/>
        </w:rPr>
        <w:t xml:space="preserve">     </w:t>
      </w:r>
      <w:r>
        <w:rPr>
          <w:rFonts w:ascii="宋体" w:hAnsi="宋体"/>
          <w:bCs/>
          <w:szCs w:val="21"/>
        </w:rPr>
        <w:t>月</w:t>
      </w:r>
      <w:r>
        <w:rPr>
          <w:rFonts w:ascii="Calibri" w:hAnsi="Calibri"/>
          <w:bCs/>
          <w:szCs w:val="21"/>
          <w:u w:val="single"/>
        </w:rPr>
        <w:t xml:space="preserve">       </w:t>
      </w:r>
      <w:r>
        <w:rPr>
          <w:rFonts w:ascii="宋体" w:hAnsi="宋体"/>
          <w:bCs/>
          <w:szCs w:val="21"/>
        </w:rPr>
        <w:t>日签订。</w:t>
      </w:r>
    </w:p>
    <w:p w14:paraId="6B581D4E">
      <w:pPr>
        <w:spacing w:line="360" w:lineRule="auto"/>
        <w:outlineLvl w:val="0"/>
        <w:rPr>
          <w:rFonts w:ascii="Calibri" w:hAnsi="Calibri"/>
          <w:szCs w:val="21"/>
        </w:rPr>
      </w:pPr>
      <w:r>
        <w:rPr>
          <w:rFonts w:ascii="Calibri" w:hAnsi="Calibri"/>
          <w:szCs w:val="21"/>
        </w:rPr>
        <w:t xml:space="preserve">    </w:t>
      </w:r>
      <w:r>
        <w:rPr>
          <w:rFonts w:ascii="宋体" w:hAnsi="宋体"/>
          <w:szCs w:val="21"/>
        </w:rPr>
        <w:t>十、签订地点</w:t>
      </w:r>
    </w:p>
    <w:p w14:paraId="2E69332C">
      <w:pPr>
        <w:spacing w:line="360" w:lineRule="auto"/>
        <w:ind w:firstLine="420" w:firstLineChars="200"/>
        <w:rPr>
          <w:rFonts w:ascii="Calibri" w:hAnsi="Calibri"/>
          <w:bCs/>
          <w:szCs w:val="21"/>
        </w:rPr>
      </w:pPr>
      <w:r>
        <w:rPr>
          <w:rFonts w:ascii="宋体" w:hAnsi="宋体"/>
          <w:bCs/>
          <w:szCs w:val="21"/>
        </w:rPr>
        <w:t>本合同在</w:t>
      </w:r>
      <w:r>
        <w:rPr>
          <w:rFonts w:ascii="Calibri" w:hAnsi="Calibri"/>
          <w:bCs/>
          <w:szCs w:val="21"/>
          <w:u w:val="single"/>
        </w:rPr>
        <w:t xml:space="preserve"> </w:t>
      </w:r>
      <w:r>
        <w:rPr>
          <w:rFonts w:ascii="宋体" w:hAnsi="宋体"/>
          <w:bCs/>
          <w:szCs w:val="21"/>
          <w:u w:val="single"/>
        </w:rPr>
        <w:t>郑州市金水区郑花路</w:t>
      </w:r>
      <w:r>
        <w:rPr>
          <w:rFonts w:ascii="Calibri" w:hAnsi="Calibri" w:cs="Calibri"/>
          <w:bCs/>
          <w:szCs w:val="21"/>
          <w:u w:val="single"/>
        </w:rPr>
        <w:t>29</w:t>
      </w:r>
      <w:r>
        <w:rPr>
          <w:rFonts w:ascii="宋体" w:hAnsi="宋体"/>
          <w:bCs/>
          <w:szCs w:val="21"/>
          <w:u w:val="single"/>
        </w:rPr>
        <w:t>号中国人民银行郑州培训学院</w:t>
      </w:r>
      <w:r>
        <w:rPr>
          <w:rFonts w:ascii="Calibri" w:hAnsi="Calibri"/>
          <w:bCs/>
          <w:szCs w:val="21"/>
          <w:u w:val="single"/>
        </w:rPr>
        <w:t xml:space="preserve"> </w:t>
      </w:r>
      <w:r>
        <w:rPr>
          <w:rFonts w:ascii="宋体" w:hAnsi="宋体"/>
          <w:bCs/>
          <w:szCs w:val="21"/>
        </w:rPr>
        <w:t>签订。</w:t>
      </w:r>
    </w:p>
    <w:p w14:paraId="14DCDFF3">
      <w:pPr>
        <w:spacing w:line="360" w:lineRule="auto"/>
        <w:outlineLvl w:val="0"/>
        <w:rPr>
          <w:rFonts w:ascii="Calibri" w:hAnsi="Calibri"/>
          <w:szCs w:val="21"/>
        </w:rPr>
      </w:pPr>
      <w:r>
        <w:rPr>
          <w:rFonts w:ascii="Calibri" w:hAnsi="Calibri"/>
          <w:szCs w:val="21"/>
        </w:rPr>
        <w:t xml:space="preserve">    </w:t>
      </w:r>
      <w:r>
        <w:rPr>
          <w:rFonts w:ascii="宋体" w:hAnsi="宋体"/>
          <w:szCs w:val="21"/>
        </w:rPr>
        <w:t>十一、补充协议</w:t>
      </w:r>
    </w:p>
    <w:p w14:paraId="78883342">
      <w:pPr>
        <w:spacing w:line="360" w:lineRule="auto"/>
        <w:ind w:firstLine="420" w:firstLineChars="200"/>
        <w:rPr>
          <w:rFonts w:ascii="Calibri" w:hAnsi="Calibri"/>
          <w:bCs/>
          <w:szCs w:val="21"/>
        </w:rPr>
      </w:pPr>
      <w:r>
        <w:rPr>
          <w:rFonts w:ascii="宋体" w:hAnsi="宋体"/>
          <w:bCs/>
          <w:szCs w:val="21"/>
        </w:rPr>
        <w:t>合同未尽事宜，合同当事人另行签订补充协议，补充协议是合同的组成部分。</w:t>
      </w:r>
    </w:p>
    <w:p w14:paraId="1C235DD8">
      <w:pPr>
        <w:spacing w:line="360" w:lineRule="auto"/>
        <w:outlineLvl w:val="0"/>
        <w:rPr>
          <w:rFonts w:ascii="Calibri" w:hAnsi="Calibri"/>
          <w:szCs w:val="21"/>
        </w:rPr>
      </w:pPr>
      <w:r>
        <w:rPr>
          <w:rFonts w:ascii="Calibri" w:hAnsi="Calibri"/>
          <w:szCs w:val="21"/>
        </w:rPr>
        <w:t xml:space="preserve">    </w:t>
      </w:r>
      <w:r>
        <w:rPr>
          <w:rFonts w:ascii="宋体" w:hAnsi="宋体"/>
          <w:szCs w:val="21"/>
        </w:rPr>
        <w:t>十二、合同生效</w:t>
      </w:r>
    </w:p>
    <w:p w14:paraId="13D3EC7B">
      <w:pPr>
        <w:spacing w:line="360" w:lineRule="auto"/>
        <w:ind w:firstLine="420" w:firstLineChars="200"/>
        <w:rPr>
          <w:rFonts w:ascii="Calibri" w:hAnsi="Calibri"/>
          <w:bCs/>
          <w:szCs w:val="21"/>
        </w:rPr>
      </w:pPr>
      <w:r>
        <w:rPr>
          <w:rFonts w:ascii="宋体" w:hAnsi="宋体"/>
          <w:bCs/>
          <w:szCs w:val="21"/>
        </w:rPr>
        <w:t>本合同自</w:t>
      </w:r>
      <w:r>
        <w:rPr>
          <w:rFonts w:ascii="宋体" w:hAnsi="宋体"/>
          <w:bCs/>
          <w:szCs w:val="21"/>
          <w:u w:val="single"/>
        </w:rPr>
        <w:t>双</w:t>
      </w:r>
      <w:r>
        <w:rPr>
          <w:rFonts w:ascii="宋体" w:hAnsi="宋体"/>
          <w:szCs w:val="21"/>
          <w:u w:val="single"/>
        </w:rPr>
        <w:t>方法定代表或授权代表签字盖章且承包人提交履约保证金后</w:t>
      </w:r>
      <w:r>
        <w:rPr>
          <w:rFonts w:ascii="宋体" w:hAnsi="宋体"/>
          <w:bCs/>
          <w:szCs w:val="21"/>
        </w:rPr>
        <w:t>生效。</w:t>
      </w:r>
    </w:p>
    <w:p w14:paraId="4423E953">
      <w:pPr>
        <w:spacing w:line="360" w:lineRule="auto"/>
        <w:outlineLvl w:val="0"/>
        <w:rPr>
          <w:rFonts w:ascii="Calibri" w:hAnsi="Calibri"/>
          <w:szCs w:val="21"/>
        </w:rPr>
      </w:pPr>
      <w:r>
        <w:rPr>
          <w:rFonts w:ascii="Calibri" w:hAnsi="Calibri"/>
          <w:szCs w:val="21"/>
        </w:rPr>
        <w:t xml:space="preserve">    </w:t>
      </w:r>
      <w:r>
        <w:rPr>
          <w:rFonts w:ascii="宋体" w:hAnsi="宋体"/>
          <w:szCs w:val="21"/>
        </w:rPr>
        <w:t>十三、合同份数</w:t>
      </w:r>
    </w:p>
    <w:p w14:paraId="30BAE94C">
      <w:pPr>
        <w:spacing w:line="360" w:lineRule="auto"/>
        <w:ind w:firstLine="420" w:firstLineChars="200"/>
        <w:rPr>
          <w:rFonts w:hint="eastAsia" w:ascii="宋体" w:hAnsi="宋体"/>
          <w:bCs/>
          <w:szCs w:val="21"/>
        </w:rPr>
      </w:pPr>
      <w:r>
        <w:rPr>
          <w:rFonts w:ascii="宋体" w:hAnsi="宋体"/>
          <w:bCs/>
          <w:szCs w:val="21"/>
        </w:rPr>
        <w:t>本合同一式</w:t>
      </w:r>
      <w:r>
        <w:rPr>
          <w:rFonts w:ascii="宋体" w:hAnsi="宋体"/>
          <w:bCs/>
          <w:szCs w:val="21"/>
          <w:u w:val="single"/>
        </w:rPr>
        <w:t>捌</w:t>
      </w:r>
      <w:r>
        <w:rPr>
          <w:rFonts w:ascii="宋体" w:hAnsi="宋体"/>
          <w:bCs/>
          <w:szCs w:val="21"/>
        </w:rPr>
        <w:t>份，均具有同等法律效力，发包人执</w:t>
      </w:r>
      <w:r>
        <w:rPr>
          <w:rFonts w:ascii="宋体" w:hAnsi="宋体"/>
          <w:bCs/>
          <w:szCs w:val="21"/>
          <w:u w:val="single"/>
        </w:rPr>
        <w:t>肆</w:t>
      </w:r>
      <w:r>
        <w:rPr>
          <w:rFonts w:ascii="宋体" w:hAnsi="宋体"/>
          <w:bCs/>
          <w:szCs w:val="21"/>
        </w:rPr>
        <w:t>份，承包人执</w:t>
      </w:r>
      <w:r>
        <w:rPr>
          <w:rFonts w:ascii="宋体" w:hAnsi="宋体"/>
          <w:bCs/>
          <w:szCs w:val="21"/>
          <w:u w:val="single"/>
        </w:rPr>
        <w:t>肆</w:t>
      </w:r>
      <w:r>
        <w:rPr>
          <w:rFonts w:ascii="宋体" w:hAnsi="宋体"/>
          <w:bCs/>
          <w:szCs w:val="21"/>
        </w:rPr>
        <w:t>份。</w:t>
      </w:r>
    </w:p>
    <w:p w14:paraId="0D94E1C7">
      <w:pPr>
        <w:spacing w:line="360" w:lineRule="auto"/>
        <w:rPr>
          <w:rFonts w:hint="eastAsia" w:ascii="宋体" w:hAnsi="宋体"/>
          <w:bCs/>
          <w:szCs w:val="21"/>
        </w:rPr>
      </w:pPr>
      <w:r>
        <w:rPr>
          <w:rFonts w:ascii="宋体" w:hAnsi="宋体"/>
          <w:bCs/>
          <w:szCs w:val="21"/>
        </w:rPr>
        <w:t xml:space="preserve"> </w:t>
      </w:r>
    </w:p>
    <w:tbl>
      <w:tblPr>
        <w:tblStyle w:val="287"/>
        <w:tblW w:w="9144" w:type="dxa"/>
        <w:tblInd w:w="-30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559"/>
        <w:gridCol w:w="4585"/>
      </w:tblGrid>
      <w:tr w14:paraId="5619AE05">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4559" w:type="dxa"/>
            <w:tcBorders>
              <w:top w:val="nil"/>
              <w:left w:val="nil"/>
              <w:bottom w:val="nil"/>
              <w:right w:val="nil"/>
            </w:tcBorders>
            <w:vAlign w:val="center"/>
          </w:tcPr>
          <w:p w14:paraId="23A6489D">
            <w:pPr>
              <w:jc w:val="left"/>
              <w:rPr>
                <w:rFonts w:ascii="宋体" w:hAnsi="宋体" w:eastAsia="Times New Roman"/>
                <w:szCs w:val="21"/>
              </w:rPr>
            </w:pPr>
            <w:r>
              <w:rPr>
                <w:rFonts w:ascii="宋体" w:hAnsi="宋体" w:eastAsia="Times New Roman"/>
                <w:szCs w:val="21"/>
              </w:rPr>
              <w:t>发包人（盖章）：</w:t>
            </w:r>
          </w:p>
        </w:tc>
        <w:tc>
          <w:tcPr>
            <w:tcW w:w="4585" w:type="dxa"/>
            <w:tcBorders>
              <w:top w:val="nil"/>
              <w:left w:val="nil"/>
              <w:bottom w:val="nil"/>
              <w:right w:val="nil"/>
            </w:tcBorders>
            <w:vAlign w:val="center"/>
          </w:tcPr>
          <w:p w14:paraId="3D3C8727">
            <w:pPr>
              <w:jc w:val="left"/>
              <w:rPr>
                <w:rFonts w:ascii="宋体" w:hAnsi="宋体" w:eastAsia="Times New Roman"/>
                <w:szCs w:val="21"/>
              </w:rPr>
            </w:pPr>
            <w:r>
              <w:rPr>
                <w:rFonts w:ascii="宋体" w:hAnsi="宋体" w:eastAsia="Times New Roman"/>
                <w:szCs w:val="21"/>
              </w:rPr>
              <w:t>承包人（盖章）：</w:t>
            </w:r>
          </w:p>
        </w:tc>
      </w:tr>
      <w:tr w14:paraId="637522A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76" w:hRule="atLeast"/>
        </w:trPr>
        <w:tc>
          <w:tcPr>
            <w:tcW w:w="4559" w:type="dxa"/>
            <w:tcBorders>
              <w:top w:val="nil"/>
              <w:left w:val="nil"/>
              <w:bottom w:val="nil"/>
              <w:right w:val="nil"/>
            </w:tcBorders>
            <w:vAlign w:val="center"/>
          </w:tcPr>
          <w:p w14:paraId="3235E144">
            <w:pPr>
              <w:jc w:val="left"/>
              <w:rPr>
                <w:rFonts w:ascii="宋体" w:hAnsi="宋体" w:eastAsia="Times New Roman"/>
                <w:szCs w:val="21"/>
              </w:rPr>
            </w:pPr>
            <w:r>
              <w:rPr>
                <w:rFonts w:ascii="宋体" w:hAnsi="宋体" w:eastAsia="Times New Roman"/>
                <w:szCs w:val="21"/>
              </w:rPr>
              <w:t>法定代表人或其委托代理人</w:t>
            </w:r>
          </w:p>
          <w:p w14:paraId="580FB34F">
            <w:pPr>
              <w:jc w:val="left"/>
              <w:rPr>
                <w:rFonts w:ascii="宋体" w:hAnsi="宋体" w:eastAsia="Times New Roman"/>
                <w:szCs w:val="21"/>
              </w:rPr>
            </w:pPr>
            <w:r>
              <w:rPr>
                <w:rFonts w:ascii="宋体" w:hAnsi="宋体" w:eastAsia="Times New Roman"/>
                <w:szCs w:val="21"/>
              </w:rPr>
              <w:t>（签字或盖章）：</w:t>
            </w:r>
          </w:p>
        </w:tc>
        <w:tc>
          <w:tcPr>
            <w:tcW w:w="4585" w:type="dxa"/>
            <w:tcBorders>
              <w:top w:val="nil"/>
              <w:left w:val="nil"/>
              <w:bottom w:val="nil"/>
              <w:right w:val="nil"/>
            </w:tcBorders>
            <w:vAlign w:val="center"/>
          </w:tcPr>
          <w:p w14:paraId="6D5ED415">
            <w:pPr>
              <w:jc w:val="left"/>
              <w:rPr>
                <w:rFonts w:ascii="宋体" w:hAnsi="宋体" w:eastAsia="Times New Roman"/>
                <w:szCs w:val="21"/>
              </w:rPr>
            </w:pPr>
            <w:r>
              <w:rPr>
                <w:rFonts w:ascii="宋体" w:hAnsi="宋体" w:eastAsia="Times New Roman"/>
                <w:szCs w:val="21"/>
              </w:rPr>
              <w:t>法定代表人或其委托代理人</w:t>
            </w:r>
          </w:p>
          <w:p w14:paraId="69FB2987">
            <w:pPr>
              <w:jc w:val="left"/>
              <w:rPr>
                <w:rFonts w:ascii="宋体" w:hAnsi="宋体" w:eastAsia="Times New Roman"/>
                <w:szCs w:val="21"/>
              </w:rPr>
            </w:pPr>
            <w:r>
              <w:rPr>
                <w:rFonts w:ascii="宋体" w:hAnsi="宋体" w:eastAsia="Times New Roman"/>
                <w:szCs w:val="21"/>
              </w:rPr>
              <w:t>（签字或盖章）：</w:t>
            </w:r>
          </w:p>
        </w:tc>
      </w:tr>
      <w:tr w14:paraId="3A1F1B52">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4559" w:type="dxa"/>
            <w:tcBorders>
              <w:top w:val="nil"/>
              <w:left w:val="nil"/>
              <w:bottom w:val="nil"/>
              <w:right w:val="nil"/>
            </w:tcBorders>
            <w:vAlign w:val="center"/>
          </w:tcPr>
          <w:p w14:paraId="1FBEDE6C">
            <w:pPr>
              <w:jc w:val="left"/>
              <w:rPr>
                <w:rFonts w:ascii="宋体" w:hAnsi="宋体" w:eastAsia="Times New Roman"/>
                <w:szCs w:val="21"/>
              </w:rPr>
            </w:pPr>
            <w:r>
              <w:rPr>
                <w:rFonts w:ascii="宋体" w:hAnsi="宋体" w:eastAsia="Times New Roman"/>
                <w:szCs w:val="21"/>
              </w:rPr>
              <w:t>统一社会信用代码：</w:t>
            </w:r>
            <w:r>
              <w:rPr>
                <w:rFonts w:ascii="宋体" w:hAnsi="宋体" w:eastAsia="Times New Roman"/>
                <w:color w:val="000000"/>
                <w:kern w:val="0"/>
                <w:sz w:val="24"/>
              </w:rPr>
              <w:t xml:space="preserve"> </w:t>
            </w:r>
          </w:p>
        </w:tc>
        <w:tc>
          <w:tcPr>
            <w:tcW w:w="4585" w:type="dxa"/>
            <w:tcBorders>
              <w:top w:val="nil"/>
              <w:left w:val="nil"/>
              <w:bottom w:val="nil"/>
              <w:right w:val="nil"/>
            </w:tcBorders>
            <w:vAlign w:val="center"/>
          </w:tcPr>
          <w:p w14:paraId="78679DD6">
            <w:pPr>
              <w:jc w:val="left"/>
              <w:rPr>
                <w:rFonts w:ascii="宋体" w:hAnsi="宋体" w:eastAsia="Times New Roman"/>
                <w:szCs w:val="21"/>
              </w:rPr>
            </w:pPr>
            <w:r>
              <w:rPr>
                <w:rFonts w:ascii="宋体" w:hAnsi="宋体" w:eastAsia="Times New Roman"/>
                <w:szCs w:val="21"/>
              </w:rPr>
              <w:t>组织机构代码：</w:t>
            </w:r>
          </w:p>
        </w:tc>
      </w:tr>
      <w:tr w14:paraId="63C96357">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4559" w:type="dxa"/>
            <w:tcBorders>
              <w:top w:val="nil"/>
              <w:left w:val="nil"/>
              <w:bottom w:val="nil"/>
              <w:right w:val="nil"/>
            </w:tcBorders>
            <w:vAlign w:val="center"/>
          </w:tcPr>
          <w:p w14:paraId="5667E6F0">
            <w:pPr>
              <w:jc w:val="left"/>
              <w:rPr>
                <w:rFonts w:ascii="宋体" w:hAnsi="宋体" w:eastAsia="Times New Roman"/>
                <w:szCs w:val="21"/>
              </w:rPr>
            </w:pPr>
            <w:r>
              <w:rPr>
                <w:rFonts w:ascii="宋体" w:hAnsi="宋体" w:eastAsia="Times New Roman"/>
                <w:szCs w:val="21"/>
              </w:rPr>
              <w:t>地 址：</w:t>
            </w:r>
          </w:p>
        </w:tc>
        <w:tc>
          <w:tcPr>
            <w:tcW w:w="4585" w:type="dxa"/>
            <w:tcBorders>
              <w:top w:val="nil"/>
              <w:left w:val="nil"/>
              <w:bottom w:val="nil"/>
              <w:right w:val="nil"/>
            </w:tcBorders>
            <w:vAlign w:val="center"/>
          </w:tcPr>
          <w:p w14:paraId="6B137055">
            <w:pPr>
              <w:jc w:val="left"/>
              <w:rPr>
                <w:rFonts w:ascii="宋体" w:hAnsi="宋体" w:eastAsia="Times New Roman"/>
                <w:szCs w:val="21"/>
              </w:rPr>
            </w:pPr>
            <w:r>
              <w:rPr>
                <w:rFonts w:ascii="宋体" w:hAnsi="宋体" w:eastAsia="Times New Roman"/>
                <w:szCs w:val="21"/>
              </w:rPr>
              <w:t>地  址：</w:t>
            </w:r>
            <w:r>
              <w:rPr>
                <w:rFonts w:ascii="宋体" w:hAnsi="宋体" w:eastAsia="Times New Roman"/>
                <w:kern w:val="0"/>
                <w:szCs w:val="21"/>
              </w:rPr>
              <w:t xml:space="preserve"> </w:t>
            </w:r>
          </w:p>
        </w:tc>
      </w:tr>
      <w:tr w14:paraId="4C29748A">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4559" w:type="dxa"/>
            <w:tcBorders>
              <w:top w:val="nil"/>
              <w:left w:val="nil"/>
              <w:bottom w:val="nil"/>
              <w:right w:val="nil"/>
            </w:tcBorders>
            <w:vAlign w:val="center"/>
          </w:tcPr>
          <w:p w14:paraId="3FF4E130">
            <w:pPr>
              <w:jc w:val="left"/>
              <w:rPr>
                <w:rFonts w:ascii="宋体" w:hAnsi="宋体" w:eastAsia="Times New Roman"/>
                <w:szCs w:val="21"/>
              </w:rPr>
            </w:pPr>
            <w:r>
              <w:rPr>
                <w:rFonts w:ascii="宋体" w:hAnsi="宋体" w:eastAsia="Times New Roman"/>
                <w:szCs w:val="21"/>
              </w:rPr>
              <w:t>邮政编码：</w:t>
            </w:r>
          </w:p>
        </w:tc>
        <w:tc>
          <w:tcPr>
            <w:tcW w:w="4585" w:type="dxa"/>
            <w:tcBorders>
              <w:top w:val="nil"/>
              <w:left w:val="nil"/>
              <w:bottom w:val="nil"/>
              <w:right w:val="nil"/>
            </w:tcBorders>
            <w:vAlign w:val="center"/>
          </w:tcPr>
          <w:p w14:paraId="306FCD73">
            <w:pPr>
              <w:jc w:val="left"/>
              <w:rPr>
                <w:rFonts w:ascii="宋体" w:hAnsi="宋体" w:eastAsia="Times New Roman"/>
                <w:szCs w:val="21"/>
              </w:rPr>
            </w:pPr>
            <w:r>
              <w:rPr>
                <w:rFonts w:ascii="宋体" w:hAnsi="宋体" w:eastAsia="Times New Roman"/>
                <w:szCs w:val="21"/>
              </w:rPr>
              <w:t>邮政编码：</w:t>
            </w:r>
          </w:p>
        </w:tc>
      </w:tr>
      <w:tr w14:paraId="42E56E33">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4559" w:type="dxa"/>
            <w:tcBorders>
              <w:top w:val="nil"/>
              <w:left w:val="nil"/>
              <w:bottom w:val="nil"/>
              <w:right w:val="nil"/>
            </w:tcBorders>
            <w:vAlign w:val="center"/>
          </w:tcPr>
          <w:p w14:paraId="6D68C213">
            <w:pPr>
              <w:jc w:val="left"/>
              <w:rPr>
                <w:rFonts w:ascii="宋体" w:hAnsi="宋体" w:eastAsia="Times New Roman"/>
                <w:szCs w:val="21"/>
              </w:rPr>
            </w:pPr>
            <w:r>
              <w:rPr>
                <w:rFonts w:ascii="宋体" w:hAnsi="宋体" w:eastAsia="Times New Roman"/>
                <w:szCs w:val="21"/>
              </w:rPr>
              <w:t>电  话：</w:t>
            </w:r>
          </w:p>
        </w:tc>
        <w:tc>
          <w:tcPr>
            <w:tcW w:w="4585" w:type="dxa"/>
            <w:tcBorders>
              <w:top w:val="nil"/>
              <w:left w:val="nil"/>
              <w:bottom w:val="nil"/>
              <w:right w:val="nil"/>
            </w:tcBorders>
            <w:vAlign w:val="center"/>
          </w:tcPr>
          <w:p w14:paraId="66EA3AFA">
            <w:pPr>
              <w:jc w:val="left"/>
              <w:rPr>
                <w:rFonts w:ascii="宋体" w:hAnsi="宋体" w:eastAsia="Times New Roman"/>
                <w:szCs w:val="21"/>
              </w:rPr>
            </w:pPr>
            <w:r>
              <w:rPr>
                <w:rFonts w:ascii="宋体" w:hAnsi="宋体" w:eastAsia="Times New Roman"/>
                <w:szCs w:val="21"/>
              </w:rPr>
              <w:t>电  话：</w:t>
            </w:r>
          </w:p>
        </w:tc>
      </w:tr>
      <w:tr w14:paraId="12EF7034">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4559" w:type="dxa"/>
            <w:tcBorders>
              <w:top w:val="nil"/>
              <w:left w:val="nil"/>
              <w:bottom w:val="nil"/>
              <w:right w:val="nil"/>
            </w:tcBorders>
            <w:vAlign w:val="center"/>
          </w:tcPr>
          <w:p w14:paraId="76C16B26">
            <w:pPr>
              <w:jc w:val="left"/>
              <w:rPr>
                <w:rFonts w:ascii="宋体" w:hAnsi="宋体" w:eastAsia="Times New Roman"/>
                <w:szCs w:val="21"/>
              </w:rPr>
            </w:pPr>
            <w:r>
              <w:rPr>
                <w:rFonts w:ascii="宋体" w:hAnsi="宋体" w:eastAsia="Times New Roman"/>
                <w:szCs w:val="21"/>
              </w:rPr>
              <w:t>电子信箱：</w:t>
            </w:r>
          </w:p>
        </w:tc>
        <w:tc>
          <w:tcPr>
            <w:tcW w:w="4585" w:type="dxa"/>
            <w:tcBorders>
              <w:top w:val="nil"/>
              <w:left w:val="nil"/>
              <w:bottom w:val="nil"/>
              <w:right w:val="nil"/>
            </w:tcBorders>
            <w:vAlign w:val="center"/>
          </w:tcPr>
          <w:p w14:paraId="75387BB9">
            <w:pPr>
              <w:jc w:val="left"/>
              <w:rPr>
                <w:rFonts w:ascii="宋体" w:hAnsi="宋体" w:eastAsia="Times New Roman"/>
                <w:szCs w:val="21"/>
              </w:rPr>
            </w:pPr>
            <w:r>
              <w:rPr>
                <w:rFonts w:ascii="宋体" w:hAnsi="宋体" w:eastAsia="Times New Roman"/>
                <w:szCs w:val="21"/>
              </w:rPr>
              <w:t>电子信箱：</w:t>
            </w:r>
          </w:p>
        </w:tc>
      </w:tr>
      <w:tr w14:paraId="7E3E4CA0">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4559" w:type="dxa"/>
            <w:tcBorders>
              <w:top w:val="nil"/>
              <w:left w:val="nil"/>
              <w:bottom w:val="nil"/>
              <w:right w:val="nil"/>
            </w:tcBorders>
            <w:vAlign w:val="center"/>
          </w:tcPr>
          <w:p w14:paraId="06B04872">
            <w:pPr>
              <w:jc w:val="left"/>
              <w:rPr>
                <w:rFonts w:ascii="宋体" w:hAnsi="宋体" w:eastAsia="Times New Roman"/>
                <w:szCs w:val="21"/>
              </w:rPr>
            </w:pPr>
            <w:r>
              <w:rPr>
                <w:rFonts w:ascii="宋体" w:hAnsi="宋体" w:eastAsia="Times New Roman"/>
                <w:szCs w:val="21"/>
              </w:rPr>
              <w:t>开户银行：</w:t>
            </w:r>
          </w:p>
        </w:tc>
        <w:tc>
          <w:tcPr>
            <w:tcW w:w="4585" w:type="dxa"/>
            <w:tcBorders>
              <w:top w:val="nil"/>
              <w:left w:val="nil"/>
              <w:bottom w:val="nil"/>
              <w:right w:val="nil"/>
            </w:tcBorders>
            <w:vAlign w:val="center"/>
          </w:tcPr>
          <w:p w14:paraId="33D7F0D1">
            <w:pPr>
              <w:ind w:left="1050" w:hanging="1050" w:hangingChars="500"/>
              <w:jc w:val="left"/>
              <w:rPr>
                <w:rFonts w:ascii="宋体" w:hAnsi="宋体" w:eastAsia="Times New Roman"/>
                <w:szCs w:val="21"/>
              </w:rPr>
            </w:pPr>
            <w:r>
              <w:rPr>
                <w:rFonts w:ascii="宋体" w:hAnsi="宋体" w:eastAsia="Times New Roman"/>
                <w:szCs w:val="21"/>
              </w:rPr>
              <w:t>开户银行：</w:t>
            </w:r>
          </w:p>
        </w:tc>
      </w:tr>
      <w:tr w14:paraId="3D6ADD78">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4559" w:type="dxa"/>
            <w:tcBorders>
              <w:top w:val="nil"/>
              <w:left w:val="nil"/>
              <w:bottom w:val="nil"/>
              <w:right w:val="nil"/>
            </w:tcBorders>
            <w:vAlign w:val="center"/>
          </w:tcPr>
          <w:p w14:paraId="370E9A00">
            <w:pPr>
              <w:jc w:val="left"/>
              <w:rPr>
                <w:rFonts w:ascii="宋体" w:hAnsi="宋体" w:eastAsia="Times New Roman"/>
                <w:szCs w:val="21"/>
              </w:rPr>
            </w:pPr>
            <w:r>
              <w:rPr>
                <w:rFonts w:ascii="宋体" w:hAnsi="宋体" w:eastAsia="Times New Roman"/>
                <w:szCs w:val="21"/>
              </w:rPr>
              <w:t>账  号：</w:t>
            </w:r>
          </w:p>
        </w:tc>
        <w:tc>
          <w:tcPr>
            <w:tcW w:w="4585" w:type="dxa"/>
            <w:tcBorders>
              <w:top w:val="nil"/>
              <w:left w:val="nil"/>
              <w:bottom w:val="nil"/>
              <w:right w:val="nil"/>
            </w:tcBorders>
            <w:vAlign w:val="center"/>
          </w:tcPr>
          <w:p w14:paraId="4636BFDA">
            <w:pPr>
              <w:jc w:val="left"/>
              <w:rPr>
                <w:rFonts w:ascii="宋体" w:hAnsi="宋体" w:eastAsia="Times New Roman"/>
                <w:szCs w:val="21"/>
              </w:rPr>
            </w:pPr>
            <w:r>
              <w:rPr>
                <w:rFonts w:ascii="宋体" w:hAnsi="宋体" w:eastAsia="Times New Roman"/>
                <w:szCs w:val="21"/>
              </w:rPr>
              <w:t>账  号：</w:t>
            </w:r>
            <w:r>
              <w:rPr>
                <w:rFonts w:ascii="宋体" w:hAnsi="宋体" w:eastAsia="Times New Roman"/>
                <w:kern w:val="0"/>
                <w:szCs w:val="21"/>
              </w:rPr>
              <w:t xml:space="preserve"> </w:t>
            </w:r>
          </w:p>
        </w:tc>
      </w:tr>
      <w:tr w14:paraId="68ED9F2F">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4559" w:type="dxa"/>
            <w:tcBorders>
              <w:top w:val="nil"/>
              <w:left w:val="nil"/>
              <w:bottom w:val="nil"/>
              <w:right w:val="nil"/>
            </w:tcBorders>
            <w:vAlign w:val="center"/>
          </w:tcPr>
          <w:p w14:paraId="47BF252D">
            <w:pPr>
              <w:jc w:val="left"/>
              <w:rPr>
                <w:rFonts w:ascii="宋体" w:hAnsi="宋体" w:eastAsia="Times New Roman"/>
                <w:szCs w:val="21"/>
              </w:rPr>
            </w:pPr>
            <w:r>
              <w:rPr>
                <w:rFonts w:ascii="宋体" w:hAnsi="宋体" w:eastAsia="Times New Roman"/>
                <w:kern w:val="0"/>
                <w:szCs w:val="21"/>
              </w:rPr>
              <w:t>日  期：</w:t>
            </w:r>
          </w:p>
        </w:tc>
        <w:tc>
          <w:tcPr>
            <w:tcW w:w="4585" w:type="dxa"/>
            <w:tcBorders>
              <w:top w:val="nil"/>
              <w:left w:val="nil"/>
              <w:bottom w:val="nil"/>
              <w:right w:val="nil"/>
            </w:tcBorders>
            <w:vAlign w:val="center"/>
          </w:tcPr>
          <w:p w14:paraId="0B020E5C">
            <w:pPr>
              <w:jc w:val="left"/>
              <w:rPr>
                <w:rFonts w:ascii="宋体" w:hAnsi="宋体" w:eastAsia="Times New Roman"/>
                <w:szCs w:val="21"/>
              </w:rPr>
            </w:pPr>
            <w:r>
              <w:rPr>
                <w:rFonts w:ascii="宋体" w:hAnsi="宋体" w:eastAsia="Times New Roman"/>
                <w:kern w:val="0"/>
                <w:szCs w:val="21"/>
              </w:rPr>
              <w:t>日  期：</w:t>
            </w:r>
          </w:p>
        </w:tc>
      </w:tr>
    </w:tbl>
    <w:p w14:paraId="7F00BE03">
      <w:pPr>
        <w:spacing w:line="360" w:lineRule="auto"/>
        <w:rPr>
          <w:rFonts w:hint="eastAsia" w:ascii="宋体" w:hAnsi="宋体"/>
          <w:szCs w:val="21"/>
        </w:rPr>
      </w:pPr>
      <w:r>
        <w:rPr>
          <w:rFonts w:ascii="宋体" w:hAnsi="宋体"/>
          <w:szCs w:val="21"/>
        </w:rPr>
        <w:t xml:space="preserve"> </w:t>
      </w:r>
    </w:p>
    <w:p w14:paraId="5A868787">
      <w:pPr>
        <w:widowControl/>
        <w:spacing w:line="360" w:lineRule="auto"/>
        <w:jc w:val="left"/>
        <w:rPr>
          <w:rFonts w:ascii="Calibri" w:hAnsi="Calibri" w:eastAsia="黑体"/>
          <w:sz w:val="28"/>
          <w:szCs w:val="28"/>
        </w:rPr>
        <w:sectPr>
          <w:footerReference r:id="rId6" w:type="default"/>
          <w:pgSz w:w="11906" w:h="16838"/>
          <w:pgMar w:top="1440" w:right="1800" w:bottom="1440" w:left="1800" w:header="851" w:footer="992" w:gutter="0"/>
          <w:pgNumType w:fmt="decimal"/>
          <w:cols w:space="720" w:num="1"/>
          <w:docGrid w:type="lines" w:linePitch="312" w:charSpace="0"/>
        </w:sectPr>
      </w:pPr>
    </w:p>
    <w:p w14:paraId="760A2B6B">
      <w:pPr>
        <w:ind w:firstLine="3360" w:firstLineChars="1200"/>
        <w:outlineLvl w:val="0"/>
        <w:rPr>
          <w:rFonts w:ascii="Calibri" w:hAnsi="Calibri"/>
          <w:sz w:val="28"/>
          <w:szCs w:val="28"/>
        </w:rPr>
      </w:pPr>
      <w:r>
        <w:rPr>
          <w:rFonts w:ascii="黑体" w:hAnsi="黑体" w:eastAsia="黑体"/>
          <w:sz w:val="28"/>
          <w:szCs w:val="28"/>
        </w:rPr>
        <w:t>第二部分</w:t>
      </w:r>
      <w:r>
        <w:rPr>
          <w:rFonts w:ascii="Calibri" w:hAnsi="Calibri" w:eastAsia="黑体"/>
          <w:sz w:val="28"/>
          <w:szCs w:val="28"/>
        </w:rPr>
        <w:t xml:space="preserve"> </w:t>
      </w:r>
      <w:r>
        <w:rPr>
          <w:rFonts w:ascii="黑体" w:hAnsi="黑体" w:eastAsia="黑体"/>
          <w:sz w:val="28"/>
          <w:szCs w:val="28"/>
        </w:rPr>
        <w:t>通用合同条款</w:t>
      </w:r>
    </w:p>
    <w:p w14:paraId="7F309EDB">
      <w:pPr>
        <w:spacing w:line="273" w:lineRule="auto"/>
        <w:ind w:firstLine="422" w:firstLineChars="200"/>
        <w:rPr>
          <w:rFonts w:ascii="Calibri" w:hAnsi="Calibri"/>
          <w:b/>
          <w:bCs/>
          <w:kern w:val="0"/>
          <w:szCs w:val="21"/>
        </w:rPr>
      </w:pPr>
      <w:r>
        <w:rPr>
          <w:rFonts w:ascii="宋体" w:hAnsi="宋体"/>
          <w:b/>
          <w:bCs/>
          <w:kern w:val="0"/>
          <w:szCs w:val="21"/>
        </w:rPr>
        <w:t>使用住房城乡建设部、国家工商行政管理局</w:t>
      </w:r>
      <w:r>
        <w:rPr>
          <w:rFonts w:ascii="Calibri" w:hAnsi="Calibri" w:cs="Calibri"/>
          <w:b/>
          <w:bCs/>
          <w:kern w:val="0"/>
          <w:szCs w:val="21"/>
        </w:rPr>
        <w:t>2017</w:t>
      </w:r>
      <w:r>
        <w:rPr>
          <w:rFonts w:ascii="宋体" w:hAnsi="宋体"/>
          <w:b/>
          <w:bCs/>
          <w:kern w:val="0"/>
          <w:szCs w:val="21"/>
        </w:rPr>
        <w:t>年</w:t>
      </w:r>
      <w:r>
        <w:rPr>
          <w:rFonts w:ascii="Calibri" w:hAnsi="Calibri" w:cs="Calibri"/>
          <w:b/>
          <w:bCs/>
          <w:kern w:val="0"/>
          <w:szCs w:val="21"/>
        </w:rPr>
        <w:t>10</w:t>
      </w:r>
      <w:r>
        <w:rPr>
          <w:rFonts w:ascii="宋体" w:hAnsi="宋体"/>
          <w:b/>
          <w:bCs/>
          <w:kern w:val="0"/>
          <w:szCs w:val="21"/>
        </w:rPr>
        <w:t>月</w:t>
      </w:r>
      <w:r>
        <w:rPr>
          <w:rFonts w:ascii="Calibri" w:hAnsi="Calibri" w:cs="Calibri"/>
          <w:b/>
          <w:bCs/>
          <w:kern w:val="0"/>
          <w:szCs w:val="21"/>
        </w:rPr>
        <w:t>1</w:t>
      </w:r>
      <w:r>
        <w:rPr>
          <w:rFonts w:ascii="宋体" w:hAnsi="宋体"/>
          <w:b/>
          <w:bCs/>
          <w:kern w:val="0"/>
          <w:szCs w:val="21"/>
        </w:rPr>
        <w:t>日开始执行的《建设工程施工合同（示范文本）》（</w:t>
      </w:r>
      <w:r>
        <w:rPr>
          <w:rFonts w:ascii="Calibri" w:hAnsi="Calibri" w:cs="Calibri"/>
          <w:b/>
          <w:bCs/>
          <w:kern w:val="0"/>
          <w:szCs w:val="21"/>
        </w:rPr>
        <w:t>GF</w:t>
      </w:r>
      <w:r>
        <w:rPr>
          <w:rFonts w:ascii="宋体" w:hAnsi="宋体"/>
          <w:b/>
          <w:bCs/>
          <w:kern w:val="0"/>
          <w:szCs w:val="21"/>
        </w:rPr>
        <w:t>—</w:t>
      </w:r>
      <w:r>
        <w:rPr>
          <w:rFonts w:ascii="Calibri" w:hAnsi="Calibri" w:cs="Calibri"/>
          <w:b/>
          <w:bCs/>
          <w:kern w:val="0"/>
          <w:szCs w:val="21"/>
        </w:rPr>
        <w:t>2017</w:t>
      </w:r>
      <w:r>
        <w:rPr>
          <w:rFonts w:ascii="宋体" w:hAnsi="宋体"/>
          <w:b/>
          <w:bCs/>
          <w:kern w:val="0"/>
          <w:szCs w:val="21"/>
        </w:rPr>
        <w:t>—</w:t>
      </w:r>
      <w:r>
        <w:rPr>
          <w:rFonts w:ascii="Calibri" w:hAnsi="Calibri" w:cs="Calibri"/>
          <w:b/>
          <w:bCs/>
          <w:kern w:val="0"/>
          <w:szCs w:val="21"/>
        </w:rPr>
        <w:t>0201</w:t>
      </w:r>
      <w:r>
        <w:rPr>
          <w:rFonts w:ascii="宋体" w:hAnsi="宋体"/>
          <w:b/>
          <w:bCs/>
          <w:kern w:val="0"/>
          <w:szCs w:val="21"/>
        </w:rPr>
        <w:t>）第二部分《通用合同条款》。</w:t>
      </w:r>
    </w:p>
    <w:p w14:paraId="074B227C">
      <w:pPr>
        <w:spacing w:line="460" w:lineRule="exact"/>
        <w:rPr>
          <w:rFonts w:hint="eastAsia" w:ascii="汉鼎简楷体" w:hAnsi="宋体"/>
          <w:b/>
          <w:bCs/>
          <w:spacing w:val="4"/>
          <w:sz w:val="24"/>
        </w:rPr>
      </w:pPr>
      <w:r>
        <w:rPr>
          <w:rFonts w:ascii="汉鼎简楷体" w:hAnsi="宋体"/>
          <w:b/>
          <w:bCs/>
          <w:spacing w:val="4"/>
          <w:sz w:val="24"/>
        </w:rPr>
        <w:t xml:space="preserve"> </w:t>
      </w:r>
    </w:p>
    <w:p w14:paraId="6876AA50">
      <w:pPr>
        <w:ind w:firstLine="2520" w:firstLineChars="900"/>
        <w:outlineLvl w:val="0"/>
        <w:rPr>
          <w:rFonts w:ascii="Calibri" w:hAnsi="Calibri"/>
          <w:sz w:val="28"/>
          <w:szCs w:val="28"/>
        </w:rPr>
      </w:pPr>
      <w:r>
        <w:rPr>
          <w:rFonts w:ascii="黑体" w:hAnsi="黑体" w:eastAsia="黑体"/>
          <w:sz w:val="28"/>
          <w:szCs w:val="28"/>
        </w:rPr>
        <w:t>第三部分</w:t>
      </w:r>
      <w:r>
        <w:rPr>
          <w:rFonts w:ascii="Calibri" w:hAnsi="Calibri" w:eastAsia="黑体"/>
          <w:sz w:val="28"/>
          <w:szCs w:val="28"/>
        </w:rPr>
        <w:t xml:space="preserve"> </w:t>
      </w:r>
      <w:r>
        <w:rPr>
          <w:rFonts w:ascii="黑体" w:hAnsi="黑体" w:eastAsia="黑体"/>
          <w:sz w:val="28"/>
          <w:szCs w:val="28"/>
        </w:rPr>
        <w:t>专用合同条款</w:t>
      </w:r>
    </w:p>
    <w:p w14:paraId="2B70B2E7">
      <w:pPr>
        <w:spacing w:line="273" w:lineRule="auto"/>
        <w:outlineLvl w:val="0"/>
        <w:rPr>
          <w:rFonts w:hint="eastAsia" w:ascii="黑体" w:hAnsi="宋体" w:eastAsia="黑体"/>
          <w:b/>
          <w:bCs/>
          <w:szCs w:val="21"/>
        </w:rPr>
      </w:pPr>
      <w:r>
        <w:rPr>
          <w:rFonts w:ascii="黑体" w:hAnsi="宋体" w:eastAsia="黑体"/>
          <w:b/>
          <w:bCs/>
          <w:szCs w:val="21"/>
        </w:rPr>
        <w:t>1. 一般约定</w:t>
      </w:r>
    </w:p>
    <w:p w14:paraId="1D8C1AB7">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1.1 词语定义</w:t>
      </w:r>
    </w:p>
    <w:p w14:paraId="22E9AD4F">
      <w:pPr>
        <w:spacing w:line="273" w:lineRule="auto"/>
        <w:ind w:firstLine="420" w:firstLineChars="200"/>
        <w:outlineLvl w:val="2"/>
        <w:rPr>
          <w:rFonts w:hint="eastAsia" w:ascii="宋体" w:hAnsi="宋体"/>
          <w:kern w:val="0"/>
          <w:szCs w:val="21"/>
        </w:rPr>
      </w:pPr>
      <w:r>
        <w:rPr>
          <w:rFonts w:ascii="宋体" w:hAnsi="宋体"/>
          <w:kern w:val="0"/>
          <w:szCs w:val="21"/>
        </w:rPr>
        <w:t>1.1.1合同</w:t>
      </w:r>
    </w:p>
    <w:p w14:paraId="79AA6678">
      <w:pPr>
        <w:spacing w:line="273" w:lineRule="auto"/>
        <w:ind w:firstLine="420" w:firstLineChars="200"/>
        <w:rPr>
          <w:rFonts w:hint="eastAsia" w:ascii="宋体" w:hAnsi="宋体"/>
          <w:kern w:val="0"/>
          <w:szCs w:val="21"/>
        </w:rPr>
      </w:pPr>
      <w:r>
        <w:rPr>
          <w:rFonts w:ascii="宋体" w:hAnsi="宋体"/>
          <w:kern w:val="0"/>
          <w:szCs w:val="21"/>
        </w:rPr>
        <w:t>1.1.1.10其他合同文件包括：</w:t>
      </w:r>
      <w:r>
        <w:rPr>
          <w:rFonts w:ascii="宋体" w:hAnsi="宋体"/>
          <w:kern w:val="0"/>
          <w:szCs w:val="21"/>
          <w:u w:val="single"/>
        </w:rPr>
        <w:t>(1)合同协议书、(2)成交通知书、(3)响应函、(4)专用合同条款、（5）通用合同条款、(6)技术标准和要求、(7)图纸、(8)已标价工程量清单、（9）</w:t>
      </w:r>
      <w:r>
        <w:rPr>
          <w:rFonts w:ascii="宋体" w:hAnsi="宋体"/>
          <w:szCs w:val="21"/>
          <w:u w:val="single"/>
        </w:rPr>
        <w:t xml:space="preserve">履行合同过程中双方确认有效的洽商、会议纪要、签证及设计变更等相关资料   </w:t>
      </w:r>
      <w:r>
        <w:rPr>
          <w:rFonts w:ascii="宋体" w:hAnsi="宋体"/>
          <w:szCs w:val="21"/>
        </w:rPr>
        <w:t>。</w:t>
      </w:r>
    </w:p>
    <w:p w14:paraId="192A0155">
      <w:pPr>
        <w:spacing w:line="273" w:lineRule="auto"/>
        <w:ind w:firstLine="420" w:firstLineChars="200"/>
        <w:outlineLvl w:val="2"/>
        <w:rPr>
          <w:rFonts w:hint="eastAsia" w:ascii="宋体" w:hAnsi="宋体"/>
          <w:szCs w:val="21"/>
        </w:rPr>
      </w:pPr>
      <w:r>
        <w:rPr>
          <w:rFonts w:ascii="宋体" w:hAnsi="宋体"/>
          <w:szCs w:val="21"/>
        </w:rPr>
        <w:t>1.1.2 合同当事人及其他相关方</w:t>
      </w:r>
    </w:p>
    <w:p w14:paraId="7B81D78B">
      <w:pPr>
        <w:spacing w:line="273" w:lineRule="auto"/>
        <w:ind w:firstLine="420" w:firstLineChars="200"/>
        <w:outlineLvl w:val="3"/>
        <w:rPr>
          <w:rFonts w:hint="eastAsia" w:ascii="宋体" w:hAnsi="宋体"/>
          <w:szCs w:val="21"/>
        </w:rPr>
      </w:pPr>
      <w:r>
        <w:rPr>
          <w:rFonts w:ascii="宋体" w:hAnsi="宋体"/>
          <w:szCs w:val="21"/>
        </w:rPr>
        <w:t>1.1.2.4监理人：</w:t>
      </w:r>
    </w:p>
    <w:p w14:paraId="3F36DC24">
      <w:pPr>
        <w:spacing w:line="273" w:lineRule="auto"/>
        <w:ind w:firstLine="420" w:firstLineChars="200"/>
        <w:rPr>
          <w:rFonts w:hint="eastAsia" w:ascii="宋体" w:hAnsi="宋体"/>
          <w:szCs w:val="21"/>
        </w:rPr>
      </w:pPr>
      <w:r>
        <w:rPr>
          <w:rFonts w:ascii="宋体" w:hAnsi="宋体"/>
          <w:szCs w:val="21"/>
        </w:rPr>
        <w:t>名    称：</w:t>
      </w:r>
      <w:r>
        <w:rPr>
          <w:rFonts w:ascii="宋体" w:hAnsi="宋体"/>
          <w:szCs w:val="21"/>
          <w:u w:val="single"/>
        </w:rPr>
        <w:t xml:space="preserve">                                     </w:t>
      </w:r>
      <w:r>
        <w:rPr>
          <w:rFonts w:ascii="宋体" w:hAnsi="宋体"/>
          <w:szCs w:val="21"/>
        </w:rPr>
        <w:t>；</w:t>
      </w:r>
    </w:p>
    <w:p w14:paraId="36A8399B">
      <w:pPr>
        <w:spacing w:line="273" w:lineRule="auto"/>
        <w:ind w:firstLine="420" w:firstLineChars="200"/>
        <w:outlineLvl w:val="3"/>
        <w:rPr>
          <w:rFonts w:hint="eastAsia" w:ascii="宋体" w:hAnsi="宋体"/>
          <w:szCs w:val="21"/>
        </w:rPr>
      </w:pPr>
      <w:r>
        <w:rPr>
          <w:rFonts w:ascii="宋体" w:hAnsi="宋体"/>
          <w:szCs w:val="21"/>
        </w:rPr>
        <w:t>1.1.2.5 设计人：</w:t>
      </w:r>
    </w:p>
    <w:p w14:paraId="6EB6B1B1">
      <w:pPr>
        <w:spacing w:line="273" w:lineRule="auto"/>
        <w:ind w:firstLine="420" w:firstLineChars="200"/>
        <w:rPr>
          <w:rFonts w:hint="eastAsia" w:ascii="宋体" w:hAnsi="宋体"/>
          <w:szCs w:val="21"/>
        </w:rPr>
      </w:pPr>
      <w:r>
        <w:rPr>
          <w:rFonts w:ascii="宋体" w:hAnsi="宋体"/>
          <w:szCs w:val="21"/>
        </w:rPr>
        <w:t>名    称：</w:t>
      </w:r>
      <w:r>
        <w:rPr>
          <w:rFonts w:ascii="宋体" w:hAnsi="宋体"/>
          <w:szCs w:val="21"/>
          <w:u w:val="single"/>
        </w:rPr>
        <w:t xml:space="preserve">                                       </w:t>
      </w:r>
      <w:r>
        <w:rPr>
          <w:rFonts w:ascii="宋体" w:hAnsi="宋体"/>
          <w:szCs w:val="21"/>
        </w:rPr>
        <w:t>；</w:t>
      </w:r>
    </w:p>
    <w:p w14:paraId="71CBD0F4">
      <w:pPr>
        <w:spacing w:line="273" w:lineRule="auto"/>
        <w:ind w:firstLine="420" w:firstLineChars="200"/>
        <w:rPr>
          <w:rFonts w:hint="eastAsia" w:ascii="宋体" w:hAnsi="宋体"/>
          <w:szCs w:val="21"/>
        </w:rPr>
      </w:pPr>
      <w:r>
        <w:rPr>
          <w:rFonts w:ascii="宋体" w:hAnsi="宋体"/>
          <w:szCs w:val="21"/>
        </w:rPr>
        <w:t>资质类别和等级：</w:t>
      </w:r>
      <w:r>
        <w:rPr>
          <w:rFonts w:ascii="宋体" w:hAnsi="宋体"/>
          <w:szCs w:val="21"/>
          <w:u w:val="single"/>
        </w:rPr>
        <w:t xml:space="preserve">                                 </w:t>
      </w:r>
      <w:r>
        <w:rPr>
          <w:rFonts w:ascii="宋体" w:hAnsi="宋体"/>
          <w:szCs w:val="21"/>
        </w:rPr>
        <w:t>；</w:t>
      </w:r>
    </w:p>
    <w:p w14:paraId="331C1202">
      <w:pPr>
        <w:spacing w:line="273" w:lineRule="auto"/>
        <w:ind w:firstLine="420" w:firstLineChars="200"/>
        <w:rPr>
          <w:rFonts w:hint="eastAsia" w:ascii="宋体" w:hAnsi="宋体"/>
          <w:szCs w:val="21"/>
        </w:rPr>
      </w:pPr>
      <w:r>
        <w:rPr>
          <w:rFonts w:ascii="宋体" w:hAnsi="宋体"/>
          <w:szCs w:val="21"/>
        </w:rPr>
        <w:t>联系电话：</w:t>
      </w:r>
      <w:r>
        <w:rPr>
          <w:rFonts w:ascii="宋体" w:hAnsi="宋体"/>
          <w:szCs w:val="21"/>
          <w:u w:val="single"/>
        </w:rPr>
        <w:t xml:space="preserve">                   </w:t>
      </w:r>
      <w:r>
        <w:rPr>
          <w:rFonts w:ascii="宋体" w:hAnsi="宋体"/>
          <w:szCs w:val="21"/>
        </w:rPr>
        <w:t>；</w:t>
      </w:r>
    </w:p>
    <w:p w14:paraId="56EBA9D2">
      <w:pPr>
        <w:spacing w:line="273" w:lineRule="auto"/>
        <w:ind w:firstLine="420" w:firstLineChars="200"/>
        <w:rPr>
          <w:rFonts w:hint="eastAsia" w:ascii="宋体" w:hAnsi="宋体"/>
          <w:szCs w:val="21"/>
        </w:rPr>
      </w:pPr>
      <w:r>
        <w:rPr>
          <w:rFonts w:ascii="宋体" w:hAnsi="宋体"/>
          <w:szCs w:val="21"/>
        </w:rPr>
        <w:t>电子信箱：</w:t>
      </w:r>
      <w:r>
        <w:rPr>
          <w:rFonts w:ascii="宋体" w:hAnsi="宋体"/>
          <w:szCs w:val="21"/>
          <w:u w:val="single"/>
        </w:rPr>
        <w:t xml:space="preserve">                      </w:t>
      </w:r>
      <w:r>
        <w:rPr>
          <w:rFonts w:ascii="宋体" w:hAnsi="宋体"/>
          <w:szCs w:val="21"/>
        </w:rPr>
        <w:t>；</w:t>
      </w:r>
    </w:p>
    <w:p w14:paraId="29DEC7FD">
      <w:pPr>
        <w:spacing w:line="273" w:lineRule="auto"/>
        <w:ind w:firstLine="420" w:firstLineChars="200"/>
        <w:rPr>
          <w:rFonts w:hint="eastAsia" w:ascii="宋体" w:hAnsi="宋体"/>
          <w:szCs w:val="21"/>
        </w:rPr>
      </w:pPr>
      <w:r>
        <w:rPr>
          <w:rFonts w:ascii="宋体" w:hAnsi="宋体"/>
          <w:szCs w:val="21"/>
        </w:rPr>
        <w:t>通信地址：</w:t>
      </w:r>
      <w:r>
        <w:rPr>
          <w:rFonts w:ascii="宋体" w:hAnsi="宋体"/>
          <w:szCs w:val="21"/>
          <w:u w:val="single"/>
        </w:rPr>
        <w:t>                                        </w:t>
      </w:r>
      <w:r>
        <w:rPr>
          <w:rFonts w:ascii="宋体" w:hAnsi="宋体"/>
          <w:szCs w:val="21"/>
        </w:rPr>
        <w:t>。</w:t>
      </w:r>
    </w:p>
    <w:p w14:paraId="62AB018F">
      <w:pPr>
        <w:spacing w:line="273" w:lineRule="auto"/>
        <w:ind w:firstLine="420" w:firstLineChars="200"/>
        <w:outlineLvl w:val="2"/>
        <w:rPr>
          <w:rFonts w:hint="eastAsia" w:ascii="宋体" w:hAnsi="宋体"/>
          <w:szCs w:val="21"/>
        </w:rPr>
      </w:pPr>
      <w:r>
        <w:rPr>
          <w:rFonts w:ascii="宋体" w:hAnsi="宋体"/>
          <w:szCs w:val="21"/>
        </w:rPr>
        <w:t>1.1.3 工程和设备</w:t>
      </w:r>
    </w:p>
    <w:p w14:paraId="5567C42F">
      <w:pPr>
        <w:spacing w:line="273" w:lineRule="auto"/>
        <w:ind w:firstLine="420" w:firstLineChars="200"/>
        <w:rPr>
          <w:rFonts w:hint="eastAsia" w:ascii="宋体" w:hAnsi="宋体"/>
          <w:szCs w:val="21"/>
        </w:rPr>
      </w:pPr>
      <w:r>
        <w:rPr>
          <w:rFonts w:ascii="宋体" w:hAnsi="宋体"/>
          <w:szCs w:val="21"/>
        </w:rPr>
        <w:t>1.1.3.7 作为施工现场组成部分的其他场所包括：</w:t>
      </w:r>
      <w:r>
        <w:rPr>
          <w:rFonts w:ascii="宋体" w:hAnsi="宋体"/>
          <w:szCs w:val="21"/>
          <w:u w:val="single"/>
        </w:rPr>
        <w:t xml:space="preserve">  现场临时办公及施工场地 </w:t>
      </w:r>
      <w:r>
        <w:rPr>
          <w:rFonts w:ascii="宋体" w:hAnsi="宋体"/>
          <w:szCs w:val="21"/>
        </w:rPr>
        <w:t>。</w:t>
      </w:r>
    </w:p>
    <w:p w14:paraId="08DE14DF">
      <w:pPr>
        <w:spacing w:line="273" w:lineRule="auto"/>
        <w:ind w:firstLine="420" w:firstLineChars="200"/>
        <w:jc w:val="left"/>
        <w:rPr>
          <w:rFonts w:hint="eastAsia" w:ascii="宋体" w:hAnsi="宋体"/>
          <w:kern w:val="0"/>
          <w:szCs w:val="21"/>
        </w:rPr>
      </w:pPr>
      <w:r>
        <w:rPr>
          <w:rFonts w:ascii="宋体" w:hAnsi="宋体"/>
          <w:kern w:val="0"/>
          <w:szCs w:val="21"/>
        </w:rPr>
        <w:t>1.1.3.9 永久占地包括：</w:t>
      </w:r>
      <w:r>
        <w:rPr>
          <w:rFonts w:ascii="宋体" w:hAnsi="宋体"/>
          <w:szCs w:val="21"/>
          <w:u w:val="single"/>
        </w:rPr>
        <w:t>指为实施本合同工程而需要的一切永久占用的土地。</w:t>
      </w:r>
    </w:p>
    <w:p w14:paraId="4AD361AA">
      <w:pPr>
        <w:spacing w:line="273" w:lineRule="auto"/>
        <w:ind w:firstLine="420" w:firstLineChars="200"/>
        <w:rPr>
          <w:rFonts w:hint="eastAsia" w:ascii="宋体" w:hAnsi="宋体"/>
          <w:szCs w:val="21"/>
          <w:u w:val="single"/>
        </w:rPr>
      </w:pPr>
      <w:r>
        <w:rPr>
          <w:rFonts w:ascii="宋体" w:hAnsi="宋体"/>
          <w:kern w:val="0"/>
          <w:szCs w:val="21"/>
        </w:rPr>
        <w:t>1.1.3.10 临时占地包括：</w:t>
      </w:r>
      <w:r>
        <w:rPr>
          <w:rFonts w:ascii="宋体" w:hAnsi="宋体"/>
          <w:szCs w:val="21"/>
          <w:u w:val="single"/>
        </w:rPr>
        <w:t>指为实施本合同工程而需要的一切临时占用的土地，包括施工所用的临时支线、便道、便桥和现场的临时出入通道，以及生产（办公）、生活等临时设施用地等。</w:t>
      </w:r>
    </w:p>
    <w:p w14:paraId="2A568882">
      <w:pPr>
        <w:spacing w:line="460" w:lineRule="exact"/>
        <w:rPr>
          <w:rFonts w:hint="eastAsia" w:ascii="汉鼎简楷体" w:hAnsi="宋体"/>
          <w:b/>
          <w:bCs/>
          <w:spacing w:val="4"/>
          <w:sz w:val="24"/>
          <w:u w:val="single"/>
        </w:rPr>
      </w:pPr>
      <w:r>
        <w:rPr>
          <w:rFonts w:ascii="汉鼎简楷体" w:hAnsi="宋体"/>
          <w:b/>
          <w:bCs/>
          <w:spacing w:val="4"/>
          <w:sz w:val="24"/>
        </w:rPr>
        <w:t xml:space="preserve">    </w:t>
      </w:r>
      <w:r>
        <w:rPr>
          <w:rFonts w:ascii="汉鼎简楷体" w:hAnsi="汉鼎简楷体"/>
          <w:b/>
          <w:bCs/>
          <w:spacing w:val="4"/>
          <w:sz w:val="24"/>
        </w:rPr>
        <w:t>1.1.3.10 临时占地包括：</w:t>
      </w:r>
      <w:r>
        <w:rPr>
          <w:rFonts w:ascii="汉鼎简楷体" w:hAnsi="汉鼎简楷体"/>
          <w:b/>
          <w:bCs/>
          <w:spacing w:val="4"/>
          <w:sz w:val="24"/>
          <w:u w:val="single"/>
        </w:rPr>
        <w:t>临时工程所占用的土地。</w:t>
      </w:r>
    </w:p>
    <w:p w14:paraId="54BF9D38">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 xml:space="preserve">1.3法律 </w:t>
      </w:r>
    </w:p>
    <w:p w14:paraId="55FF5DCF">
      <w:pPr>
        <w:spacing w:line="273" w:lineRule="auto"/>
        <w:ind w:firstLine="420" w:firstLineChars="200"/>
        <w:rPr>
          <w:rFonts w:hint="eastAsia" w:ascii="宋体" w:hAnsi="宋体"/>
          <w:szCs w:val="21"/>
        </w:rPr>
      </w:pPr>
      <w:r>
        <w:rPr>
          <w:rFonts w:ascii="宋体" w:hAnsi="宋体"/>
          <w:szCs w:val="21"/>
        </w:rPr>
        <w:t>适用于合同的其他规范性文件：</w:t>
      </w:r>
      <w:r>
        <w:rPr>
          <w:rFonts w:ascii="宋体" w:hAnsi="宋体"/>
          <w:szCs w:val="21"/>
          <w:u w:val="single"/>
        </w:rPr>
        <w:t>国家现行有关法律、法规，规章和河南省及郑州市现行有关法规，规章和规范性文件均对本合同有约束力。</w:t>
      </w:r>
    </w:p>
    <w:p w14:paraId="40BEC0B1">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1.4 标准和规范</w:t>
      </w:r>
    </w:p>
    <w:p w14:paraId="70F30EC1">
      <w:pPr>
        <w:spacing w:line="273" w:lineRule="auto"/>
        <w:ind w:firstLine="420" w:firstLineChars="200"/>
        <w:rPr>
          <w:rFonts w:hint="eastAsia" w:ascii="宋体" w:hAnsi="宋体"/>
          <w:szCs w:val="21"/>
          <w:u w:val="single"/>
        </w:rPr>
      </w:pPr>
      <w:r>
        <w:rPr>
          <w:rFonts w:ascii="宋体" w:hAnsi="宋体"/>
          <w:szCs w:val="21"/>
        </w:rPr>
        <w:t>1.4.1适用于工程的标准规范包括：</w:t>
      </w:r>
      <w:r>
        <w:rPr>
          <w:rFonts w:ascii="宋体" w:hAnsi="宋体"/>
          <w:szCs w:val="21"/>
          <w:u w:val="single"/>
        </w:rPr>
        <w:t>（1）本项目遵守设计图纸明确的技术规范；</w:t>
      </w:r>
    </w:p>
    <w:p w14:paraId="3789F4C1">
      <w:pPr>
        <w:spacing w:line="273" w:lineRule="auto"/>
        <w:rPr>
          <w:rFonts w:hint="eastAsia" w:ascii="宋体" w:hAnsi="宋体"/>
          <w:szCs w:val="21"/>
        </w:rPr>
      </w:pPr>
      <w:r>
        <w:rPr>
          <w:rFonts w:ascii="宋体" w:hAnsi="宋体"/>
          <w:szCs w:val="21"/>
          <w:u w:val="single"/>
        </w:rPr>
        <w:t>（2）执行国家现行的施工、质量检测及验收规范；（3）依照设计文件的要求，本招标工程项目的施工、材料、设备须达到现行中华人民共和国及省、自治区、直辖市或行业的现行工程建设标准和规范的要求。施工期间，如有新版的规范或标准颁布，原则上应执行新版的规范或标准，但应经过发包人同意。</w:t>
      </w:r>
    </w:p>
    <w:p w14:paraId="427F66A8">
      <w:pPr>
        <w:spacing w:line="273" w:lineRule="auto"/>
        <w:ind w:firstLine="420" w:firstLineChars="200"/>
        <w:rPr>
          <w:rFonts w:hint="eastAsia" w:ascii="宋体" w:hAnsi="宋体"/>
          <w:kern w:val="0"/>
          <w:szCs w:val="21"/>
        </w:rPr>
      </w:pPr>
      <w:r>
        <w:rPr>
          <w:rFonts w:ascii="宋体" w:hAnsi="宋体"/>
          <w:szCs w:val="21"/>
        </w:rPr>
        <w:t>1.4.2 发包人提供国外标准、规范的名称：</w:t>
      </w:r>
      <w:r>
        <w:rPr>
          <w:rFonts w:ascii="宋体" w:hAnsi="宋体"/>
          <w:szCs w:val="21"/>
          <w:u w:val="single"/>
        </w:rPr>
        <w:t xml:space="preserve">        </w:t>
      </w:r>
      <w:r>
        <w:rPr>
          <w:rFonts w:ascii="宋体" w:hAnsi="宋体"/>
          <w:kern w:val="0"/>
          <w:szCs w:val="21"/>
          <w:u w:val="single"/>
        </w:rPr>
        <w:t xml:space="preserve">        </w:t>
      </w:r>
      <w:r>
        <w:rPr>
          <w:rFonts w:ascii="宋体" w:hAnsi="宋体"/>
          <w:kern w:val="0"/>
          <w:szCs w:val="21"/>
        </w:rPr>
        <w:t>；</w:t>
      </w:r>
    </w:p>
    <w:p w14:paraId="2C920D01">
      <w:pPr>
        <w:spacing w:line="273" w:lineRule="auto"/>
        <w:ind w:firstLine="420" w:firstLineChars="200"/>
        <w:rPr>
          <w:rFonts w:hint="eastAsia" w:ascii="宋体" w:hAnsi="宋体"/>
          <w:kern w:val="0"/>
          <w:szCs w:val="21"/>
        </w:rPr>
      </w:pPr>
      <w:r>
        <w:rPr>
          <w:rFonts w:ascii="宋体" w:hAnsi="宋体"/>
          <w:kern w:val="0"/>
          <w:szCs w:val="21"/>
        </w:rPr>
        <w:t>发包人提供国外标准、规范的份数：</w:t>
      </w:r>
      <w:r>
        <w:rPr>
          <w:rFonts w:ascii="宋体" w:hAnsi="宋体"/>
          <w:kern w:val="0"/>
          <w:szCs w:val="21"/>
          <w:u w:val="single"/>
        </w:rPr>
        <w:t xml:space="preserve">                      </w:t>
      </w:r>
      <w:r>
        <w:rPr>
          <w:rFonts w:ascii="宋体" w:hAnsi="宋体"/>
          <w:kern w:val="0"/>
          <w:szCs w:val="21"/>
        </w:rPr>
        <w:t>；</w:t>
      </w:r>
    </w:p>
    <w:p w14:paraId="7A09AE42">
      <w:pPr>
        <w:spacing w:line="273" w:lineRule="auto"/>
        <w:ind w:firstLine="420" w:firstLineChars="200"/>
        <w:rPr>
          <w:rFonts w:hint="eastAsia" w:ascii="宋体" w:hAnsi="宋体"/>
          <w:szCs w:val="21"/>
        </w:rPr>
      </w:pPr>
      <w:r>
        <w:rPr>
          <w:rFonts w:ascii="宋体" w:hAnsi="宋体"/>
          <w:kern w:val="0"/>
          <w:szCs w:val="21"/>
        </w:rPr>
        <w:t>发包人提供国外标准、规范的名称：</w:t>
      </w:r>
      <w:r>
        <w:rPr>
          <w:rFonts w:ascii="宋体" w:hAnsi="宋体"/>
          <w:kern w:val="0"/>
          <w:szCs w:val="21"/>
          <w:u w:val="single"/>
        </w:rPr>
        <w:t xml:space="preserve">                      </w:t>
      </w:r>
      <w:r>
        <w:rPr>
          <w:rFonts w:ascii="宋体" w:hAnsi="宋体"/>
          <w:kern w:val="0"/>
          <w:szCs w:val="21"/>
        </w:rPr>
        <w:t>。</w:t>
      </w:r>
    </w:p>
    <w:p w14:paraId="606F2471">
      <w:pPr>
        <w:spacing w:line="273" w:lineRule="auto"/>
        <w:ind w:firstLine="420" w:firstLineChars="200"/>
        <w:rPr>
          <w:rFonts w:hint="eastAsia" w:ascii="宋体" w:hAnsi="宋体"/>
          <w:kern w:val="0"/>
          <w:szCs w:val="21"/>
        </w:rPr>
      </w:pPr>
      <w:r>
        <w:rPr>
          <w:rFonts w:ascii="宋体" w:hAnsi="宋体"/>
          <w:kern w:val="0"/>
          <w:szCs w:val="21"/>
        </w:rPr>
        <w:t>1.4.3发包人对工程的技术标准和功能要求的特殊要求：不低于现行施工质量验收规范合格标准，且需经发包人、监理单位、设计单位等验收认可。</w:t>
      </w:r>
    </w:p>
    <w:p w14:paraId="22D5F6AB">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1.5 合同文件的优先顺序</w:t>
      </w:r>
    </w:p>
    <w:p w14:paraId="0564BC04">
      <w:pPr>
        <w:spacing w:line="273" w:lineRule="auto"/>
        <w:ind w:firstLine="420" w:firstLineChars="200"/>
        <w:rPr>
          <w:rFonts w:hint="eastAsia" w:ascii="宋体" w:hAnsi="宋体"/>
          <w:szCs w:val="21"/>
          <w:u w:val="single"/>
        </w:rPr>
      </w:pPr>
      <w:r>
        <w:rPr>
          <w:rFonts w:ascii="宋体" w:hAnsi="宋体"/>
          <w:szCs w:val="21"/>
        </w:rPr>
        <w:t>合同文件组成及优先顺序为：</w:t>
      </w:r>
      <w:r>
        <w:rPr>
          <w:rFonts w:ascii="宋体" w:hAnsi="宋体"/>
          <w:szCs w:val="21"/>
          <w:u w:val="single"/>
        </w:rPr>
        <w:t>(1)合同协议书；(2)成交通知书；(3)磋商文件及其附件、招标答疑、承包人的单方承诺；（4）响应函及响应函附录及响应文件；(5)专用合同条款及其附件；(6)通用合同条款；(7) 技术标准和要求；(8)已标价工程量清单；(9)图纸；（10）发包方工程建设相关制度。</w:t>
      </w:r>
    </w:p>
    <w:p w14:paraId="048D9A48">
      <w:pPr>
        <w:spacing w:line="273" w:lineRule="auto"/>
        <w:ind w:firstLine="420" w:firstLineChars="200"/>
        <w:rPr>
          <w:rFonts w:hint="eastAsia" w:ascii="宋体" w:hAnsi="宋体"/>
          <w:szCs w:val="21"/>
          <w:u w:val="single"/>
        </w:rPr>
      </w:pPr>
      <w:r>
        <w:rPr>
          <w:rFonts w:ascii="宋体" w:hAnsi="宋体"/>
          <w:szCs w:val="21"/>
          <w:u w:val="single"/>
        </w:rPr>
        <w:t>说明、图纸与技术标准和要求之间有矛盾或者不一致的，以其中要求较严格的标准为准。</w:t>
      </w:r>
    </w:p>
    <w:p w14:paraId="476471CE">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1.6 图纸和承包人文件</w:t>
      </w:r>
      <w:r>
        <w:rPr>
          <w:rFonts w:ascii="黑体" w:hAnsi="宋体" w:eastAsia="黑体"/>
          <w:b/>
          <w:bCs/>
          <w:szCs w:val="21"/>
        </w:rPr>
        <w:tab/>
      </w:r>
    </w:p>
    <w:p w14:paraId="736EC7C5">
      <w:pPr>
        <w:spacing w:line="273" w:lineRule="auto"/>
        <w:ind w:firstLine="420" w:firstLineChars="200"/>
        <w:outlineLvl w:val="2"/>
        <w:rPr>
          <w:rFonts w:hint="eastAsia" w:ascii="宋体" w:hAnsi="宋体"/>
          <w:szCs w:val="21"/>
        </w:rPr>
      </w:pPr>
      <w:r>
        <w:rPr>
          <w:rFonts w:ascii="宋体" w:hAnsi="宋体"/>
          <w:szCs w:val="21"/>
        </w:rPr>
        <w:t>1.6.1 图纸的提供</w:t>
      </w:r>
    </w:p>
    <w:p w14:paraId="7BF2CBE5">
      <w:pPr>
        <w:spacing w:line="273" w:lineRule="auto"/>
        <w:ind w:firstLine="420" w:firstLineChars="200"/>
        <w:rPr>
          <w:rFonts w:hint="eastAsia" w:ascii="宋体" w:hAnsi="宋体"/>
          <w:szCs w:val="21"/>
        </w:rPr>
      </w:pPr>
      <w:r>
        <w:rPr>
          <w:rFonts w:ascii="宋体" w:hAnsi="宋体"/>
          <w:szCs w:val="21"/>
        </w:rPr>
        <w:t>发包人向承包人提供图纸的期限：</w:t>
      </w:r>
      <w:r>
        <w:rPr>
          <w:rFonts w:ascii="宋体" w:hAnsi="宋体"/>
          <w:szCs w:val="21"/>
          <w:u w:val="single"/>
        </w:rPr>
        <w:t>合同生效后5个工作日内；</w:t>
      </w:r>
    </w:p>
    <w:p w14:paraId="2C850FCC">
      <w:pPr>
        <w:spacing w:line="273" w:lineRule="auto"/>
        <w:ind w:firstLine="420" w:firstLineChars="200"/>
        <w:rPr>
          <w:rFonts w:hint="eastAsia" w:ascii="宋体" w:hAnsi="宋体"/>
          <w:szCs w:val="21"/>
        </w:rPr>
      </w:pPr>
      <w:r>
        <w:rPr>
          <w:rFonts w:ascii="宋体" w:hAnsi="宋体"/>
          <w:szCs w:val="21"/>
        </w:rPr>
        <w:t>发包人向承包人提供图纸的数量：</w:t>
      </w:r>
      <w:r>
        <w:rPr>
          <w:rFonts w:ascii="宋体" w:hAnsi="宋体"/>
          <w:szCs w:val="21"/>
          <w:u w:val="single"/>
        </w:rPr>
        <w:t>施工图2套。</w:t>
      </w:r>
    </w:p>
    <w:p w14:paraId="07BBC57A">
      <w:pPr>
        <w:spacing w:line="273" w:lineRule="auto"/>
        <w:ind w:firstLine="420" w:firstLineChars="200"/>
        <w:rPr>
          <w:rFonts w:hint="eastAsia" w:ascii="宋体" w:hAnsi="宋体"/>
          <w:szCs w:val="21"/>
        </w:rPr>
      </w:pPr>
      <w:r>
        <w:rPr>
          <w:rFonts w:ascii="宋体" w:hAnsi="宋体"/>
          <w:szCs w:val="21"/>
        </w:rPr>
        <w:t>发包人向承包人提供图纸的内容：</w:t>
      </w:r>
      <w:r>
        <w:rPr>
          <w:rFonts w:ascii="宋体" w:hAnsi="宋体"/>
          <w:szCs w:val="21"/>
          <w:u w:val="single"/>
        </w:rPr>
        <w:t>本项目施工范围内全部设计图纸</w:t>
      </w:r>
      <w:r>
        <w:rPr>
          <w:rFonts w:ascii="宋体" w:hAnsi="宋体"/>
          <w:szCs w:val="21"/>
        </w:rPr>
        <w:t>。</w:t>
      </w:r>
    </w:p>
    <w:p w14:paraId="49938DEB">
      <w:pPr>
        <w:spacing w:line="273" w:lineRule="auto"/>
        <w:ind w:firstLine="420" w:firstLineChars="200"/>
        <w:outlineLvl w:val="2"/>
        <w:rPr>
          <w:rFonts w:hint="eastAsia" w:ascii="宋体" w:hAnsi="宋体"/>
          <w:szCs w:val="21"/>
        </w:rPr>
      </w:pPr>
      <w:r>
        <w:rPr>
          <w:rFonts w:ascii="宋体" w:hAnsi="宋体"/>
          <w:szCs w:val="21"/>
        </w:rPr>
        <w:t>1.6.4 承包人文件</w:t>
      </w:r>
    </w:p>
    <w:p w14:paraId="3CB85DD8">
      <w:pPr>
        <w:spacing w:line="273" w:lineRule="auto"/>
        <w:ind w:firstLine="420" w:firstLineChars="200"/>
        <w:rPr>
          <w:rFonts w:hint="eastAsia" w:ascii="宋体" w:hAnsi="宋体"/>
          <w:szCs w:val="21"/>
        </w:rPr>
      </w:pPr>
      <w:r>
        <w:rPr>
          <w:rFonts w:ascii="宋体" w:hAnsi="宋体"/>
          <w:szCs w:val="21"/>
        </w:rPr>
        <w:t>需要由承包人提供的文件，包括：</w:t>
      </w:r>
      <w:r>
        <w:rPr>
          <w:rFonts w:ascii="宋体" w:hAnsi="宋体"/>
          <w:szCs w:val="21"/>
          <w:u w:val="single"/>
        </w:rPr>
        <w:t>按照监理人和发包人要求执行，包括施工组织设计等与本工程施工有关的文件（含关键部位节点大样图、加工图）</w:t>
      </w:r>
    </w:p>
    <w:p w14:paraId="07F4E969">
      <w:pPr>
        <w:spacing w:line="273" w:lineRule="auto"/>
        <w:ind w:firstLine="420" w:firstLineChars="200"/>
        <w:rPr>
          <w:rFonts w:hint="eastAsia" w:ascii="宋体" w:hAnsi="宋体"/>
          <w:szCs w:val="21"/>
        </w:rPr>
      </w:pPr>
      <w:r>
        <w:rPr>
          <w:rFonts w:ascii="宋体" w:hAnsi="宋体"/>
          <w:szCs w:val="21"/>
        </w:rPr>
        <w:t>承包人提供的文件的期限为：该文件使用前的【5】日。</w:t>
      </w:r>
      <w:r>
        <w:rPr>
          <w:rFonts w:ascii="宋体" w:hAnsi="宋体"/>
          <w:szCs w:val="21"/>
          <w:u w:val="single"/>
        </w:rPr>
        <w:t>按照发包人要求按时提供，保证不影响工程施工及办理相关手续；</w:t>
      </w:r>
    </w:p>
    <w:p w14:paraId="59AB0EA0">
      <w:pPr>
        <w:spacing w:line="273" w:lineRule="auto"/>
        <w:ind w:firstLine="420" w:firstLineChars="200"/>
        <w:rPr>
          <w:rFonts w:hint="eastAsia" w:ascii="宋体" w:hAnsi="宋体"/>
          <w:szCs w:val="21"/>
        </w:rPr>
      </w:pPr>
      <w:r>
        <w:rPr>
          <w:rFonts w:ascii="宋体" w:hAnsi="宋体"/>
          <w:szCs w:val="21"/>
        </w:rPr>
        <w:t>承包人提供的文件的数量为：</w:t>
      </w:r>
      <w:r>
        <w:rPr>
          <w:rFonts w:ascii="宋体" w:hAnsi="宋体"/>
          <w:szCs w:val="21"/>
          <w:u w:val="single"/>
        </w:rPr>
        <w:t>满足施工及办理相关手续要求的份数</w:t>
      </w:r>
      <w:r>
        <w:rPr>
          <w:rFonts w:ascii="宋体" w:hAnsi="宋体"/>
          <w:szCs w:val="21"/>
        </w:rPr>
        <w:t>；</w:t>
      </w:r>
    </w:p>
    <w:p w14:paraId="125CF3C8">
      <w:pPr>
        <w:spacing w:line="273" w:lineRule="auto"/>
        <w:ind w:firstLine="420" w:firstLineChars="200"/>
        <w:rPr>
          <w:rFonts w:hint="eastAsia" w:ascii="宋体" w:hAnsi="宋体"/>
          <w:szCs w:val="21"/>
        </w:rPr>
      </w:pPr>
      <w:r>
        <w:rPr>
          <w:rFonts w:ascii="宋体" w:hAnsi="宋体"/>
          <w:szCs w:val="21"/>
        </w:rPr>
        <w:t>承包人提供的文件的形式为：</w:t>
      </w:r>
      <w:r>
        <w:rPr>
          <w:rFonts w:ascii="宋体" w:hAnsi="宋体"/>
          <w:szCs w:val="21"/>
          <w:u w:val="single"/>
        </w:rPr>
        <w:t>满足施工及案例相关手续要求；</w:t>
      </w:r>
    </w:p>
    <w:p w14:paraId="13010977">
      <w:pPr>
        <w:spacing w:line="273" w:lineRule="auto"/>
        <w:ind w:firstLine="420" w:firstLineChars="200"/>
        <w:rPr>
          <w:rFonts w:hint="eastAsia" w:ascii="宋体" w:hAnsi="宋体"/>
          <w:szCs w:val="21"/>
        </w:rPr>
      </w:pPr>
      <w:r>
        <w:rPr>
          <w:rFonts w:ascii="宋体" w:hAnsi="宋体"/>
          <w:szCs w:val="21"/>
        </w:rPr>
        <w:t>发包人审批承包人文件的期限：</w:t>
      </w:r>
      <w:r>
        <w:rPr>
          <w:rFonts w:ascii="宋体" w:hAnsi="宋体"/>
          <w:szCs w:val="21"/>
          <w:u w:val="single"/>
        </w:rPr>
        <w:t>7个工作日，与工程设计有关时还应得到原设计单位的确认。</w:t>
      </w:r>
    </w:p>
    <w:p w14:paraId="29D4CA7C">
      <w:pPr>
        <w:spacing w:line="273" w:lineRule="auto"/>
        <w:ind w:firstLine="420" w:firstLineChars="200"/>
        <w:outlineLvl w:val="2"/>
        <w:rPr>
          <w:rFonts w:hint="eastAsia" w:ascii="宋体" w:hAnsi="宋体"/>
          <w:szCs w:val="21"/>
        </w:rPr>
      </w:pPr>
      <w:r>
        <w:rPr>
          <w:rFonts w:ascii="宋体" w:hAnsi="宋体"/>
          <w:szCs w:val="21"/>
        </w:rPr>
        <w:t>1.6.5 现场图纸准备</w:t>
      </w:r>
    </w:p>
    <w:p w14:paraId="6368CFFC">
      <w:pPr>
        <w:spacing w:line="273" w:lineRule="auto"/>
        <w:ind w:firstLine="420" w:firstLineChars="200"/>
        <w:rPr>
          <w:rFonts w:hint="eastAsia" w:ascii="宋体" w:hAnsi="宋体"/>
          <w:szCs w:val="21"/>
        </w:rPr>
      </w:pPr>
      <w:r>
        <w:rPr>
          <w:rFonts w:ascii="宋体" w:hAnsi="宋体"/>
          <w:szCs w:val="21"/>
        </w:rPr>
        <w:t>关于现场图纸准备的约定：</w:t>
      </w:r>
      <w:r>
        <w:rPr>
          <w:rFonts w:ascii="宋体" w:hAnsi="宋体"/>
          <w:szCs w:val="21"/>
          <w:u w:val="single"/>
        </w:rPr>
        <w:t>承包人应在施工现场另</w:t>
      </w:r>
      <w:r>
        <w:rPr>
          <w:rFonts w:ascii="宋体" w:hAnsi="宋体"/>
          <w:spacing w:val="-9"/>
          <w:szCs w:val="21"/>
          <w:u w:val="single"/>
        </w:rPr>
        <w:t>外保存一套完整的图纸和承包人文件，</w:t>
      </w:r>
      <w:r>
        <w:rPr>
          <w:rFonts w:ascii="宋体" w:hAnsi="宋体"/>
          <w:spacing w:val="-9"/>
          <w:kern w:val="0"/>
          <w:szCs w:val="21"/>
          <w:u w:val="single"/>
        </w:rPr>
        <w:t>供发包人、监理人及有关人员进行工程检查时使用</w:t>
      </w:r>
      <w:r>
        <w:rPr>
          <w:rFonts w:ascii="宋体" w:hAnsi="宋体"/>
          <w:szCs w:val="21"/>
          <w:u w:val="single"/>
        </w:rPr>
        <w:t xml:space="preserve"> </w:t>
      </w:r>
      <w:r>
        <w:rPr>
          <w:rFonts w:ascii="宋体" w:hAnsi="宋体"/>
          <w:szCs w:val="21"/>
        </w:rPr>
        <w:t>。</w:t>
      </w:r>
    </w:p>
    <w:p w14:paraId="46FFE7B0">
      <w:pPr>
        <w:spacing w:line="273" w:lineRule="auto"/>
        <w:ind w:firstLine="420" w:firstLineChars="200"/>
        <w:rPr>
          <w:rFonts w:hint="eastAsia" w:ascii="宋体" w:hAnsi="宋体"/>
          <w:szCs w:val="21"/>
        </w:rPr>
      </w:pPr>
      <w:r>
        <w:rPr>
          <w:rFonts w:ascii="宋体" w:hAnsi="宋体"/>
          <w:szCs w:val="21"/>
        </w:rPr>
        <w:t>（1）任何施工图纸必须经发包人专门确认，未经发包人确认的图纸无效。</w:t>
      </w:r>
    </w:p>
    <w:p w14:paraId="62682F6A">
      <w:pPr>
        <w:spacing w:line="273" w:lineRule="auto"/>
        <w:ind w:firstLine="420" w:firstLineChars="200"/>
        <w:rPr>
          <w:rFonts w:hint="eastAsia" w:ascii="宋体" w:hAnsi="宋体"/>
          <w:szCs w:val="21"/>
        </w:rPr>
      </w:pPr>
      <w:r>
        <w:rPr>
          <w:rFonts w:ascii="宋体" w:hAnsi="宋体"/>
          <w:szCs w:val="21"/>
        </w:rPr>
        <w:t>（2）承包人只能从监理人处获得图纸；发包人应首先将图纸送达监理人；经监理人审核后，再发送给承包人。</w:t>
      </w:r>
    </w:p>
    <w:p w14:paraId="51EFE59A">
      <w:pPr>
        <w:spacing w:line="273" w:lineRule="auto"/>
        <w:ind w:firstLine="420" w:firstLineChars="200"/>
        <w:rPr>
          <w:rFonts w:hint="eastAsia" w:ascii="宋体" w:hAnsi="宋体"/>
          <w:szCs w:val="21"/>
        </w:rPr>
      </w:pPr>
      <w:r>
        <w:rPr>
          <w:rFonts w:ascii="宋体" w:hAnsi="宋体"/>
          <w:szCs w:val="21"/>
        </w:rPr>
        <w:t>（3）除第（1）条规定的渠道外，承包人从任何其他渠道获得图纸并实施的行为，应由承包人自行承担责任；对于这类工程，监理人不得允许承包人实施。</w:t>
      </w:r>
    </w:p>
    <w:p w14:paraId="7B481497">
      <w:pPr>
        <w:spacing w:line="273" w:lineRule="auto"/>
        <w:ind w:firstLine="420" w:firstLineChars="200"/>
        <w:rPr>
          <w:rFonts w:hint="eastAsia" w:ascii="宋体" w:hAnsi="宋体"/>
          <w:szCs w:val="21"/>
        </w:rPr>
      </w:pPr>
      <w:r>
        <w:rPr>
          <w:rFonts w:ascii="宋体" w:hAnsi="宋体"/>
          <w:szCs w:val="21"/>
        </w:rPr>
        <w:t>（4）因发包人确认的设计调整造成工程项目或数量变化，承包人必须无条件地接受并实施完成。</w:t>
      </w:r>
    </w:p>
    <w:p w14:paraId="174AE848">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1.7 联络</w:t>
      </w:r>
    </w:p>
    <w:p w14:paraId="2FBDDCB6">
      <w:pPr>
        <w:spacing w:line="273" w:lineRule="auto"/>
        <w:ind w:firstLine="420" w:firstLineChars="200"/>
        <w:rPr>
          <w:rFonts w:hint="eastAsia" w:ascii="宋体" w:hAnsi="宋体"/>
          <w:kern w:val="0"/>
          <w:szCs w:val="21"/>
        </w:rPr>
      </w:pPr>
      <w:r>
        <w:rPr>
          <w:rFonts w:ascii="宋体" w:hAnsi="宋体"/>
          <w:kern w:val="0"/>
          <w:szCs w:val="21"/>
        </w:rPr>
        <w:t>1.7.1发包人和承包人应当在</w:t>
      </w:r>
      <w:r>
        <w:rPr>
          <w:rFonts w:ascii="宋体" w:hAnsi="宋体"/>
          <w:szCs w:val="21"/>
          <w:u w:val="single"/>
        </w:rPr>
        <w:t xml:space="preserve">合同约定发出期限的2 </w:t>
      </w:r>
      <w:r>
        <w:rPr>
          <w:rFonts w:ascii="宋体" w:hAnsi="宋体"/>
          <w:kern w:val="0"/>
          <w:szCs w:val="21"/>
        </w:rPr>
        <w:t>天内将与合同有关的通知、批准、证明、证书、指示、指令、要求、请求、同意、意见、确定和决定等书面函件送达对方当事人。</w:t>
      </w:r>
    </w:p>
    <w:p w14:paraId="21C901B1">
      <w:pPr>
        <w:spacing w:line="273" w:lineRule="auto"/>
        <w:ind w:firstLine="420" w:firstLineChars="200"/>
        <w:rPr>
          <w:rFonts w:hint="eastAsia" w:ascii="宋体" w:hAnsi="宋体"/>
          <w:kern w:val="0"/>
          <w:szCs w:val="21"/>
        </w:rPr>
      </w:pPr>
      <w:r>
        <w:rPr>
          <w:rFonts w:ascii="宋体" w:hAnsi="宋体"/>
          <w:kern w:val="0"/>
          <w:szCs w:val="21"/>
        </w:rPr>
        <w:t>1.7.2 发包人接收文件的地点：河南省郑州市金水区郑花路29号中国人民银行郑州培训学院；</w:t>
      </w:r>
    </w:p>
    <w:p w14:paraId="3752B965">
      <w:pPr>
        <w:spacing w:line="273" w:lineRule="auto"/>
        <w:ind w:firstLine="420" w:firstLineChars="200"/>
        <w:rPr>
          <w:rFonts w:hint="eastAsia" w:ascii="宋体" w:hAnsi="宋体"/>
          <w:kern w:val="0"/>
          <w:szCs w:val="21"/>
        </w:rPr>
      </w:pPr>
      <w:r>
        <w:rPr>
          <w:rFonts w:ascii="宋体" w:hAnsi="宋体"/>
          <w:kern w:val="0"/>
          <w:szCs w:val="21"/>
        </w:rPr>
        <w:t>发包人指定的接收人为：</w:t>
      </w:r>
      <w:r>
        <w:rPr>
          <w:rFonts w:ascii="宋体" w:hAnsi="宋体"/>
          <w:kern w:val="0"/>
          <w:szCs w:val="21"/>
          <w:u w:val="single"/>
        </w:rPr>
        <w:t> 发包人代表</w:t>
      </w:r>
      <w:r>
        <w:rPr>
          <w:rFonts w:ascii="宋体" w:hAnsi="宋体"/>
          <w:kern w:val="0"/>
          <w:szCs w:val="21"/>
        </w:rPr>
        <w:t>；</w:t>
      </w:r>
    </w:p>
    <w:p w14:paraId="7B9F2637">
      <w:pPr>
        <w:spacing w:line="273" w:lineRule="auto"/>
        <w:ind w:firstLine="420" w:firstLineChars="200"/>
        <w:rPr>
          <w:rFonts w:hint="eastAsia" w:ascii="宋体" w:hAnsi="宋体"/>
          <w:kern w:val="0"/>
          <w:szCs w:val="21"/>
        </w:rPr>
      </w:pPr>
      <w:r>
        <w:rPr>
          <w:rFonts w:ascii="宋体" w:hAnsi="宋体"/>
          <w:kern w:val="0"/>
          <w:szCs w:val="21"/>
        </w:rPr>
        <w:t>承包人接收文件的地点：</w:t>
      </w:r>
      <w:r>
        <w:rPr>
          <w:rFonts w:ascii="宋体" w:hAnsi="宋体"/>
          <w:kern w:val="0"/>
          <w:szCs w:val="21"/>
          <w:u w:val="single"/>
        </w:rPr>
        <w:t> 现场项目部</w:t>
      </w:r>
      <w:r>
        <w:rPr>
          <w:rFonts w:ascii="宋体" w:hAnsi="宋体"/>
          <w:kern w:val="0"/>
          <w:szCs w:val="21"/>
        </w:rPr>
        <w:t>；</w:t>
      </w:r>
    </w:p>
    <w:p w14:paraId="2389F39C">
      <w:pPr>
        <w:spacing w:line="273" w:lineRule="auto"/>
        <w:ind w:firstLine="420" w:firstLineChars="200"/>
        <w:rPr>
          <w:rFonts w:hint="eastAsia" w:ascii="宋体" w:hAnsi="宋体"/>
          <w:kern w:val="0"/>
          <w:szCs w:val="21"/>
        </w:rPr>
      </w:pPr>
      <w:r>
        <w:rPr>
          <w:rFonts w:ascii="宋体" w:hAnsi="宋体"/>
          <w:kern w:val="0"/>
          <w:szCs w:val="21"/>
        </w:rPr>
        <w:t>承包人指定的接收人为：</w:t>
      </w:r>
      <w:r>
        <w:rPr>
          <w:rFonts w:ascii="宋体" w:hAnsi="宋体"/>
          <w:kern w:val="0"/>
          <w:szCs w:val="21"/>
          <w:u w:val="single"/>
        </w:rPr>
        <w:t>承包人代表 </w:t>
      </w:r>
      <w:r>
        <w:rPr>
          <w:rFonts w:ascii="宋体" w:hAnsi="宋体"/>
          <w:kern w:val="0"/>
          <w:szCs w:val="21"/>
        </w:rPr>
        <w:t>。</w:t>
      </w:r>
    </w:p>
    <w:p w14:paraId="7E53633D">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1.10 交通运输</w:t>
      </w:r>
    </w:p>
    <w:p w14:paraId="60130482">
      <w:pPr>
        <w:spacing w:line="273" w:lineRule="auto"/>
        <w:ind w:firstLine="420" w:firstLineChars="200"/>
        <w:outlineLvl w:val="2"/>
        <w:rPr>
          <w:rFonts w:hint="eastAsia" w:ascii="宋体" w:hAnsi="宋体"/>
          <w:szCs w:val="21"/>
        </w:rPr>
      </w:pPr>
      <w:r>
        <w:rPr>
          <w:rFonts w:ascii="宋体" w:hAnsi="宋体"/>
          <w:szCs w:val="21"/>
        </w:rPr>
        <w:t>1.10.1 出入现场的权利</w:t>
      </w:r>
    </w:p>
    <w:p w14:paraId="54A0D80D">
      <w:pPr>
        <w:spacing w:line="273" w:lineRule="auto"/>
        <w:ind w:firstLine="420" w:firstLineChars="200"/>
        <w:jc w:val="left"/>
        <w:rPr>
          <w:rFonts w:hint="eastAsia" w:ascii="宋体" w:hAnsi="宋体"/>
          <w:szCs w:val="21"/>
        </w:rPr>
      </w:pPr>
      <w:r>
        <w:rPr>
          <w:rFonts w:ascii="宋体" w:hAnsi="宋体"/>
          <w:szCs w:val="21"/>
        </w:rPr>
        <w:t>关于出入现场的权利的约定：</w:t>
      </w:r>
      <w:r>
        <w:rPr>
          <w:rFonts w:ascii="宋体" w:hAnsi="宋体"/>
          <w:szCs w:val="21"/>
          <w:u w:val="single"/>
        </w:rPr>
        <w:t>承包人根据工程规模及技术参数合理预见工程施工所需的进出施工现场的方式、手段、路径等。出入现场的批准手续、所需条件和相关费用，由承包人负责。因承包人未合理预见所增加的费用和（或）延误的工期亦由承包人承</w:t>
      </w:r>
      <w:r>
        <w:rPr>
          <w:rFonts w:ascii="宋体" w:hAnsi="宋体"/>
          <w:kern w:val="0"/>
          <w:szCs w:val="21"/>
          <w:u w:val="single"/>
        </w:rPr>
        <w:t>担。承包人有义务保障发包人、监理人及其批准的人员因工作需要而随时进入现场。承包人应为出入现场人员办理出入证件，并严格证件管理，接受发包人监督检查</w:t>
      </w:r>
      <w:r>
        <w:rPr>
          <w:rFonts w:ascii="宋体" w:hAnsi="宋体"/>
          <w:b/>
          <w:bCs/>
          <w:szCs w:val="21"/>
        </w:rPr>
        <w:t>。</w:t>
      </w:r>
    </w:p>
    <w:p w14:paraId="398D48FC">
      <w:pPr>
        <w:spacing w:line="273" w:lineRule="auto"/>
        <w:ind w:firstLine="420" w:firstLineChars="200"/>
        <w:outlineLvl w:val="2"/>
        <w:rPr>
          <w:rFonts w:hint="eastAsia" w:ascii="宋体" w:hAnsi="宋体"/>
          <w:szCs w:val="21"/>
        </w:rPr>
      </w:pPr>
      <w:r>
        <w:rPr>
          <w:rFonts w:ascii="宋体" w:hAnsi="宋体"/>
          <w:szCs w:val="21"/>
        </w:rPr>
        <w:t>1.10.3 场内交通</w:t>
      </w:r>
    </w:p>
    <w:p w14:paraId="7C35B25A">
      <w:pPr>
        <w:spacing w:line="273" w:lineRule="auto"/>
        <w:ind w:firstLine="422" w:firstLineChars="200"/>
        <w:jc w:val="left"/>
        <w:rPr>
          <w:rFonts w:hint="eastAsia" w:ascii="宋体" w:hAnsi="宋体"/>
          <w:b/>
          <w:bCs/>
          <w:kern w:val="0"/>
          <w:szCs w:val="21"/>
          <w:u w:val="single"/>
        </w:rPr>
      </w:pPr>
      <w:r>
        <w:rPr>
          <w:rFonts w:ascii="宋体" w:hAnsi="宋体"/>
          <w:b/>
          <w:bCs/>
          <w:kern w:val="0"/>
          <w:szCs w:val="21"/>
          <w:u w:val="single"/>
        </w:rPr>
        <w:t>关于场外交通和场内交通的边界的约定：以发包人现场要求为准。</w:t>
      </w:r>
    </w:p>
    <w:p w14:paraId="3308197D">
      <w:pPr>
        <w:spacing w:line="273" w:lineRule="auto"/>
        <w:ind w:firstLine="420" w:firstLineChars="200"/>
        <w:jc w:val="left"/>
        <w:rPr>
          <w:rFonts w:hint="eastAsia" w:ascii="宋体" w:hAnsi="宋体"/>
          <w:szCs w:val="21"/>
        </w:rPr>
      </w:pPr>
      <w:r>
        <w:rPr>
          <w:rFonts w:ascii="宋体" w:hAnsi="宋体"/>
          <w:szCs w:val="21"/>
        </w:rPr>
        <w:t>关于发包人向承包人免费提供满足工程施工需要的场内道路和交通设施的约定：</w:t>
      </w:r>
      <w:r>
        <w:rPr>
          <w:rFonts w:ascii="宋体" w:hAnsi="宋体"/>
          <w:b/>
          <w:bCs/>
          <w:szCs w:val="21"/>
          <w:u w:val="single"/>
        </w:rPr>
        <w:t xml:space="preserve"> </w:t>
      </w:r>
      <w:r>
        <w:rPr>
          <w:rFonts w:ascii="宋体" w:hAnsi="宋体"/>
          <w:szCs w:val="21"/>
          <w:u w:val="single"/>
        </w:rPr>
        <w:t>发包人应向承包人免费提供满足工程施工所需的场内道路和交通设施。因承包人原因造成发包人院区内道路或交通设施损坏的，承包人负责修复并承担由此产生的费用。场内外交通状况承包人已经明知，发包人不承担任何场内外交通原因导致的索赔（包括工期索赔和工程款索赔）。</w:t>
      </w:r>
      <w:r>
        <w:rPr>
          <w:rFonts w:ascii="宋体" w:hAnsi="宋体"/>
          <w:szCs w:val="21"/>
        </w:rPr>
        <w:t xml:space="preserve"> </w:t>
      </w:r>
      <w:r>
        <w:rPr>
          <w:rFonts w:ascii="宋体" w:hAnsi="宋体"/>
          <w:b/>
          <w:bCs/>
          <w:szCs w:val="21"/>
        </w:rPr>
        <w:t xml:space="preserve"> </w:t>
      </w:r>
    </w:p>
    <w:p w14:paraId="58C68E60">
      <w:pPr>
        <w:spacing w:line="273" w:lineRule="auto"/>
        <w:ind w:firstLine="420" w:firstLineChars="200"/>
        <w:jc w:val="left"/>
        <w:outlineLvl w:val="2"/>
        <w:rPr>
          <w:rFonts w:hint="eastAsia" w:ascii="宋体" w:hAnsi="宋体"/>
          <w:szCs w:val="21"/>
        </w:rPr>
      </w:pPr>
      <w:r>
        <w:rPr>
          <w:rFonts w:ascii="宋体" w:hAnsi="宋体"/>
          <w:szCs w:val="21"/>
        </w:rPr>
        <w:t>1.10.4超大件和超重件的运输</w:t>
      </w:r>
    </w:p>
    <w:p w14:paraId="5450DB08">
      <w:pPr>
        <w:spacing w:line="273" w:lineRule="auto"/>
        <w:ind w:firstLine="420" w:firstLineChars="200"/>
        <w:jc w:val="left"/>
        <w:rPr>
          <w:rFonts w:hint="eastAsia" w:ascii="宋体" w:hAnsi="宋体"/>
          <w:szCs w:val="21"/>
          <w:u w:val="single"/>
        </w:rPr>
      </w:pPr>
      <w:r>
        <w:rPr>
          <w:rFonts w:ascii="宋体" w:hAnsi="宋体"/>
          <w:szCs w:val="21"/>
        </w:rPr>
        <w:t>运输超大件或超重件所需的道路和桥梁临时加固改造费用和其他有关费用由</w:t>
      </w:r>
      <w:r>
        <w:rPr>
          <w:rFonts w:ascii="宋体" w:hAnsi="宋体"/>
          <w:szCs w:val="21"/>
          <w:u w:val="single"/>
        </w:rPr>
        <w:t xml:space="preserve"> 承包人承担，费用包含在合同价内，发包人不再另行支付。</w:t>
      </w:r>
    </w:p>
    <w:p w14:paraId="3CEF99CC">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1.11 知识产权</w:t>
      </w:r>
    </w:p>
    <w:p w14:paraId="4EEC036C">
      <w:pPr>
        <w:spacing w:line="273" w:lineRule="auto"/>
        <w:ind w:firstLine="420" w:firstLineChars="200"/>
        <w:rPr>
          <w:rFonts w:hint="eastAsia" w:ascii="宋体" w:hAnsi="宋体"/>
          <w:szCs w:val="21"/>
        </w:rPr>
      </w:pPr>
      <w:r>
        <w:rPr>
          <w:rFonts w:ascii="宋体" w:hAnsi="宋体"/>
          <w:szCs w:val="21"/>
        </w:rPr>
        <w:t>1.11.1关于发包人提供给承包人的图纸、发包人为实施工程自行编制或委托编制的技术规范以及反映发包人关于合同要求或其他类似性质的文件的著作权的归属：</w:t>
      </w:r>
      <w:r>
        <w:rPr>
          <w:rFonts w:ascii="宋体" w:hAnsi="宋体"/>
          <w:szCs w:val="21"/>
          <w:u w:val="single"/>
        </w:rPr>
        <w:t xml:space="preserve">发包人所有  </w:t>
      </w:r>
      <w:r>
        <w:rPr>
          <w:rFonts w:ascii="宋体" w:hAnsi="宋体"/>
          <w:szCs w:val="21"/>
        </w:rPr>
        <w:t>。</w:t>
      </w:r>
    </w:p>
    <w:p w14:paraId="4F4C17AE">
      <w:pPr>
        <w:spacing w:line="273" w:lineRule="auto"/>
        <w:ind w:firstLine="420" w:firstLineChars="200"/>
        <w:rPr>
          <w:rFonts w:hint="eastAsia" w:ascii="宋体" w:hAnsi="宋体"/>
          <w:szCs w:val="21"/>
        </w:rPr>
      </w:pPr>
      <w:r>
        <w:rPr>
          <w:rFonts w:ascii="宋体" w:hAnsi="宋体"/>
          <w:szCs w:val="21"/>
        </w:rPr>
        <w:t>关于发包人提供的上述文件的使用限制的要求：</w:t>
      </w:r>
      <w:r>
        <w:rPr>
          <w:rFonts w:ascii="宋体" w:hAnsi="宋体"/>
          <w:szCs w:val="21"/>
          <w:u w:val="single"/>
        </w:rPr>
        <w:t xml:space="preserve">  按通用合同条款1.11.1条执行（未经发包人书面同意，承包人不得为了合同以外的（包括申报奖项或者公开推广宣传）目的而复制、使用上述文件或将之提供给任何第三方，也不得因任何故意或者过失侵犯发包人的知识产权、项目商业利益及其他合法权益）   </w:t>
      </w:r>
      <w:r>
        <w:rPr>
          <w:rFonts w:ascii="宋体" w:hAnsi="宋体"/>
          <w:szCs w:val="21"/>
        </w:rPr>
        <w:t>。</w:t>
      </w:r>
    </w:p>
    <w:p w14:paraId="3535590F">
      <w:pPr>
        <w:spacing w:line="273" w:lineRule="auto"/>
        <w:ind w:firstLine="420" w:firstLineChars="200"/>
        <w:rPr>
          <w:rFonts w:hint="eastAsia" w:ascii="宋体" w:hAnsi="宋体"/>
          <w:szCs w:val="21"/>
        </w:rPr>
      </w:pPr>
      <w:r>
        <w:rPr>
          <w:rFonts w:ascii="宋体" w:hAnsi="宋体"/>
          <w:szCs w:val="21"/>
        </w:rPr>
        <w:t>1.11.2 关于承包人为实施工程所编制文件的著作权的归属：</w:t>
      </w:r>
      <w:r>
        <w:rPr>
          <w:rFonts w:ascii="宋体" w:hAnsi="宋体"/>
          <w:szCs w:val="21"/>
          <w:u w:val="single"/>
        </w:rPr>
        <w:t xml:space="preserve">  发包人所有</w:t>
      </w:r>
      <w:r>
        <w:rPr>
          <w:rFonts w:ascii="宋体" w:hAnsi="宋体"/>
          <w:szCs w:val="21"/>
        </w:rPr>
        <w:t>。</w:t>
      </w:r>
    </w:p>
    <w:p w14:paraId="5AA66F09">
      <w:pPr>
        <w:spacing w:line="273" w:lineRule="auto"/>
        <w:ind w:firstLine="420" w:firstLineChars="200"/>
        <w:rPr>
          <w:rFonts w:hint="eastAsia" w:ascii="宋体" w:hAnsi="宋体"/>
          <w:szCs w:val="21"/>
        </w:rPr>
      </w:pPr>
      <w:r>
        <w:rPr>
          <w:rFonts w:ascii="宋体" w:hAnsi="宋体"/>
          <w:szCs w:val="21"/>
        </w:rPr>
        <w:t>关于承包人提供的上述文件的使用限制的要求：</w:t>
      </w:r>
      <w:r>
        <w:rPr>
          <w:rFonts w:ascii="宋体" w:hAnsi="宋体"/>
          <w:b/>
          <w:bCs/>
          <w:szCs w:val="21"/>
          <w:u w:val="single"/>
        </w:rPr>
        <w:t xml:space="preserve"> </w:t>
      </w:r>
      <w:r>
        <w:rPr>
          <w:rFonts w:ascii="宋体" w:hAnsi="宋体"/>
          <w:szCs w:val="21"/>
          <w:u w:val="single"/>
        </w:rPr>
        <w:t>承包人可因实施工程的运行、调试、维修、改造等目的而复制、使用此类文件，但不能用于与合同无关的其他事项。未经发包人书面同意，承包人不得为了合同以外的目的而复制、使用上述文件或将之提供给任何第三方</w:t>
      </w:r>
      <w:r>
        <w:rPr>
          <w:rFonts w:ascii="宋体" w:hAnsi="宋体"/>
          <w:szCs w:val="21"/>
        </w:rPr>
        <w:t>，</w:t>
      </w:r>
      <w:r>
        <w:rPr>
          <w:rFonts w:ascii="宋体" w:hAnsi="宋体"/>
          <w:szCs w:val="21"/>
          <w:u w:val="single"/>
        </w:rPr>
        <w:t>也不得因任何故意或者过失侵犯发包人的知识产权、项目商业利益及其他合法权益</w:t>
      </w:r>
      <w:r>
        <w:rPr>
          <w:rFonts w:ascii="宋体" w:hAnsi="宋体"/>
          <w:szCs w:val="21"/>
        </w:rPr>
        <w:t>。</w:t>
      </w:r>
    </w:p>
    <w:p w14:paraId="3DFE9D43">
      <w:pPr>
        <w:spacing w:line="273" w:lineRule="auto"/>
        <w:ind w:firstLine="420" w:firstLineChars="200"/>
        <w:rPr>
          <w:rFonts w:hint="eastAsia" w:ascii="宋体" w:hAnsi="宋体"/>
          <w:kern w:val="0"/>
          <w:szCs w:val="21"/>
        </w:rPr>
      </w:pPr>
      <w:r>
        <w:rPr>
          <w:rFonts w:ascii="宋体" w:hAnsi="宋体"/>
          <w:szCs w:val="21"/>
        </w:rPr>
        <w:t>1.11.4 承包人在施工过程中所采用的专利、专有技术、技术秘密的使用费的承担方式：</w:t>
      </w:r>
      <w:r>
        <w:rPr>
          <w:rFonts w:ascii="宋体" w:hAnsi="宋体"/>
          <w:szCs w:val="21"/>
          <w:u w:val="single"/>
        </w:rPr>
        <w:t xml:space="preserve">          均视为已包含在签约合同价中，由承包人自行承担，发包人不另行支付 </w:t>
      </w:r>
      <w:r>
        <w:rPr>
          <w:rFonts w:ascii="宋体" w:hAnsi="宋体"/>
          <w:kern w:val="0"/>
          <w:szCs w:val="21"/>
        </w:rPr>
        <w:t>。</w:t>
      </w:r>
    </w:p>
    <w:p w14:paraId="6BE3E9E1">
      <w:pPr>
        <w:spacing w:line="273" w:lineRule="auto"/>
        <w:ind w:firstLine="420" w:firstLineChars="200"/>
        <w:rPr>
          <w:rFonts w:hint="eastAsia" w:ascii="宋体" w:hAnsi="宋体"/>
          <w:szCs w:val="21"/>
        </w:rPr>
      </w:pPr>
      <w:r>
        <w:rPr>
          <w:rFonts w:ascii="宋体" w:hAnsi="宋体"/>
          <w:szCs w:val="21"/>
        </w:rPr>
        <w:t>因知识产权纠纷影响工程进度和工程质量的，由责任方承担责任，该等责任包括但不限于误期责任、赔偿责任、处罚责任等所有责任。</w:t>
      </w:r>
    </w:p>
    <w:p w14:paraId="21905513">
      <w:pPr>
        <w:spacing w:line="273" w:lineRule="auto"/>
        <w:ind w:firstLine="422" w:firstLineChars="200"/>
        <w:outlineLvl w:val="1"/>
        <w:rPr>
          <w:rFonts w:hint="eastAsia" w:ascii="宋体" w:hAnsi="宋体"/>
          <w:b/>
          <w:bCs/>
          <w:szCs w:val="21"/>
        </w:rPr>
      </w:pPr>
      <w:r>
        <w:rPr>
          <w:rFonts w:ascii="宋体" w:hAnsi="宋体"/>
          <w:b/>
          <w:bCs/>
          <w:szCs w:val="21"/>
        </w:rPr>
        <w:t>1.13工程量清单错误的修正</w:t>
      </w:r>
    </w:p>
    <w:p w14:paraId="391C88F4">
      <w:pPr>
        <w:spacing w:line="273" w:lineRule="auto"/>
        <w:ind w:firstLine="422" w:firstLineChars="200"/>
        <w:rPr>
          <w:rFonts w:hint="eastAsia" w:ascii="宋体" w:hAnsi="宋体"/>
          <w:b/>
          <w:bCs/>
          <w:szCs w:val="21"/>
          <w:u w:val="single"/>
        </w:rPr>
      </w:pPr>
      <w:r>
        <w:rPr>
          <w:rFonts w:ascii="宋体" w:hAnsi="宋体"/>
          <w:b/>
          <w:bCs/>
          <w:szCs w:val="21"/>
          <w:u w:val="single"/>
        </w:rPr>
        <w:t>出现工程量清单错误时，是否调整合同价格：_否 。</w:t>
      </w:r>
    </w:p>
    <w:p w14:paraId="16BEC452">
      <w:pPr>
        <w:spacing w:line="273" w:lineRule="auto"/>
        <w:ind w:firstLine="422" w:firstLineChars="200"/>
        <w:rPr>
          <w:rFonts w:hint="eastAsia" w:ascii="宋体" w:hAnsi="宋体"/>
          <w:b/>
          <w:bCs/>
          <w:szCs w:val="21"/>
          <w:u w:val="single"/>
        </w:rPr>
      </w:pPr>
      <w:r>
        <w:rPr>
          <w:rFonts w:ascii="宋体" w:hAnsi="宋体"/>
          <w:b/>
          <w:bCs/>
          <w:szCs w:val="21"/>
          <w:u w:val="single"/>
        </w:rPr>
        <w:t>允许调整合同价格的工程量偏差范围：不允许  。</w:t>
      </w:r>
    </w:p>
    <w:p w14:paraId="2F7E42CD">
      <w:pPr>
        <w:spacing w:line="273" w:lineRule="auto"/>
        <w:outlineLvl w:val="0"/>
        <w:rPr>
          <w:rFonts w:hint="eastAsia" w:ascii="黑体" w:hAnsi="宋体" w:eastAsia="黑体"/>
          <w:b/>
          <w:bCs/>
          <w:szCs w:val="21"/>
        </w:rPr>
      </w:pPr>
      <w:r>
        <w:rPr>
          <w:rFonts w:ascii="黑体" w:hAnsi="宋体" w:eastAsia="黑体"/>
          <w:b/>
          <w:bCs/>
          <w:szCs w:val="21"/>
        </w:rPr>
        <w:t>2. 发包人</w:t>
      </w:r>
    </w:p>
    <w:p w14:paraId="19D5711E">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2.2 发包人代表</w:t>
      </w:r>
    </w:p>
    <w:p w14:paraId="2C6139AE">
      <w:pPr>
        <w:spacing w:line="460" w:lineRule="exact"/>
        <w:rPr>
          <w:rFonts w:hint="eastAsia" w:ascii="汉鼎简楷体" w:hAnsi="宋体"/>
          <w:b/>
          <w:bCs/>
          <w:spacing w:val="4"/>
          <w:sz w:val="24"/>
        </w:rPr>
      </w:pPr>
      <w:r>
        <w:rPr>
          <w:rFonts w:ascii="汉鼎简楷体" w:hAnsi="宋体"/>
          <w:b/>
          <w:bCs/>
          <w:spacing w:val="4"/>
          <w:sz w:val="24"/>
        </w:rPr>
        <w:t xml:space="preserve">    </w:t>
      </w:r>
      <w:r>
        <w:rPr>
          <w:rFonts w:ascii="汉鼎简楷体" w:hAnsi="汉鼎简楷体"/>
          <w:b/>
          <w:bCs/>
          <w:spacing w:val="4"/>
          <w:sz w:val="24"/>
        </w:rPr>
        <w:t>发包人代表：</w:t>
      </w:r>
    </w:p>
    <w:p w14:paraId="28EEA161">
      <w:pPr>
        <w:spacing w:line="273" w:lineRule="auto"/>
        <w:ind w:firstLine="420" w:firstLineChars="200"/>
        <w:rPr>
          <w:rFonts w:hint="eastAsia" w:ascii="宋体" w:hAnsi="宋体"/>
          <w:szCs w:val="21"/>
        </w:rPr>
      </w:pPr>
      <w:r>
        <w:rPr>
          <w:rFonts w:ascii="宋体" w:hAnsi="宋体"/>
          <w:szCs w:val="21"/>
        </w:rPr>
        <w:t>姓    名：</w:t>
      </w:r>
      <w:r>
        <w:rPr>
          <w:rFonts w:ascii="宋体" w:hAnsi="宋体"/>
          <w:szCs w:val="21"/>
          <w:u w:val="single"/>
        </w:rPr>
        <w:t xml:space="preserve">                       </w:t>
      </w:r>
      <w:r>
        <w:rPr>
          <w:rFonts w:ascii="宋体" w:hAnsi="宋体"/>
          <w:szCs w:val="21"/>
        </w:rPr>
        <w:t>；</w:t>
      </w:r>
    </w:p>
    <w:p w14:paraId="65B1BF8E">
      <w:pPr>
        <w:spacing w:line="273" w:lineRule="auto"/>
        <w:ind w:firstLine="420" w:firstLineChars="200"/>
        <w:rPr>
          <w:rFonts w:hint="eastAsia" w:ascii="宋体" w:hAnsi="宋体"/>
          <w:szCs w:val="21"/>
        </w:rPr>
      </w:pPr>
      <w:r>
        <w:rPr>
          <w:rFonts w:ascii="宋体" w:hAnsi="宋体"/>
          <w:szCs w:val="21"/>
        </w:rPr>
        <w:t>身份证号：</w:t>
      </w:r>
      <w:r>
        <w:rPr>
          <w:rFonts w:ascii="宋体" w:hAnsi="宋体"/>
          <w:szCs w:val="21"/>
          <w:u w:val="single"/>
        </w:rPr>
        <w:t xml:space="preserve">                           </w:t>
      </w:r>
      <w:r>
        <w:rPr>
          <w:rFonts w:ascii="宋体" w:hAnsi="宋体"/>
          <w:szCs w:val="21"/>
        </w:rPr>
        <w:t>；</w:t>
      </w:r>
    </w:p>
    <w:p w14:paraId="6F0EA910">
      <w:pPr>
        <w:spacing w:line="273" w:lineRule="auto"/>
        <w:ind w:firstLine="420" w:firstLineChars="200"/>
        <w:rPr>
          <w:rFonts w:hint="eastAsia" w:ascii="宋体" w:hAnsi="宋体"/>
          <w:szCs w:val="21"/>
        </w:rPr>
      </w:pPr>
      <w:r>
        <w:rPr>
          <w:rFonts w:ascii="宋体" w:hAnsi="宋体"/>
          <w:szCs w:val="21"/>
        </w:rPr>
        <w:t>职    务：</w:t>
      </w:r>
      <w:r>
        <w:rPr>
          <w:rFonts w:ascii="宋体" w:hAnsi="宋体"/>
          <w:szCs w:val="21"/>
          <w:u w:val="single"/>
        </w:rPr>
        <w:t>         </w:t>
      </w:r>
      <w:r>
        <w:rPr>
          <w:rFonts w:ascii="宋体" w:hAnsi="宋体"/>
          <w:szCs w:val="21"/>
        </w:rPr>
        <w:t>；</w:t>
      </w:r>
    </w:p>
    <w:p w14:paraId="2078BC08">
      <w:pPr>
        <w:spacing w:line="273" w:lineRule="auto"/>
        <w:ind w:firstLine="420" w:firstLineChars="200"/>
        <w:rPr>
          <w:rFonts w:hint="eastAsia" w:ascii="宋体" w:hAnsi="宋体"/>
          <w:szCs w:val="21"/>
        </w:rPr>
      </w:pPr>
      <w:r>
        <w:rPr>
          <w:rFonts w:ascii="宋体" w:hAnsi="宋体"/>
          <w:szCs w:val="21"/>
        </w:rPr>
        <w:t>联系电话：</w:t>
      </w:r>
      <w:r>
        <w:rPr>
          <w:rFonts w:ascii="宋体" w:hAnsi="宋体"/>
          <w:szCs w:val="21"/>
          <w:u w:val="single"/>
        </w:rPr>
        <w:t>                   </w:t>
      </w:r>
      <w:r>
        <w:rPr>
          <w:rFonts w:ascii="宋体" w:hAnsi="宋体"/>
          <w:szCs w:val="21"/>
        </w:rPr>
        <w:t>；</w:t>
      </w:r>
    </w:p>
    <w:p w14:paraId="52D24410">
      <w:pPr>
        <w:spacing w:line="273" w:lineRule="auto"/>
        <w:ind w:firstLine="420" w:firstLineChars="200"/>
        <w:rPr>
          <w:rFonts w:hint="eastAsia" w:ascii="宋体" w:hAnsi="宋体"/>
          <w:szCs w:val="21"/>
        </w:rPr>
      </w:pPr>
      <w:r>
        <w:rPr>
          <w:rFonts w:ascii="宋体" w:hAnsi="宋体"/>
          <w:szCs w:val="21"/>
        </w:rPr>
        <w:t>电子信箱：</w:t>
      </w:r>
      <w:r>
        <w:rPr>
          <w:rFonts w:ascii="宋体" w:hAnsi="宋体"/>
          <w:szCs w:val="21"/>
          <w:u w:val="single"/>
        </w:rPr>
        <w:t>       </w:t>
      </w:r>
      <w:r>
        <w:rPr>
          <w:rFonts w:ascii="宋体" w:hAnsi="宋体"/>
          <w:szCs w:val="21"/>
        </w:rPr>
        <w:t>；</w:t>
      </w:r>
    </w:p>
    <w:p w14:paraId="678A0CC0">
      <w:pPr>
        <w:spacing w:line="273" w:lineRule="auto"/>
        <w:ind w:firstLine="420" w:firstLineChars="200"/>
        <w:rPr>
          <w:rFonts w:hint="eastAsia" w:ascii="宋体" w:hAnsi="宋体"/>
          <w:szCs w:val="21"/>
        </w:rPr>
      </w:pPr>
      <w:r>
        <w:rPr>
          <w:rFonts w:ascii="宋体" w:hAnsi="宋体"/>
          <w:szCs w:val="21"/>
        </w:rPr>
        <w:t>通信地址：</w:t>
      </w:r>
      <w:r>
        <w:rPr>
          <w:rFonts w:ascii="宋体" w:hAnsi="宋体"/>
          <w:szCs w:val="21"/>
          <w:u w:val="single"/>
        </w:rPr>
        <w:t>                       </w:t>
      </w:r>
      <w:r>
        <w:rPr>
          <w:rFonts w:ascii="宋体" w:hAnsi="宋体"/>
          <w:szCs w:val="21"/>
        </w:rPr>
        <w:t>。</w:t>
      </w:r>
    </w:p>
    <w:p w14:paraId="36181404">
      <w:pPr>
        <w:spacing w:line="273" w:lineRule="auto"/>
        <w:ind w:firstLine="420" w:firstLineChars="200"/>
        <w:rPr>
          <w:rFonts w:hint="eastAsia" w:ascii="宋体" w:hAnsi="宋体"/>
          <w:szCs w:val="21"/>
          <w:u w:val="single"/>
        </w:rPr>
      </w:pPr>
      <w:r>
        <w:rPr>
          <w:rFonts w:ascii="宋体" w:hAnsi="宋体"/>
          <w:szCs w:val="21"/>
        </w:rPr>
        <w:t>发包人对发包人代表的授权范围如下：</w:t>
      </w:r>
      <w:r>
        <w:rPr>
          <w:rFonts w:ascii="宋体" w:hAnsi="宋体"/>
          <w:szCs w:val="21"/>
          <w:u w:val="single"/>
        </w:rPr>
        <w:t>1、负责合同约定施工范围的工程管理，监督施工工序及验收；2、合同的履行，代表发包人处理与本工程建设相关的事宜，对施工组织设计、质量监督、工程量签认、进出场材料、设备检验和使用、工程变更、工程量确认、工程造价确认、工期顺延等事项的最终审核权。协调施工现场及外部有关事宜。</w:t>
      </w:r>
    </w:p>
    <w:p w14:paraId="54C4B75E">
      <w:pPr>
        <w:spacing w:line="460" w:lineRule="exact"/>
        <w:ind w:firstLine="438" w:firstLineChars="200"/>
        <w:rPr>
          <w:rFonts w:hint="eastAsia" w:ascii="汉鼎简楷体" w:hAnsi="宋体"/>
          <w:b/>
          <w:bCs/>
          <w:spacing w:val="4"/>
          <w:szCs w:val="21"/>
        </w:rPr>
      </w:pPr>
      <w:r>
        <w:rPr>
          <w:rFonts w:ascii="汉鼎简楷体" w:hAnsi="汉鼎简楷体" w:cs="宋体"/>
          <w:b/>
          <w:bCs/>
          <w:spacing w:val="4"/>
          <w:szCs w:val="21"/>
        </w:rPr>
        <w:t>发包人结合工程实际需要保留随时修改上述授权范围的权力。</w:t>
      </w:r>
    </w:p>
    <w:p w14:paraId="19BB69CB">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2.4 施工现场、施工条件和基础资料的提供</w:t>
      </w:r>
    </w:p>
    <w:p w14:paraId="45D63FA7">
      <w:pPr>
        <w:spacing w:line="273" w:lineRule="auto"/>
        <w:ind w:firstLine="420" w:firstLineChars="200"/>
        <w:outlineLvl w:val="2"/>
        <w:rPr>
          <w:rFonts w:hint="eastAsia" w:ascii="宋体" w:hAnsi="宋体"/>
          <w:szCs w:val="21"/>
        </w:rPr>
      </w:pPr>
      <w:r>
        <w:rPr>
          <w:rFonts w:ascii="宋体" w:hAnsi="宋体"/>
          <w:szCs w:val="21"/>
        </w:rPr>
        <w:t>2.4.1 提供施工现场</w:t>
      </w:r>
    </w:p>
    <w:p w14:paraId="4754B845">
      <w:pPr>
        <w:spacing w:line="273" w:lineRule="auto"/>
        <w:ind w:firstLine="420" w:firstLineChars="200"/>
        <w:rPr>
          <w:rFonts w:hint="eastAsia" w:ascii="宋体" w:hAnsi="宋体"/>
          <w:szCs w:val="21"/>
        </w:rPr>
      </w:pPr>
      <w:r>
        <w:rPr>
          <w:rFonts w:ascii="宋体" w:hAnsi="宋体"/>
          <w:szCs w:val="21"/>
        </w:rPr>
        <w:t>关于发包人移交施工现场的期限要求：</w:t>
      </w:r>
      <w:r>
        <w:rPr>
          <w:rFonts w:ascii="宋体" w:hAnsi="宋体"/>
          <w:szCs w:val="21"/>
          <w:u w:val="single"/>
        </w:rPr>
        <w:t>应当在监理人发出的开工通知中载明的开工日期前3天具备施工条件并移交给承包人。</w:t>
      </w:r>
    </w:p>
    <w:p w14:paraId="182DF74D">
      <w:pPr>
        <w:spacing w:line="273" w:lineRule="auto"/>
        <w:ind w:firstLine="420" w:firstLineChars="200"/>
        <w:outlineLvl w:val="2"/>
        <w:rPr>
          <w:rFonts w:hint="eastAsia" w:ascii="宋体" w:hAnsi="宋体"/>
          <w:szCs w:val="21"/>
        </w:rPr>
      </w:pPr>
      <w:r>
        <w:rPr>
          <w:rFonts w:ascii="宋体" w:hAnsi="宋体"/>
          <w:szCs w:val="21"/>
        </w:rPr>
        <w:t>2.4.2 提供施工条件</w:t>
      </w:r>
    </w:p>
    <w:p w14:paraId="3674FC58">
      <w:pPr>
        <w:spacing w:line="273" w:lineRule="auto"/>
        <w:ind w:firstLine="420" w:firstLineChars="200"/>
        <w:rPr>
          <w:rFonts w:hint="eastAsia" w:ascii="宋体" w:hAnsi="宋体"/>
          <w:szCs w:val="21"/>
          <w:u w:val="single"/>
        </w:rPr>
      </w:pPr>
      <w:r>
        <w:rPr>
          <w:rFonts w:ascii="宋体" w:hAnsi="宋体"/>
          <w:szCs w:val="21"/>
        </w:rPr>
        <w:t>关于发包人应负责提供施工所需要的条件，包括：</w:t>
      </w:r>
      <w:r>
        <w:rPr>
          <w:rFonts w:ascii="宋体" w:hAnsi="宋体"/>
          <w:szCs w:val="21"/>
          <w:u w:val="single"/>
        </w:rPr>
        <w:t xml:space="preserve"> 发包人负责在开工前提供施工用水、用电的接口，从接口至施工现场发生的费用由承包人承担，通讯由承包人自行解决。承包人负责施工用水、电、通讯、道路等设施日常维护工作，以确保施工正常安全进行。</w:t>
      </w:r>
    </w:p>
    <w:p w14:paraId="41019EB9">
      <w:pPr>
        <w:spacing w:line="273" w:lineRule="auto"/>
        <w:rPr>
          <w:rFonts w:hint="eastAsia" w:ascii="宋体" w:hAnsi="宋体"/>
          <w:szCs w:val="21"/>
          <w:u w:val="single"/>
        </w:rPr>
      </w:pPr>
      <w:r>
        <w:rPr>
          <w:rFonts w:ascii="宋体" w:hAnsi="宋体"/>
          <w:szCs w:val="21"/>
          <w:u w:val="single"/>
        </w:rPr>
        <w:t>施工用水、用电计量及费用结算方式：</w:t>
      </w:r>
    </w:p>
    <w:p w14:paraId="7633087A">
      <w:pPr>
        <w:spacing w:line="273" w:lineRule="auto"/>
        <w:ind w:firstLine="420" w:firstLineChars="200"/>
        <w:rPr>
          <w:rFonts w:hint="eastAsia" w:ascii="宋体" w:hAnsi="宋体"/>
          <w:szCs w:val="21"/>
          <w:u w:val="single"/>
        </w:rPr>
      </w:pPr>
      <w:r>
        <w:rPr>
          <w:rFonts w:ascii="宋体" w:hAnsi="宋体"/>
          <w:szCs w:val="21"/>
          <w:u w:val="single"/>
        </w:rPr>
        <w:t>①发包方提供给承包方的施工用水为市政自来水，水费按现行国家规定计取，实际用水量按装表计量；</w:t>
      </w:r>
    </w:p>
    <w:p w14:paraId="1ED93864">
      <w:pPr>
        <w:spacing w:line="273" w:lineRule="auto"/>
        <w:ind w:firstLine="420" w:firstLineChars="200"/>
        <w:rPr>
          <w:rFonts w:hint="eastAsia" w:ascii="宋体" w:hAnsi="宋体"/>
          <w:szCs w:val="21"/>
          <w:u w:val="single"/>
        </w:rPr>
      </w:pPr>
      <w:r>
        <w:rPr>
          <w:rFonts w:ascii="宋体" w:hAnsi="宋体"/>
          <w:szCs w:val="21"/>
          <w:u w:val="single"/>
        </w:rPr>
        <w:t>②电费计取：电费=表读量×电费单价；水费计取：水费=表读量×水费单价。</w:t>
      </w:r>
    </w:p>
    <w:p w14:paraId="0E5528C7">
      <w:pPr>
        <w:spacing w:line="273" w:lineRule="auto"/>
        <w:ind w:firstLine="420" w:firstLineChars="200"/>
        <w:rPr>
          <w:rFonts w:hint="eastAsia" w:ascii="宋体" w:hAnsi="宋体"/>
          <w:szCs w:val="21"/>
          <w:u w:val="single"/>
        </w:rPr>
      </w:pPr>
      <w:r>
        <w:rPr>
          <w:rFonts w:ascii="宋体" w:hAnsi="宋体"/>
          <w:szCs w:val="21"/>
          <w:u w:val="single"/>
        </w:rPr>
        <w:t>③施工用水、用电由承包人与发包人的用水、用电管理部门协商一致后方可实施。</w:t>
      </w:r>
    </w:p>
    <w:p w14:paraId="740A029A">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2.5 资金来源证明及支付担保</w:t>
      </w:r>
    </w:p>
    <w:p w14:paraId="3F12C382">
      <w:pPr>
        <w:spacing w:line="273" w:lineRule="auto"/>
        <w:ind w:firstLine="420" w:firstLineChars="200"/>
        <w:rPr>
          <w:rFonts w:hint="eastAsia" w:ascii="宋体" w:hAnsi="宋体"/>
          <w:szCs w:val="21"/>
        </w:rPr>
      </w:pPr>
      <w:r>
        <w:rPr>
          <w:rFonts w:ascii="宋体" w:hAnsi="宋体"/>
          <w:szCs w:val="21"/>
        </w:rPr>
        <w:t>发包人提供资金来源证明的期限要求：</w:t>
      </w:r>
      <w:r>
        <w:rPr>
          <w:rFonts w:ascii="宋体" w:hAnsi="宋体"/>
          <w:szCs w:val="21"/>
          <w:u w:val="single"/>
        </w:rPr>
        <w:t xml:space="preserve">无需提供资金来源证明      </w:t>
      </w:r>
      <w:r>
        <w:rPr>
          <w:rFonts w:ascii="宋体" w:hAnsi="宋体"/>
          <w:szCs w:val="21"/>
        </w:rPr>
        <w:t>。</w:t>
      </w:r>
    </w:p>
    <w:p w14:paraId="4DE32BEA">
      <w:pPr>
        <w:spacing w:line="273" w:lineRule="auto"/>
        <w:ind w:firstLine="420" w:firstLineChars="200"/>
        <w:rPr>
          <w:rFonts w:hint="eastAsia" w:ascii="宋体" w:hAnsi="宋体"/>
          <w:szCs w:val="21"/>
        </w:rPr>
      </w:pPr>
      <w:r>
        <w:rPr>
          <w:rFonts w:ascii="宋体" w:hAnsi="宋体"/>
          <w:szCs w:val="21"/>
        </w:rPr>
        <w:t>发包人是否提供支付担保：</w:t>
      </w:r>
      <w:r>
        <w:rPr>
          <w:rFonts w:ascii="宋体" w:hAnsi="宋体"/>
          <w:szCs w:val="21"/>
          <w:u w:val="single"/>
        </w:rPr>
        <w:t xml:space="preserve">    不提供      </w:t>
      </w:r>
      <w:r>
        <w:rPr>
          <w:rFonts w:ascii="宋体" w:hAnsi="宋体"/>
          <w:szCs w:val="21"/>
        </w:rPr>
        <w:t>。</w:t>
      </w:r>
    </w:p>
    <w:p w14:paraId="1F189A1C">
      <w:pPr>
        <w:spacing w:line="273" w:lineRule="auto"/>
        <w:ind w:firstLine="420" w:firstLineChars="200"/>
        <w:rPr>
          <w:rFonts w:hint="eastAsia" w:ascii="宋体" w:hAnsi="宋体"/>
          <w:szCs w:val="21"/>
          <w:u w:val="single"/>
        </w:rPr>
      </w:pPr>
      <w:r>
        <w:rPr>
          <w:rFonts w:ascii="宋体" w:hAnsi="宋体"/>
          <w:szCs w:val="21"/>
        </w:rPr>
        <w:t>发包人提供支付担保的形式：</w:t>
      </w:r>
      <w:r>
        <w:rPr>
          <w:rFonts w:ascii="宋体" w:hAnsi="宋体"/>
          <w:szCs w:val="21"/>
          <w:u w:val="single"/>
        </w:rPr>
        <w:t>/      </w:t>
      </w:r>
      <w:r>
        <w:rPr>
          <w:rFonts w:ascii="宋体" w:hAnsi="宋体"/>
          <w:szCs w:val="21"/>
        </w:rPr>
        <w:t>。</w:t>
      </w:r>
    </w:p>
    <w:p w14:paraId="0DDCDF72">
      <w:pPr>
        <w:spacing w:line="273" w:lineRule="auto"/>
        <w:outlineLvl w:val="0"/>
        <w:rPr>
          <w:rFonts w:hint="eastAsia" w:ascii="宋体" w:hAnsi="宋体"/>
          <w:b/>
          <w:bCs/>
          <w:szCs w:val="21"/>
        </w:rPr>
      </w:pPr>
      <w:r>
        <w:rPr>
          <w:rFonts w:ascii="宋体" w:hAnsi="宋体"/>
          <w:b/>
          <w:bCs/>
          <w:szCs w:val="21"/>
        </w:rPr>
        <w:t>3. 承包人</w:t>
      </w:r>
    </w:p>
    <w:p w14:paraId="6D74BF86">
      <w:pPr>
        <w:spacing w:after="120" w:line="273" w:lineRule="auto"/>
        <w:ind w:firstLine="422" w:firstLineChars="200"/>
        <w:outlineLvl w:val="1"/>
        <w:rPr>
          <w:rFonts w:hint="eastAsia" w:ascii="黑体" w:hAnsi="宋体" w:eastAsia="黑体"/>
          <w:b/>
          <w:bCs/>
          <w:szCs w:val="21"/>
        </w:rPr>
      </w:pPr>
      <w:r>
        <w:rPr>
          <w:rFonts w:ascii="黑体" w:hAnsi="宋体" w:eastAsia="黑体"/>
          <w:b/>
          <w:bCs/>
          <w:szCs w:val="21"/>
        </w:rPr>
        <w:t>3.1 承包人的一般义务</w:t>
      </w:r>
    </w:p>
    <w:p w14:paraId="32E470D7">
      <w:pPr>
        <w:spacing w:line="273" w:lineRule="auto"/>
        <w:ind w:firstLine="420" w:firstLineChars="200"/>
        <w:rPr>
          <w:rFonts w:hint="eastAsia" w:ascii="宋体" w:hAnsi="宋体"/>
          <w:szCs w:val="21"/>
        </w:rPr>
      </w:pPr>
      <w:r>
        <w:rPr>
          <w:rFonts w:ascii="宋体" w:hAnsi="宋体"/>
          <w:szCs w:val="21"/>
        </w:rPr>
        <w:t>（9）承包人提交的竣工资料的内容：</w:t>
      </w:r>
      <w:r>
        <w:rPr>
          <w:rFonts w:ascii="宋体" w:hAnsi="宋体"/>
          <w:szCs w:val="21"/>
          <w:u w:val="single"/>
        </w:rPr>
        <w:t xml:space="preserve">  根据建设行政主管部门和(或)城市建设档案管理部门的规定，完成竣工资料（含竣工图电子文档、声像档案）和备案资料的收集、整理、立卷、归档工作，包括但不限于单位工程质量竣工验收记录、竣工验收报告、竣工结算书、施工图、竣工图、工程质量保修书等办理竣工备案手续时需提交的相关竣工资料，以及施工过程中的全部资料。</w:t>
      </w:r>
    </w:p>
    <w:p w14:paraId="00C9B702">
      <w:pPr>
        <w:spacing w:line="273" w:lineRule="auto"/>
        <w:ind w:firstLine="420" w:firstLineChars="200"/>
        <w:jc w:val="left"/>
        <w:rPr>
          <w:rFonts w:hint="eastAsia" w:ascii="宋体" w:hAnsi="宋体"/>
          <w:szCs w:val="21"/>
        </w:rPr>
      </w:pPr>
      <w:r>
        <w:rPr>
          <w:rFonts w:ascii="宋体" w:hAnsi="宋体"/>
          <w:szCs w:val="21"/>
        </w:rPr>
        <w:t>承包人需要提交的竣工资料套数：</w:t>
      </w:r>
      <w:r>
        <w:rPr>
          <w:rFonts w:ascii="宋体" w:hAnsi="宋体"/>
          <w:szCs w:val="21"/>
          <w:u w:val="single"/>
        </w:rPr>
        <w:t>四套（并按相关要求装订成册），电子版壹套。</w:t>
      </w:r>
    </w:p>
    <w:p w14:paraId="557E8577">
      <w:pPr>
        <w:spacing w:line="273" w:lineRule="auto"/>
        <w:ind w:firstLine="420" w:firstLineChars="200"/>
        <w:jc w:val="left"/>
        <w:rPr>
          <w:rFonts w:hint="eastAsia" w:ascii="宋体" w:hAnsi="宋体"/>
          <w:szCs w:val="21"/>
        </w:rPr>
      </w:pPr>
      <w:r>
        <w:rPr>
          <w:rFonts w:ascii="宋体" w:hAnsi="宋体"/>
          <w:szCs w:val="21"/>
        </w:rPr>
        <w:t>承包人提交的竣工资料的费用承担：</w:t>
      </w:r>
      <w:r>
        <w:rPr>
          <w:rFonts w:ascii="宋体" w:hAnsi="宋体"/>
          <w:szCs w:val="21"/>
          <w:u w:val="single"/>
        </w:rPr>
        <w:t xml:space="preserve">  由承包人承担  </w:t>
      </w:r>
      <w:r>
        <w:rPr>
          <w:rFonts w:ascii="宋体" w:hAnsi="宋体"/>
          <w:szCs w:val="21"/>
        </w:rPr>
        <w:t>。</w:t>
      </w:r>
    </w:p>
    <w:p w14:paraId="71D319D8">
      <w:pPr>
        <w:spacing w:line="273" w:lineRule="auto"/>
        <w:ind w:firstLine="420" w:firstLineChars="200"/>
        <w:jc w:val="left"/>
        <w:rPr>
          <w:rFonts w:hint="eastAsia" w:ascii="宋体" w:hAnsi="宋体"/>
          <w:szCs w:val="21"/>
        </w:rPr>
      </w:pPr>
      <w:r>
        <w:rPr>
          <w:rFonts w:ascii="宋体" w:hAnsi="宋体"/>
          <w:szCs w:val="21"/>
        </w:rPr>
        <w:t>承包人提交的竣工资料移交时间：</w:t>
      </w:r>
      <w:r>
        <w:rPr>
          <w:rFonts w:ascii="宋体" w:hAnsi="宋体"/>
          <w:szCs w:val="21"/>
          <w:u w:val="single"/>
        </w:rPr>
        <w:t xml:space="preserve">  竣工验收合格并接到发包人通知后10日内，如未按时移交，每延误一天，承包人应承担违约金人民币5000元  </w:t>
      </w:r>
      <w:r>
        <w:rPr>
          <w:rFonts w:ascii="宋体" w:hAnsi="宋体"/>
          <w:szCs w:val="21"/>
        </w:rPr>
        <w:t>。</w:t>
      </w:r>
    </w:p>
    <w:p w14:paraId="4A936330">
      <w:pPr>
        <w:spacing w:line="273" w:lineRule="auto"/>
        <w:ind w:firstLine="420" w:firstLineChars="200"/>
        <w:jc w:val="left"/>
        <w:rPr>
          <w:rFonts w:hint="eastAsia" w:ascii="宋体" w:hAnsi="宋体"/>
          <w:szCs w:val="21"/>
        </w:rPr>
      </w:pPr>
      <w:r>
        <w:rPr>
          <w:rFonts w:ascii="宋体" w:hAnsi="宋体"/>
          <w:szCs w:val="21"/>
        </w:rPr>
        <w:t>承包人提交的竣工资料形式要求：</w:t>
      </w:r>
      <w:r>
        <w:rPr>
          <w:rFonts w:ascii="宋体" w:hAnsi="宋体"/>
          <w:szCs w:val="21"/>
          <w:u w:val="single"/>
        </w:rPr>
        <w:t xml:space="preserve">  按照发包方要求提交 </w:t>
      </w:r>
      <w:r>
        <w:rPr>
          <w:rFonts w:ascii="宋体" w:hAnsi="宋体"/>
          <w:szCs w:val="21"/>
        </w:rPr>
        <w:t>。</w:t>
      </w:r>
    </w:p>
    <w:p w14:paraId="1350FBB0">
      <w:pPr>
        <w:spacing w:line="273" w:lineRule="auto"/>
        <w:ind w:firstLine="420" w:firstLineChars="200"/>
        <w:rPr>
          <w:rFonts w:hint="eastAsia" w:ascii="宋体" w:hAnsi="宋体"/>
          <w:szCs w:val="21"/>
        </w:rPr>
      </w:pPr>
      <w:r>
        <w:rPr>
          <w:rFonts w:ascii="黑体" w:hAnsi="黑体" w:eastAsia="黑体"/>
          <w:kern w:val="0"/>
          <w:szCs w:val="21"/>
        </w:rPr>
        <w:t>（10）</w:t>
      </w:r>
      <w:r>
        <w:rPr>
          <w:rFonts w:ascii="宋体" w:hAnsi="宋体"/>
          <w:szCs w:val="21"/>
        </w:rPr>
        <w:t>承包人应履行的其他义务：</w:t>
      </w:r>
    </w:p>
    <w:p w14:paraId="24D43AD9">
      <w:pPr>
        <w:spacing w:line="273" w:lineRule="auto"/>
        <w:ind w:firstLine="420" w:firstLineChars="200"/>
        <w:rPr>
          <w:rFonts w:hint="eastAsia" w:ascii="宋体" w:hAnsi="宋体"/>
          <w:szCs w:val="21"/>
          <w:u w:val="single"/>
        </w:rPr>
      </w:pPr>
      <w:r>
        <w:rPr>
          <w:rFonts w:ascii="宋体" w:hAnsi="宋体"/>
          <w:szCs w:val="21"/>
          <w:u w:val="single"/>
        </w:rPr>
        <w:t>1）在工程施工期间，为加强管理和认真履行合同义务，承包人应按投标文件所报名单委派项目经理和项目技术负责人，应保证及时到位并常驻现场进行对本合同工程的管理，并保持其岗位的相对稳定。</w:t>
      </w:r>
    </w:p>
    <w:p w14:paraId="7CE25B3D">
      <w:pPr>
        <w:autoSpaceDE w:val="0"/>
        <w:autoSpaceDN w:val="0"/>
        <w:adjustRightInd w:val="0"/>
        <w:spacing w:before="78" w:beforeLines="25" w:after="78" w:afterLines="25" w:line="273" w:lineRule="auto"/>
        <w:ind w:firstLine="420" w:firstLineChars="200"/>
        <w:jc w:val="left"/>
        <w:rPr>
          <w:rFonts w:hint="eastAsia" w:ascii="宋体" w:hAnsi="宋体"/>
          <w:szCs w:val="21"/>
          <w:u w:val="single"/>
        </w:rPr>
      </w:pPr>
      <w:r>
        <w:rPr>
          <w:rFonts w:ascii="宋体" w:hAnsi="宋体"/>
          <w:szCs w:val="21"/>
        </w:rPr>
        <w:t>2）承包人须对施工各类条件进行全面分析，并采用最为稳妥的施工方案（例如垂直运输、管线及设施设备的保护等）实施本工程，所需费用已经包含在承包人的合同总价中，具体施工方案须经监理单位审定。</w:t>
      </w:r>
    </w:p>
    <w:p w14:paraId="12D32D26">
      <w:pPr>
        <w:autoSpaceDE w:val="0"/>
        <w:autoSpaceDN w:val="0"/>
        <w:adjustRightInd w:val="0"/>
        <w:spacing w:before="78" w:beforeLines="25" w:after="78" w:afterLines="25" w:line="273" w:lineRule="auto"/>
        <w:ind w:firstLine="420" w:firstLineChars="200"/>
        <w:jc w:val="left"/>
        <w:rPr>
          <w:rFonts w:hint="eastAsia" w:ascii="宋体" w:hAnsi="宋体"/>
          <w:szCs w:val="21"/>
        </w:rPr>
      </w:pPr>
      <w:r>
        <w:rPr>
          <w:rFonts w:ascii="宋体" w:hAnsi="宋体"/>
          <w:szCs w:val="21"/>
          <w:u w:val="single"/>
        </w:rPr>
        <w:t>3）本合同签定后三日内，承包人需提供项目经理、技术负责人等施工管理人员的上岗证、技术等级证等的原件及复印件，发包人和监理工程师有权清退不具备此类合格证件的人员离开施工现场。承包人应按投标文件所报名单委派派驻现场的各类专业技术人员和质检人员。未经监理工程师的批准，这些人员不应无故不到位或被替换；若确实无法到位或需替换，需经监理工程师批准、发包人审核后，用同等资质和经历的人员替换。</w:t>
      </w:r>
    </w:p>
    <w:p w14:paraId="4A77B331">
      <w:pPr>
        <w:autoSpaceDE w:val="0"/>
        <w:autoSpaceDN w:val="0"/>
        <w:adjustRightInd w:val="0"/>
        <w:spacing w:before="78" w:beforeLines="25" w:after="78" w:afterLines="25" w:line="273" w:lineRule="auto"/>
        <w:ind w:firstLine="420" w:firstLineChars="200"/>
        <w:jc w:val="left"/>
        <w:rPr>
          <w:rFonts w:hint="eastAsia" w:ascii="宋体" w:hAnsi="宋体"/>
          <w:szCs w:val="21"/>
          <w:u w:val="single"/>
        </w:rPr>
      </w:pPr>
      <w:r>
        <w:rPr>
          <w:rFonts w:ascii="宋体" w:hAnsi="宋体"/>
          <w:szCs w:val="21"/>
          <w:u w:val="single"/>
        </w:rPr>
        <w:t>4）承包人应按发包人的指令，完成发包人要求的对工程内容的所有增加和删减，发包人应就增加或减少的工程内容向承包人送达书面通知，否则承包人可拒绝该部分工程内容的施工。按开工通知要求及时进场施工，保证施工使用的临时设施配置。承包人施工前应提交详细的施工进度计划并提交发包人签字确认。</w:t>
      </w:r>
    </w:p>
    <w:p w14:paraId="6D2234F7">
      <w:pPr>
        <w:autoSpaceDE w:val="0"/>
        <w:autoSpaceDN w:val="0"/>
        <w:adjustRightInd w:val="0"/>
        <w:spacing w:before="78" w:beforeLines="25" w:after="78" w:afterLines="25" w:line="273" w:lineRule="auto"/>
        <w:ind w:firstLine="420" w:firstLineChars="200"/>
        <w:jc w:val="left"/>
        <w:rPr>
          <w:rFonts w:ascii="仿宋_GB2312" w:hAnsi="Calibri" w:eastAsia="仿宋_GB2312"/>
          <w:sz w:val="28"/>
          <w:szCs w:val="28"/>
          <w:u w:val="single"/>
        </w:rPr>
      </w:pPr>
      <w:r>
        <w:rPr>
          <w:rFonts w:ascii="宋体" w:hAnsi="宋体"/>
          <w:szCs w:val="21"/>
          <w:u w:val="single"/>
        </w:rPr>
        <w:t>5）承包人应积极主动核对图纸中的标高、轴线等技术数据，充分理解设计意图。若由于明显的设计图纸问题（例如尺寸标注不闭合、文字标识相互矛盾等）和发包人（包括监理）不正确的指令，承包人发现后有口头或书面告知义务，否则造成工程质量、安全、进度损失，也不能免除承包人的责任。</w:t>
      </w:r>
    </w:p>
    <w:p w14:paraId="5456E396">
      <w:pPr>
        <w:autoSpaceDE w:val="0"/>
        <w:autoSpaceDN w:val="0"/>
        <w:adjustRightInd w:val="0"/>
        <w:spacing w:before="78" w:beforeLines="25" w:after="78" w:afterLines="25" w:line="273" w:lineRule="auto"/>
        <w:ind w:firstLine="525" w:firstLineChars="250"/>
        <w:jc w:val="left"/>
        <w:rPr>
          <w:rFonts w:hint="eastAsia" w:ascii="仿宋_GB2312" w:hAnsi="仿宋_GB2312" w:cs="仿宋_GB2312"/>
          <w:sz w:val="28"/>
          <w:szCs w:val="28"/>
          <w:u w:val="single"/>
        </w:rPr>
      </w:pPr>
      <w:r>
        <w:rPr>
          <w:rFonts w:ascii="宋体" w:hAnsi="宋体"/>
          <w:szCs w:val="21"/>
          <w:u w:val="single"/>
        </w:rPr>
        <w:t>6）承包人应按照政府相关规定，建立健全雇员工资发放和劳动保障制度。承包人在开工前，应按照国家相关文件要求办理“农民工工资保证金”事宜，在工程实施阶段建立农民工工资发放台账并接受发包人检查，确保不拖欠农民工工资。承包人必须对农民工按月工程进度足额支付应得工资报酬，工程竣工后结算前，农民工工资一定要全部支付完毕。否则，发包人有权在该欠农民工工资款项上对承包人在施工费中扣除。如因雇员的工资发放和劳动保障制度不健全而引发纠纷，导致农民工围堵发包人等的，发包人有权解除合同，并要求承包人退场并支付合同总价款10%的违约金。</w:t>
      </w:r>
    </w:p>
    <w:p w14:paraId="2465D513">
      <w:pPr>
        <w:autoSpaceDE w:val="0"/>
        <w:autoSpaceDN w:val="0"/>
        <w:adjustRightInd w:val="0"/>
        <w:spacing w:before="78" w:beforeLines="25" w:after="78" w:afterLines="25" w:line="273" w:lineRule="auto"/>
        <w:ind w:firstLine="525" w:firstLineChars="250"/>
        <w:jc w:val="left"/>
        <w:rPr>
          <w:rFonts w:hint="eastAsia" w:ascii="宋体" w:hAnsi="宋体"/>
          <w:szCs w:val="21"/>
          <w:u w:val="single"/>
        </w:rPr>
      </w:pPr>
      <w:r>
        <w:rPr>
          <w:rFonts w:ascii="宋体" w:hAnsi="宋体"/>
          <w:szCs w:val="21"/>
          <w:u w:val="single"/>
        </w:rPr>
        <w:t>7）承包人使用的临时用水、临时用电等设施在合同执行期间，如发包人要求为其他承包人提供分表接口的，承包人应予无条件同意。</w:t>
      </w:r>
    </w:p>
    <w:p w14:paraId="71ABFCBC">
      <w:pPr>
        <w:autoSpaceDE w:val="0"/>
        <w:autoSpaceDN w:val="0"/>
        <w:adjustRightInd w:val="0"/>
        <w:spacing w:before="78" w:beforeLines="25" w:after="78" w:afterLines="25" w:line="273" w:lineRule="auto"/>
        <w:ind w:firstLine="525" w:firstLineChars="250"/>
        <w:jc w:val="left"/>
        <w:rPr>
          <w:rFonts w:hint="eastAsia" w:ascii="宋体" w:hAnsi="宋体"/>
          <w:szCs w:val="21"/>
          <w:u w:val="single"/>
        </w:rPr>
      </w:pPr>
      <w:r>
        <w:rPr>
          <w:rFonts w:ascii="宋体" w:hAnsi="宋体"/>
          <w:szCs w:val="21"/>
          <w:u w:val="single"/>
        </w:rPr>
        <w:t>8）承包人进入院区施工，做好现场安全文明施工及已有成品保护工作。现场运输材料、堆放材料等造成的路面的污染，承包人应该有专人负责跟踪打扫；现场施工及生活产生的垃圾应该每天有人清除。</w:t>
      </w:r>
      <w:r>
        <w:rPr>
          <w:rFonts w:ascii="宋体" w:hAnsi="宋体"/>
          <w:b/>
          <w:bCs/>
          <w:szCs w:val="21"/>
          <w:u w:val="single"/>
        </w:rPr>
        <w:t>发包人院内设有环境监测站，承包人需根据金水区大气办要求做好项目施工过程中的抑尘工作。施工过程中承包人应积极配合规委、建委、消防、街道、城管、环卫等部门的检查工作，按发包人要求的标准进行施工部署提供便利条件。</w:t>
      </w:r>
      <w:r>
        <w:rPr>
          <w:rFonts w:ascii="宋体" w:hAnsi="宋体"/>
          <w:szCs w:val="21"/>
          <w:u w:val="single"/>
        </w:rPr>
        <w:t>项目施工必须严格执行政府部门各级管控措施，如违规施工，施工方应承担一切责任；在工程移交前，承包人必须将其施工和使用范围内的建筑物、临时设施和施工现场及时进行清理干净，保证工完场地清。工程产生的建筑垃圾和生活垃圾清运（外运），费用自理。承包人未清理干净，则发包人有权拒付款项或委托第三方清理现场，费用及损失均由承包人承担；</w:t>
      </w:r>
    </w:p>
    <w:p w14:paraId="6E0BB965">
      <w:pPr>
        <w:autoSpaceDE w:val="0"/>
        <w:autoSpaceDN w:val="0"/>
        <w:adjustRightInd w:val="0"/>
        <w:spacing w:before="78" w:beforeLines="25" w:after="78" w:afterLines="25" w:line="273" w:lineRule="auto"/>
        <w:ind w:firstLine="525" w:firstLineChars="250"/>
        <w:jc w:val="left"/>
        <w:rPr>
          <w:rFonts w:hint="eastAsia" w:ascii="宋体" w:hAnsi="宋体"/>
          <w:szCs w:val="21"/>
          <w:u w:val="single"/>
        </w:rPr>
      </w:pPr>
      <w:r>
        <w:rPr>
          <w:rFonts w:ascii="宋体" w:hAnsi="宋体"/>
          <w:szCs w:val="21"/>
          <w:u w:val="single"/>
        </w:rPr>
        <w:t>9）施工现场交通和噪音控制的要求：遵守政府有关主管部门对施工场地交通、施工占道、施工噪音以及环境保护和安全生产等的管理规定，按规定办理有关手续，并以书面形式通知发包人及监理，承包人承担由此发生的费用或因承包人责任造成的罚款；</w:t>
      </w:r>
    </w:p>
    <w:p w14:paraId="52D456B2">
      <w:pPr>
        <w:autoSpaceDE w:val="0"/>
        <w:autoSpaceDN w:val="0"/>
        <w:adjustRightInd w:val="0"/>
        <w:spacing w:before="78" w:beforeLines="25" w:after="78" w:afterLines="25" w:line="273" w:lineRule="auto"/>
        <w:ind w:firstLine="525" w:firstLineChars="250"/>
        <w:jc w:val="left"/>
        <w:rPr>
          <w:rFonts w:hint="eastAsia" w:ascii="宋体" w:hAnsi="宋体"/>
          <w:szCs w:val="21"/>
          <w:u w:val="single"/>
        </w:rPr>
      </w:pPr>
      <w:r>
        <w:rPr>
          <w:rFonts w:ascii="宋体" w:hAnsi="宋体"/>
          <w:szCs w:val="21"/>
          <w:u w:val="single"/>
        </w:rPr>
        <w:t>10）发包人建设用地内原则上不提供施工人员所需的生活办公场地，需承包人自行解决，由此产生的费用包含在本合同总价中；</w:t>
      </w:r>
    </w:p>
    <w:p w14:paraId="370EC002">
      <w:pPr>
        <w:autoSpaceDE w:val="0"/>
        <w:autoSpaceDN w:val="0"/>
        <w:adjustRightInd w:val="0"/>
        <w:spacing w:before="78" w:beforeLines="25" w:after="78" w:afterLines="25" w:line="273" w:lineRule="auto"/>
        <w:ind w:firstLine="525" w:firstLineChars="250"/>
        <w:jc w:val="left"/>
        <w:rPr>
          <w:rFonts w:hint="eastAsia" w:ascii="宋体" w:hAnsi="宋体"/>
          <w:szCs w:val="21"/>
          <w:u w:val="single"/>
        </w:rPr>
      </w:pPr>
      <w:r>
        <w:rPr>
          <w:rFonts w:ascii="宋体" w:hAnsi="宋体"/>
          <w:szCs w:val="21"/>
          <w:u w:val="single"/>
        </w:rPr>
        <w:t>11）对于存在设计图纸不符合现场施工、施工图存在漏缺设计或者其他不满足使用功能的设计时，承包人有义务及时与设计单位沟通解决，并同时报发包人、监理人知悉，必要时负责组织专题会议予以解决。若承包人故意按有问题的图纸施工对工程的质量、进度、投资和安全造成影响的，一切损失由承包人承担；承包人必须按照图纸和施工规范及设计变更要求，做好该工程及与其相关的补充预埋件、管道、埋设管线、附件和配管，以及其它安装项目相关工作，并不再计取发包人任何费用；</w:t>
      </w:r>
    </w:p>
    <w:p w14:paraId="4BE8E24B">
      <w:pPr>
        <w:autoSpaceDE w:val="0"/>
        <w:autoSpaceDN w:val="0"/>
        <w:adjustRightInd w:val="0"/>
        <w:spacing w:before="78" w:beforeLines="25" w:after="78" w:afterLines="25" w:line="273" w:lineRule="auto"/>
        <w:ind w:firstLine="525" w:firstLineChars="250"/>
        <w:jc w:val="left"/>
        <w:rPr>
          <w:rFonts w:hint="eastAsia" w:ascii="宋体" w:hAnsi="宋体"/>
          <w:szCs w:val="21"/>
          <w:u w:val="single"/>
        </w:rPr>
      </w:pPr>
      <w:r>
        <w:rPr>
          <w:rFonts w:ascii="宋体" w:hAnsi="宋体"/>
          <w:szCs w:val="21"/>
          <w:u w:val="single"/>
        </w:rPr>
        <w:t>12）承包人在施工现场应遵守发包人的有关施工规定，承包人应采取措施对施工场地地下管线、现有建筑、构筑物和其他一切设备设施进行保护，此费用须包含在合同价中；因承包人原因造成现有建筑及设备设施损坏或丢失的，则由承包人负责恢复原状并承担由此发生的工期延误及经济费用损失。现场施工及生活产生的垃圾须每天及时清理；因施工造成的污损，承包人应及时跟踪打扫；</w:t>
      </w:r>
    </w:p>
    <w:p w14:paraId="403E41B8">
      <w:pPr>
        <w:autoSpaceDE w:val="0"/>
        <w:autoSpaceDN w:val="0"/>
        <w:adjustRightInd w:val="0"/>
        <w:spacing w:before="78" w:beforeLines="25" w:after="78" w:afterLines="25" w:line="273" w:lineRule="auto"/>
        <w:ind w:firstLine="525" w:firstLineChars="250"/>
        <w:jc w:val="left"/>
        <w:rPr>
          <w:rFonts w:hint="eastAsia" w:ascii="宋体" w:hAnsi="宋体"/>
          <w:b/>
          <w:bCs/>
          <w:szCs w:val="21"/>
          <w:u w:val="single"/>
        </w:rPr>
      </w:pPr>
      <w:r>
        <w:rPr>
          <w:rFonts w:ascii="宋体" w:hAnsi="宋体"/>
          <w:szCs w:val="21"/>
          <w:u w:val="single"/>
        </w:rPr>
        <w:t>13）</w:t>
      </w:r>
      <w:r>
        <w:rPr>
          <w:rFonts w:ascii="宋体" w:hAnsi="宋体"/>
          <w:b/>
          <w:bCs/>
          <w:szCs w:val="21"/>
          <w:u w:val="single"/>
        </w:rPr>
        <w:t>承包人须按发包人要求合理设置施工围挡，并根据发包人现场要求进行动态调整，承包人负责施工围挡的修建、维护及拆除工作，此费用须包含在合同价中。</w:t>
      </w:r>
    </w:p>
    <w:p w14:paraId="2F6C0DF4">
      <w:pPr>
        <w:autoSpaceDE w:val="0"/>
        <w:autoSpaceDN w:val="0"/>
        <w:adjustRightInd w:val="0"/>
        <w:spacing w:before="78" w:beforeLines="25" w:after="78" w:afterLines="25" w:line="273" w:lineRule="auto"/>
        <w:ind w:firstLine="525" w:firstLineChars="250"/>
        <w:jc w:val="left"/>
        <w:rPr>
          <w:rFonts w:hint="eastAsia" w:ascii="宋体" w:hAnsi="宋体"/>
          <w:szCs w:val="21"/>
          <w:u w:val="single"/>
        </w:rPr>
      </w:pPr>
      <w:r>
        <w:rPr>
          <w:rFonts w:ascii="宋体" w:hAnsi="宋体"/>
          <w:szCs w:val="21"/>
          <w:u w:val="single"/>
        </w:rPr>
        <w:t>14）在工程施工过程中(以及工程缺陷责任期内)由于承包人责任出现质量问题、安全事故或者其他原因，收到报纸、电视等媒体的曝光或政府有关主管部门的通报批评给本工程的社会声誉造成影响，每次承包人须向发包人支付至少10万元违约金(由发包人从承包人工程进度款或质量保证金中扣除)并承担相关法律责任。</w:t>
      </w:r>
    </w:p>
    <w:p w14:paraId="5F6028DF">
      <w:pPr>
        <w:autoSpaceDE w:val="0"/>
        <w:autoSpaceDN w:val="0"/>
        <w:adjustRightInd w:val="0"/>
        <w:spacing w:before="78" w:beforeLines="25" w:after="78" w:afterLines="25" w:line="273" w:lineRule="auto"/>
        <w:ind w:firstLine="525" w:firstLineChars="250"/>
        <w:jc w:val="left"/>
        <w:rPr>
          <w:rFonts w:hint="eastAsia" w:ascii="宋体" w:hAnsi="宋体"/>
          <w:szCs w:val="21"/>
          <w:u w:val="single"/>
        </w:rPr>
      </w:pPr>
      <w:r>
        <w:rPr>
          <w:rFonts w:ascii="宋体" w:hAnsi="宋体"/>
          <w:szCs w:val="21"/>
          <w:u w:val="single"/>
        </w:rPr>
        <w:t>15）承包人需自行办理有关施工场地交通、环卫和施工噪音管理等手续，承担施工期间施工场地的交通、噪音、排污吸纳与处置、当地居民关系协调以及当地有关规定要求办理的手续和费用。因未执行有关文明施工、环境卫生、噪音控制规定而引起的处罚及扰民，由承包人承担社会及经济责任，工期不予顺延。</w:t>
      </w:r>
    </w:p>
    <w:p w14:paraId="070CEE0C">
      <w:pPr>
        <w:autoSpaceDE w:val="0"/>
        <w:autoSpaceDN w:val="0"/>
        <w:adjustRightInd w:val="0"/>
        <w:spacing w:before="78" w:beforeLines="25" w:after="78" w:afterLines="25" w:line="273" w:lineRule="auto"/>
        <w:ind w:firstLine="525" w:firstLineChars="250"/>
        <w:jc w:val="left"/>
        <w:rPr>
          <w:rFonts w:hint="eastAsia" w:ascii="宋体" w:hAnsi="宋体"/>
          <w:szCs w:val="21"/>
          <w:u w:val="single"/>
        </w:rPr>
      </w:pPr>
      <w:r>
        <w:rPr>
          <w:rFonts w:ascii="宋体" w:hAnsi="宋体"/>
          <w:szCs w:val="21"/>
          <w:u w:val="single"/>
        </w:rPr>
        <w:t>16）在工程实施过程中和缺陷责任期间，工程出现突发状况，承包人应第一时间组织抢险维修，发生的费用由责任方承担。</w:t>
      </w:r>
    </w:p>
    <w:p w14:paraId="1614FF94">
      <w:pPr>
        <w:autoSpaceDE w:val="0"/>
        <w:autoSpaceDN w:val="0"/>
        <w:adjustRightInd w:val="0"/>
        <w:spacing w:before="78" w:beforeLines="25" w:after="78" w:afterLines="25" w:line="273" w:lineRule="auto"/>
        <w:ind w:firstLine="525" w:firstLineChars="250"/>
        <w:jc w:val="left"/>
        <w:rPr>
          <w:rFonts w:hint="eastAsia" w:ascii="宋体" w:hAnsi="宋体"/>
          <w:szCs w:val="21"/>
          <w:u w:val="single"/>
        </w:rPr>
      </w:pPr>
      <w:r>
        <w:rPr>
          <w:rFonts w:ascii="宋体" w:hAnsi="宋体"/>
          <w:szCs w:val="21"/>
          <w:u w:val="single"/>
        </w:rPr>
        <w:t>17）负责施工现场的安保工作。妥善处理合同履行中或与合同履行相关的与第三方的各种纠纷，并及时承担民事、行政等责任，在相关事件责任确定、纠纷解决前，发包人有权暂停支付相应款项。若发包人因此承担责任的，发包人有权自应付承包人的工程款中直接予以扣除。</w:t>
      </w:r>
    </w:p>
    <w:p w14:paraId="3E9D939A">
      <w:pPr>
        <w:autoSpaceDE w:val="0"/>
        <w:autoSpaceDN w:val="0"/>
        <w:adjustRightInd w:val="0"/>
        <w:spacing w:before="78" w:beforeLines="25" w:after="78" w:afterLines="25" w:line="273" w:lineRule="auto"/>
        <w:ind w:firstLine="525" w:firstLineChars="250"/>
        <w:jc w:val="left"/>
        <w:rPr>
          <w:rFonts w:hint="eastAsia" w:ascii="宋体" w:hAnsi="宋体"/>
          <w:szCs w:val="21"/>
          <w:u w:val="single"/>
        </w:rPr>
      </w:pPr>
      <w:r>
        <w:rPr>
          <w:rFonts w:ascii="宋体" w:hAnsi="宋体"/>
          <w:szCs w:val="21"/>
          <w:u w:val="single"/>
        </w:rPr>
        <w:t>18）工程竣工验收前，所有设施和成品由承包人负责保护。</w:t>
      </w:r>
    </w:p>
    <w:p w14:paraId="3E3455AF">
      <w:pPr>
        <w:tabs>
          <w:tab w:val="left" w:pos="1260"/>
        </w:tabs>
        <w:autoSpaceDE w:val="0"/>
        <w:autoSpaceDN w:val="0"/>
        <w:adjustRightInd w:val="0"/>
        <w:spacing w:before="78" w:beforeLines="25" w:after="78" w:afterLines="25" w:line="273" w:lineRule="auto"/>
        <w:ind w:firstLine="525" w:firstLineChars="250"/>
        <w:jc w:val="left"/>
        <w:rPr>
          <w:rFonts w:hint="eastAsia" w:ascii="宋体" w:hAnsi="宋体"/>
          <w:szCs w:val="21"/>
          <w:u w:val="single"/>
        </w:rPr>
      </w:pPr>
      <w:r>
        <w:rPr>
          <w:rFonts w:ascii="宋体" w:hAnsi="宋体"/>
          <w:szCs w:val="21"/>
          <w:u w:val="single"/>
        </w:rPr>
        <w:t>19）提供计划、报表的名称、时间和份数：开工前7天提交施工组织设计、进度计划表、施工机械及材料进场计划表；以后为每周三前提交下周进度计划表。</w:t>
      </w:r>
    </w:p>
    <w:p w14:paraId="78C7F323">
      <w:pPr>
        <w:tabs>
          <w:tab w:val="left" w:pos="1260"/>
        </w:tabs>
        <w:autoSpaceDE w:val="0"/>
        <w:autoSpaceDN w:val="0"/>
        <w:adjustRightInd w:val="0"/>
        <w:spacing w:before="78" w:beforeLines="25" w:after="78" w:afterLines="25" w:line="273" w:lineRule="auto"/>
        <w:ind w:firstLine="525" w:firstLineChars="250"/>
        <w:jc w:val="left"/>
        <w:rPr>
          <w:rFonts w:hint="eastAsia" w:ascii="宋体" w:hAnsi="宋体"/>
          <w:szCs w:val="21"/>
          <w:u w:val="single"/>
        </w:rPr>
      </w:pPr>
      <w:r>
        <w:rPr>
          <w:rFonts w:ascii="宋体" w:hAnsi="宋体"/>
          <w:szCs w:val="21"/>
          <w:u w:val="single"/>
        </w:rPr>
        <w:t>20）承包人负责处理与本工程相关政府部门、其他单位的业务工作关系，由此发生的费用由承包人承担。</w:t>
      </w:r>
    </w:p>
    <w:p w14:paraId="29C77A61">
      <w:pPr>
        <w:ind w:firstLine="525" w:firstLineChars="250"/>
        <w:jc w:val="left"/>
        <w:rPr>
          <w:rFonts w:hint="eastAsia" w:ascii="宋体" w:hAnsi="宋体"/>
          <w:szCs w:val="21"/>
        </w:rPr>
      </w:pPr>
      <w:r>
        <w:rPr>
          <w:rFonts w:ascii="宋体" w:hAnsi="宋体"/>
          <w:szCs w:val="21"/>
        </w:rPr>
        <w:t>21）</w:t>
      </w:r>
      <w:r>
        <w:rPr>
          <w:rFonts w:ascii="宋体" w:hAnsi="宋体"/>
          <w:szCs w:val="21"/>
          <w:u w:val="single"/>
        </w:rPr>
        <w:t>承包人须参照样板间所展示的样式、风格及工艺标准进行施工，且所用全部材料的性能参数和质量标准需高于现有样板间所用材料标准。若承包人违反上述约定，擅自更换材料或施工标准低于样板间，发包人有权要求承包人限期拆除、更换不符材料并免费返工至符合约定，由此产生的费用及工期延误均由承包人承担。</w:t>
      </w:r>
    </w:p>
    <w:p w14:paraId="64AEAE08">
      <w:pPr>
        <w:tabs>
          <w:tab w:val="left" w:pos="1260"/>
        </w:tabs>
        <w:autoSpaceDE w:val="0"/>
        <w:autoSpaceDN w:val="0"/>
        <w:adjustRightInd w:val="0"/>
        <w:spacing w:before="78" w:beforeLines="25" w:after="78" w:afterLines="25" w:line="273" w:lineRule="auto"/>
        <w:ind w:firstLine="525" w:firstLineChars="250"/>
        <w:jc w:val="left"/>
        <w:rPr>
          <w:rFonts w:hint="eastAsia" w:ascii="宋体" w:hAnsi="宋体"/>
          <w:szCs w:val="21"/>
          <w:u w:val="single"/>
        </w:rPr>
      </w:pPr>
      <w:r>
        <w:rPr>
          <w:rFonts w:ascii="宋体" w:hAnsi="宋体"/>
          <w:szCs w:val="21"/>
          <w:u w:val="single"/>
        </w:rPr>
        <w:t>22）承包人需承诺，在本工程拆除施工阶段，必须全面采用人工拆除方式，严格禁止使用任何大型破拆机械（包括但不限于液压锤、挖掘机、炮头机等），以确保作业对楼宇主体结构及相邻部位不产生任何扰动、裂缝或结构性损伤。如因承包人未遵守本条款，擅自使用机械或不当施工对楼宇结构造成任何损害，承包人应负责无条件修复至原状，并承担由此产生的一切费用及相应的违约赔偿责任。</w:t>
      </w:r>
    </w:p>
    <w:p w14:paraId="1C575E19">
      <w:pPr>
        <w:tabs>
          <w:tab w:val="left" w:pos="0"/>
        </w:tabs>
        <w:spacing w:line="273" w:lineRule="auto"/>
        <w:ind w:firstLine="420"/>
        <w:outlineLvl w:val="1"/>
        <w:rPr>
          <w:rFonts w:hint="eastAsia" w:ascii="黑体" w:hAnsi="宋体" w:eastAsia="黑体"/>
          <w:b/>
          <w:bCs/>
          <w:szCs w:val="21"/>
        </w:rPr>
      </w:pPr>
      <w:r>
        <w:rPr>
          <w:rFonts w:ascii="黑体" w:hAnsi="宋体" w:eastAsia="黑体"/>
          <w:b/>
          <w:bCs/>
          <w:szCs w:val="21"/>
        </w:rPr>
        <w:t>3.</w:t>
      </w:r>
      <w:r>
        <w:rPr>
          <w:rFonts w:ascii="黑体" w:hAnsi="黑体" w:eastAsia="黑体"/>
          <w:b/>
          <w:bCs/>
          <w:szCs w:val="21"/>
        </w:rPr>
        <w:t>2项目经理</w:t>
      </w:r>
    </w:p>
    <w:p w14:paraId="5EC19BDA">
      <w:pPr>
        <w:spacing w:line="273" w:lineRule="auto"/>
        <w:ind w:firstLine="420" w:firstLineChars="200"/>
        <w:rPr>
          <w:rFonts w:hint="eastAsia" w:ascii="宋体" w:hAnsi="宋体"/>
          <w:szCs w:val="21"/>
        </w:rPr>
      </w:pPr>
      <w:r>
        <w:rPr>
          <w:rFonts w:ascii="宋体" w:hAnsi="宋体"/>
          <w:kern w:val="0"/>
          <w:szCs w:val="21"/>
        </w:rPr>
        <w:t xml:space="preserve">3.2.1 </w:t>
      </w:r>
      <w:r>
        <w:rPr>
          <w:rFonts w:ascii="宋体" w:hAnsi="宋体"/>
          <w:szCs w:val="21"/>
        </w:rPr>
        <w:t>项目经理：</w:t>
      </w:r>
    </w:p>
    <w:p w14:paraId="4484F1EE">
      <w:pPr>
        <w:spacing w:line="273" w:lineRule="auto"/>
        <w:ind w:firstLine="420" w:firstLineChars="200"/>
        <w:rPr>
          <w:rFonts w:hint="eastAsia" w:ascii="宋体" w:hAnsi="宋体"/>
          <w:szCs w:val="21"/>
        </w:rPr>
      </w:pPr>
      <w:r>
        <w:rPr>
          <w:rFonts w:ascii="宋体" w:hAnsi="宋体"/>
          <w:szCs w:val="21"/>
        </w:rPr>
        <w:t>姓    名：</w:t>
      </w:r>
      <w:r>
        <w:rPr>
          <w:rFonts w:ascii="宋体" w:hAnsi="宋体"/>
          <w:szCs w:val="21"/>
          <w:u w:val="single"/>
        </w:rPr>
        <w:t xml:space="preserve">                    </w:t>
      </w:r>
      <w:r>
        <w:rPr>
          <w:rFonts w:ascii="宋体" w:hAnsi="宋体"/>
          <w:szCs w:val="21"/>
        </w:rPr>
        <w:t>；</w:t>
      </w:r>
    </w:p>
    <w:p w14:paraId="3B421B57">
      <w:pPr>
        <w:spacing w:line="273" w:lineRule="auto"/>
        <w:ind w:firstLine="420" w:firstLineChars="200"/>
        <w:rPr>
          <w:rFonts w:hint="eastAsia" w:ascii="宋体" w:hAnsi="宋体"/>
          <w:szCs w:val="21"/>
        </w:rPr>
      </w:pPr>
      <w:r>
        <w:rPr>
          <w:rFonts w:ascii="宋体" w:hAnsi="宋体"/>
          <w:szCs w:val="21"/>
        </w:rPr>
        <w:t>身份证号：</w:t>
      </w:r>
      <w:r>
        <w:rPr>
          <w:rFonts w:ascii="宋体" w:hAnsi="宋体"/>
          <w:szCs w:val="21"/>
          <w:u w:val="single"/>
        </w:rPr>
        <w:t xml:space="preserve">                    </w:t>
      </w:r>
      <w:r>
        <w:rPr>
          <w:rFonts w:ascii="宋体" w:hAnsi="宋体"/>
          <w:szCs w:val="21"/>
        </w:rPr>
        <w:t>；</w:t>
      </w:r>
    </w:p>
    <w:p w14:paraId="721FB750">
      <w:pPr>
        <w:spacing w:line="273" w:lineRule="auto"/>
        <w:ind w:firstLine="420" w:firstLineChars="200"/>
        <w:rPr>
          <w:rFonts w:hint="eastAsia" w:ascii="宋体" w:hAnsi="宋体"/>
          <w:szCs w:val="21"/>
        </w:rPr>
      </w:pPr>
      <w:r>
        <w:rPr>
          <w:rFonts w:ascii="宋体" w:hAnsi="宋体"/>
          <w:szCs w:val="21"/>
        </w:rPr>
        <w:t>建造师执业资格等级：</w:t>
      </w:r>
      <w:r>
        <w:rPr>
          <w:rFonts w:ascii="宋体" w:hAnsi="宋体"/>
          <w:szCs w:val="21"/>
          <w:u w:val="single"/>
        </w:rPr>
        <w:t xml:space="preserve">          </w:t>
      </w:r>
      <w:r>
        <w:rPr>
          <w:rFonts w:ascii="宋体" w:hAnsi="宋体"/>
          <w:szCs w:val="21"/>
        </w:rPr>
        <w:t>；</w:t>
      </w:r>
    </w:p>
    <w:p w14:paraId="45C868AE">
      <w:pPr>
        <w:spacing w:line="273" w:lineRule="auto"/>
        <w:ind w:firstLine="420" w:firstLineChars="200"/>
        <w:rPr>
          <w:rFonts w:hint="eastAsia" w:ascii="宋体" w:hAnsi="宋体"/>
          <w:szCs w:val="21"/>
        </w:rPr>
      </w:pPr>
      <w:r>
        <w:rPr>
          <w:rFonts w:ascii="宋体" w:hAnsi="宋体"/>
          <w:szCs w:val="21"/>
        </w:rPr>
        <w:t>建造师注册证书号：</w:t>
      </w:r>
      <w:r>
        <w:rPr>
          <w:rFonts w:ascii="宋体" w:hAnsi="宋体"/>
          <w:szCs w:val="21"/>
          <w:u w:val="single"/>
        </w:rPr>
        <w:t xml:space="preserve">                            </w:t>
      </w:r>
      <w:r>
        <w:rPr>
          <w:rFonts w:ascii="宋体" w:hAnsi="宋体"/>
          <w:szCs w:val="21"/>
        </w:rPr>
        <w:t>；</w:t>
      </w:r>
    </w:p>
    <w:p w14:paraId="3464B55A">
      <w:pPr>
        <w:spacing w:line="273" w:lineRule="auto"/>
        <w:ind w:firstLine="420" w:firstLineChars="200"/>
        <w:rPr>
          <w:rFonts w:hint="eastAsia" w:ascii="宋体" w:hAnsi="宋体"/>
          <w:szCs w:val="21"/>
        </w:rPr>
      </w:pPr>
      <w:r>
        <w:rPr>
          <w:rFonts w:ascii="宋体" w:hAnsi="宋体"/>
          <w:szCs w:val="21"/>
        </w:rPr>
        <w:t>安全生产考核合格证书号：</w:t>
      </w:r>
      <w:r>
        <w:rPr>
          <w:rFonts w:ascii="宋体" w:hAnsi="宋体"/>
          <w:szCs w:val="21"/>
          <w:u w:val="single"/>
        </w:rPr>
        <w:t xml:space="preserve">                      </w:t>
      </w:r>
      <w:r>
        <w:rPr>
          <w:rFonts w:ascii="宋体" w:hAnsi="宋体"/>
          <w:szCs w:val="21"/>
        </w:rPr>
        <w:t>；</w:t>
      </w:r>
    </w:p>
    <w:p w14:paraId="168E04E1">
      <w:pPr>
        <w:spacing w:line="273" w:lineRule="auto"/>
        <w:ind w:firstLine="420" w:firstLineChars="200"/>
        <w:rPr>
          <w:rFonts w:hint="eastAsia" w:ascii="宋体" w:hAnsi="宋体"/>
          <w:szCs w:val="21"/>
        </w:rPr>
      </w:pPr>
      <w:r>
        <w:rPr>
          <w:rFonts w:ascii="宋体" w:hAnsi="宋体"/>
          <w:szCs w:val="21"/>
        </w:rPr>
        <w:t>联系电话：</w:t>
      </w:r>
      <w:r>
        <w:rPr>
          <w:rFonts w:ascii="宋体" w:hAnsi="宋体"/>
          <w:szCs w:val="21"/>
          <w:u w:val="single"/>
        </w:rPr>
        <w:t xml:space="preserve">                       </w:t>
      </w:r>
      <w:r>
        <w:rPr>
          <w:rFonts w:ascii="宋体" w:hAnsi="宋体"/>
          <w:szCs w:val="21"/>
        </w:rPr>
        <w:t>；</w:t>
      </w:r>
    </w:p>
    <w:p w14:paraId="615DF4A4">
      <w:pPr>
        <w:spacing w:line="273" w:lineRule="auto"/>
        <w:ind w:firstLine="420" w:firstLineChars="200"/>
        <w:rPr>
          <w:rFonts w:hint="eastAsia" w:ascii="宋体" w:hAnsi="宋体"/>
          <w:szCs w:val="21"/>
        </w:rPr>
      </w:pPr>
      <w:r>
        <w:rPr>
          <w:rFonts w:ascii="宋体" w:hAnsi="宋体"/>
          <w:szCs w:val="21"/>
        </w:rPr>
        <w:t>电子信箱：</w:t>
      </w:r>
      <w:r>
        <w:rPr>
          <w:rFonts w:ascii="宋体" w:hAnsi="宋体"/>
          <w:szCs w:val="21"/>
          <w:u w:val="single"/>
        </w:rPr>
        <w:t xml:space="preserve">                       </w:t>
      </w:r>
      <w:r>
        <w:rPr>
          <w:rFonts w:ascii="宋体" w:hAnsi="宋体"/>
          <w:szCs w:val="21"/>
        </w:rPr>
        <w:t>；</w:t>
      </w:r>
    </w:p>
    <w:p w14:paraId="6C7F2DAA">
      <w:pPr>
        <w:spacing w:line="273" w:lineRule="auto"/>
        <w:ind w:firstLine="420" w:firstLineChars="200"/>
        <w:rPr>
          <w:rFonts w:hint="eastAsia" w:ascii="宋体" w:hAnsi="宋体"/>
          <w:szCs w:val="21"/>
        </w:rPr>
      </w:pPr>
      <w:r>
        <w:rPr>
          <w:rFonts w:ascii="宋体" w:hAnsi="宋体"/>
          <w:szCs w:val="21"/>
        </w:rPr>
        <w:t>承包人对项目经理的授权范围如下：</w:t>
      </w:r>
      <w:r>
        <w:rPr>
          <w:rFonts w:ascii="宋体" w:hAnsi="宋体"/>
          <w:szCs w:val="21"/>
          <w:u w:val="single"/>
        </w:rPr>
        <w:t>全权代表承包人履行合同并常驻施工现场、负责工程建设全周期内一切事宜。</w:t>
      </w:r>
    </w:p>
    <w:p w14:paraId="6607B6C9">
      <w:pPr>
        <w:spacing w:line="273" w:lineRule="auto"/>
        <w:ind w:firstLine="420" w:firstLineChars="200"/>
        <w:jc w:val="left"/>
        <w:rPr>
          <w:rFonts w:hint="eastAsia" w:ascii="宋体" w:hAnsi="宋体"/>
          <w:kern w:val="0"/>
          <w:szCs w:val="21"/>
        </w:rPr>
      </w:pPr>
      <w:r>
        <w:rPr>
          <w:rFonts w:ascii="宋体" w:hAnsi="宋体"/>
          <w:kern w:val="0"/>
          <w:szCs w:val="21"/>
        </w:rPr>
        <w:t>每月在施工现场的时间要求：</w:t>
      </w:r>
      <w:r>
        <w:rPr>
          <w:rFonts w:ascii="宋体" w:hAnsi="宋体"/>
          <w:b/>
          <w:bCs/>
          <w:kern w:val="0"/>
          <w:szCs w:val="21"/>
          <w:u w:val="single"/>
        </w:rPr>
        <w:t>开工之日起至竣工验收结束，项目经理在施工现场时间每周至少5日，每天不少于8小时在现场组织施工，项目经理确</w:t>
      </w:r>
      <w:r>
        <w:rPr>
          <w:rFonts w:ascii="宋体" w:hAnsi="宋体"/>
          <w:b/>
          <w:bCs/>
          <w:szCs w:val="21"/>
          <w:u w:val="single"/>
        </w:rPr>
        <w:t>需离开施工现场时，应事先通知监理人，并取得发包人的书面同意。项目经理的通知中应当载明临时代行其职责的人员的注册执业资格、管理经验等资料，该人员应具备履行相应职责的能力。如项目经理每周在施工现场的时间每少1个工作日，则承包人应当向发包人支付【 2000 】元违约金。承包人项目经理须为投标文件承诺人员，未经发包人书面同意不得更换，确需更换时，应更换为专业技术能力、职称等不低于原项目经理或技术负责人的人，并应经过发包人同意，否则按20万元/人·次支付违约金。</w:t>
      </w:r>
    </w:p>
    <w:p w14:paraId="50FC29BD">
      <w:pPr>
        <w:spacing w:line="273" w:lineRule="auto"/>
        <w:ind w:firstLine="420" w:firstLineChars="200"/>
        <w:rPr>
          <w:rFonts w:hint="eastAsia" w:ascii="宋体" w:hAnsi="宋体"/>
          <w:kern w:val="0"/>
          <w:szCs w:val="21"/>
        </w:rPr>
      </w:pPr>
      <w:r>
        <w:rPr>
          <w:rFonts w:ascii="宋体" w:hAnsi="宋体"/>
          <w:kern w:val="0"/>
          <w:szCs w:val="21"/>
        </w:rPr>
        <w:t>承包人未提交劳动合同，以及没有为项目经理缴纳社会保险证明的违约责任：</w:t>
      </w:r>
      <w:r>
        <w:rPr>
          <w:rFonts w:ascii="宋体" w:hAnsi="宋体"/>
          <w:szCs w:val="21"/>
          <w:u w:val="single"/>
        </w:rPr>
        <w:t xml:space="preserve">   处违约金10万元，并在7个工作日内提交劳动合同并补缴社会保险，否则发包人有权解除合同 </w:t>
      </w:r>
      <w:r>
        <w:rPr>
          <w:rFonts w:ascii="宋体" w:hAnsi="宋体"/>
          <w:szCs w:val="21"/>
        </w:rPr>
        <w:t>。</w:t>
      </w:r>
    </w:p>
    <w:p w14:paraId="74DA2700">
      <w:pPr>
        <w:spacing w:line="273" w:lineRule="auto"/>
        <w:ind w:firstLine="420" w:firstLineChars="200"/>
        <w:rPr>
          <w:rFonts w:hint="eastAsia" w:ascii="宋体" w:hAnsi="宋体"/>
          <w:szCs w:val="21"/>
          <w:u w:val="single"/>
        </w:rPr>
      </w:pPr>
      <w:r>
        <w:rPr>
          <w:rFonts w:ascii="宋体" w:hAnsi="宋体"/>
          <w:kern w:val="0"/>
          <w:szCs w:val="21"/>
        </w:rPr>
        <w:t>项目经理未经批准，擅自离开施工现场的违约责任：</w:t>
      </w:r>
      <w:r>
        <w:rPr>
          <w:rFonts w:ascii="宋体" w:hAnsi="宋体"/>
          <w:szCs w:val="21"/>
          <w:u w:val="single"/>
        </w:rPr>
        <w:t>项目经理、项目技术负责人必须按时参加工程例会，缺席按人民币2000元/人·次对承包人处违约金。</w:t>
      </w:r>
    </w:p>
    <w:p w14:paraId="7017280D">
      <w:pPr>
        <w:spacing w:line="273" w:lineRule="auto"/>
        <w:ind w:firstLine="420" w:firstLineChars="200"/>
        <w:rPr>
          <w:rFonts w:hint="eastAsia" w:ascii="宋体" w:hAnsi="宋体"/>
          <w:szCs w:val="21"/>
        </w:rPr>
      </w:pPr>
      <w:r>
        <w:rPr>
          <w:rFonts w:ascii="宋体" w:hAnsi="宋体"/>
          <w:szCs w:val="21"/>
        </w:rPr>
        <w:t>3.2.3 承包人擅自更换项目经理的违约责任：</w:t>
      </w:r>
      <w:r>
        <w:rPr>
          <w:rFonts w:ascii="宋体" w:hAnsi="宋体"/>
          <w:szCs w:val="21"/>
          <w:u w:val="single"/>
        </w:rPr>
        <w:t xml:space="preserve">    处违约金</w:t>
      </w:r>
      <w:r>
        <w:rPr>
          <w:rFonts w:ascii="宋体" w:hAnsi="宋体"/>
          <w:b/>
          <w:bCs/>
          <w:szCs w:val="21"/>
          <w:u w:val="single"/>
        </w:rPr>
        <w:t>20万元/人</w:t>
      </w:r>
      <w:r>
        <w:rPr>
          <w:rFonts w:ascii="宋体" w:hAnsi="宋体"/>
          <w:szCs w:val="21"/>
          <w:u w:val="single"/>
        </w:rPr>
        <w:t>·次，若发包人不认可更换后的项目经理，还应当更换为发包人同意的项目经理，因更换项目经理（含技术负责人）导致工程出现的一切问题，以及因此给发包人造成的一切损失均由承包人承担 </w:t>
      </w:r>
      <w:r>
        <w:rPr>
          <w:rFonts w:ascii="宋体" w:hAnsi="宋体"/>
          <w:szCs w:val="21"/>
        </w:rPr>
        <w:t>。</w:t>
      </w:r>
    </w:p>
    <w:p w14:paraId="43688112">
      <w:pPr>
        <w:spacing w:line="273" w:lineRule="auto"/>
        <w:ind w:firstLine="420" w:firstLineChars="200"/>
        <w:rPr>
          <w:rFonts w:hint="eastAsia" w:ascii="宋体" w:hAnsi="宋体"/>
          <w:szCs w:val="21"/>
        </w:rPr>
      </w:pPr>
      <w:r>
        <w:rPr>
          <w:rFonts w:ascii="宋体" w:hAnsi="宋体"/>
          <w:szCs w:val="21"/>
        </w:rPr>
        <w:t>3.2.4承包人无正当理由拒绝更换项目经理的违约责任：</w:t>
      </w:r>
      <w:r>
        <w:rPr>
          <w:rFonts w:ascii="宋体" w:hAnsi="宋体"/>
          <w:szCs w:val="21"/>
          <w:u w:val="single"/>
        </w:rPr>
        <w:t xml:space="preserve">承包人应当承担合同总价款10%的违约金，发包人有权解除合同并责令承包人退场，由此产生的一切损失由承包人承担  </w:t>
      </w:r>
      <w:r>
        <w:rPr>
          <w:rFonts w:ascii="宋体" w:hAnsi="宋体"/>
          <w:szCs w:val="21"/>
        </w:rPr>
        <w:t>。</w:t>
      </w:r>
    </w:p>
    <w:p w14:paraId="1B2C5D3E">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3.</w:t>
      </w:r>
      <w:r>
        <w:rPr>
          <w:rFonts w:ascii="黑体" w:hAnsi="黑体" w:eastAsia="黑体"/>
          <w:b/>
          <w:bCs/>
          <w:szCs w:val="21"/>
        </w:rPr>
        <w:t>3</w:t>
      </w:r>
      <w:r>
        <w:rPr>
          <w:rFonts w:ascii="黑体" w:hAnsi="宋体" w:eastAsia="黑体"/>
          <w:b/>
          <w:bCs/>
          <w:szCs w:val="21"/>
        </w:rPr>
        <w:t xml:space="preserve"> </w:t>
      </w:r>
      <w:r>
        <w:rPr>
          <w:rFonts w:ascii="黑体" w:hAnsi="黑体" w:eastAsia="黑体"/>
          <w:b/>
          <w:bCs/>
          <w:szCs w:val="21"/>
        </w:rPr>
        <w:t>承包人人员</w:t>
      </w:r>
    </w:p>
    <w:p w14:paraId="1001D4DD">
      <w:pPr>
        <w:spacing w:line="273" w:lineRule="auto"/>
        <w:ind w:firstLine="420" w:firstLineChars="200"/>
        <w:rPr>
          <w:rFonts w:hint="eastAsia" w:ascii="宋体" w:hAnsi="宋体"/>
          <w:szCs w:val="21"/>
        </w:rPr>
      </w:pPr>
      <w:r>
        <w:rPr>
          <w:rFonts w:ascii="宋体" w:hAnsi="宋体"/>
          <w:szCs w:val="21"/>
        </w:rPr>
        <w:t>3.3.1 承包人提交项目管理机构及施工现场管理人员安排报告的期限：</w:t>
      </w:r>
      <w:r>
        <w:rPr>
          <w:rFonts w:ascii="宋体" w:hAnsi="宋体"/>
          <w:szCs w:val="21"/>
          <w:u w:val="single"/>
        </w:rPr>
        <w:t xml:space="preserve">开工前2个工作日内 </w:t>
      </w:r>
      <w:r>
        <w:rPr>
          <w:rFonts w:ascii="宋体" w:hAnsi="宋体"/>
          <w:szCs w:val="21"/>
        </w:rPr>
        <w:t>。如承包人人员与承包人无劳动关系等隶属关系视为其存在挂靠或转包行为，应承担合同总价20%的违约金，且发包人有权解除合同，发包人已收取的履约保证金不再退还，承包人并应赔偿由此对发包人造成的全部损失。</w:t>
      </w:r>
    </w:p>
    <w:p w14:paraId="314FE4BF">
      <w:pPr>
        <w:spacing w:line="273" w:lineRule="auto"/>
        <w:ind w:firstLine="420" w:firstLineChars="200"/>
        <w:rPr>
          <w:rFonts w:hint="eastAsia" w:ascii="宋体" w:hAnsi="宋体"/>
          <w:szCs w:val="21"/>
        </w:rPr>
      </w:pPr>
      <w:r>
        <w:rPr>
          <w:rFonts w:ascii="宋体" w:hAnsi="宋体"/>
          <w:szCs w:val="21"/>
        </w:rPr>
        <w:t>3.3.2承包人无正当理由拒绝撤换主要施工管理人员的违约责任：</w:t>
      </w:r>
      <w:r>
        <w:rPr>
          <w:rFonts w:ascii="宋体" w:hAnsi="宋体"/>
          <w:szCs w:val="21"/>
          <w:u w:val="single"/>
        </w:rPr>
        <w:t xml:space="preserve">  处违约金1万元/人·次 ，并予以撤换。如拒不撤换，发包人有权解除合同并责令承包人退场，由此产生的一切损失由承包人承担，同时承包人应当承担合同总价款30%的违约金，发包人已收取的履约保证金不再退还</w:t>
      </w:r>
      <w:r>
        <w:rPr>
          <w:rFonts w:ascii="宋体" w:hAnsi="宋体"/>
          <w:szCs w:val="21"/>
        </w:rPr>
        <w:t>。</w:t>
      </w:r>
    </w:p>
    <w:p w14:paraId="610751A5">
      <w:pPr>
        <w:spacing w:line="273" w:lineRule="auto"/>
        <w:ind w:firstLine="420" w:firstLineChars="200"/>
        <w:rPr>
          <w:rFonts w:hint="eastAsia" w:ascii="宋体" w:hAnsi="宋体"/>
          <w:szCs w:val="21"/>
          <w:u w:val="single"/>
        </w:rPr>
      </w:pPr>
      <w:r>
        <w:rPr>
          <w:rFonts w:ascii="宋体" w:hAnsi="宋体"/>
          <w:szCs w:val="21"/>
        </w:rPr>
        <w:t>3.3.3承包人主要施工管理人员离开施工现场的批准要求：</w:t>
      </w:r>
      <w:r>
        <w:rPr>
          <w:rFonts w:ascii="宋体" w:hAnsi="宋体"/>
          <w:szCs w:val="21"/>
          <w:u w:val="single"/>
        </w:rPr>
        <w:t xml:space="preserve"> 书面申请，发包人代表签字</w:t>
      </w:r>
      <w:r>
        <w:rPr>
          <w:rFonts w:ascii="宋体" w:hAnsi="宋体"/>
          <w:szCs w:val="21"/>
        </w:rPr>
        <w:t>。</w:t>
      </w:r>
    </w:p>
    <w:p w14:paraId="70D4141C">
      <w:pPr>
        <w:spacing w:line="273" w:lineRule="auto"/>
        <w:ind w:firstLine="420" w:firstLineChars="200"/>
        <w:rPr>
          <w:rFonts w:hint="eastAsia" w:ascii="宋体" w:hAnsi="宋体"/>
          <w:szCs w:val="21"/>
        </w:rPr>
      </w:pPr>
      <w:r>
        <w:rPr>
          <w:rFonts w:ascii="宋体" w:hAnsi="宋体"/>
          <w:szCs w:val="21"/>
        </w:rPr>
        <w:t>3.3.4承包人擅自更换主要施工管理人员的违约责任：</w:t>
      </w:r>
      <w:r>
        <w:rPr>
          <w:rFonts w:ascii="宋体" w:hAnsi="宋体"/>
          <w:szCs w:val="21"/>
          <w:u w:val="single"/>
        </w:rPr>
        <w:t>处违约金1万元/人·次 并予以改正。如拒不改正，发包人有权解除合同并责令承包人退场，承包人应当承担合同总价款10%的违约金，由此产生的一切损失由承包人承担</w:t>
      </w:r>
      <w:r>
        <w:rPr>
          <w:rFonts w:ascii="宋体" w:hAnsi="宋体"/>
          <w:szCs w:val="21"/>
        </w:rPr>
        <w:t>。</w:t>
      </w:r>
    </w:p>
    <w:p w14:paraId="131468F7">
      <w:pPr>
        <w:spacing w:line="273" w:lineRule="auto"/>
        <w:ind w:firstLine="420" w:firstLineChars="200"/>
        <w:rPr>
          <w:rFonts w:hint="eastAsia" w:ascii="宋体" w:hAnsi="宋体"/>
          <w:szCs w:val="21"/>
          <w:u w:val="single"/>
        </w:rPr>
      </w:pPr>
      <w:r>
        <w:rPr>
          <w:rFonts w:ascii="宋体" w:hAnsi="宋体"/>
          <w:szCs w:val="21"/>
        </w:rPr>
        <w:t>3.3.5承包人主要施工管理人员擅自离开施工现场的违约责任</w:t>
      </w:r>
      <w:r>
        <w:rPr>
          <w:rFonts w:ascii="宋体" w:hAnsi="宋体"/>
          <w:szCs w:val="21"/>
          <w:u w:val="single"/>
        </w:rPr>
        <w:t>：处违约金1万元/人·次，由此导致发包人其他损失，还应该承担赔偿责任 。</w:t>
      </w:r>
    </w:p>
    <w:p w14:paraId="110B89B3">
      <w:pPr>
        <w:spacing w:line="273" w:lineRule="auto"/>
        <w:ind w:firstLine="422" w:firstLineChars="200"/>
        <w:rPr>
          <w:rFonts w:hint="eastAsia" w:ascii="宋体" w:hAnsi="宋体"/>
          <w:szCs w:val="21"/>
        </w:rPr>
      </w:pPr>
      <w:r>
        <w:rPr>
          <w:rFonts w:ascii="宋体" w:hAnsi="宋体"/>
          <w:b/>
          <w:bCs/>
          <w:szCs w:val="21"/>
          <w:u w:val="single"/>
        </w:rPr>
        <w:t>3.3.6承包人应为进入施工现场的人员办理出入证并严格管理。项目开工前，承包人须向发包人提供包含身份证复印件信息的进场施工人员名单。发包人有权根据名单对所有进场施工人员进行不定期核查，若存在人员与名单不符、人证不符的情况，每发现一例对承包人罚款2000元/人/次，当日支付并予以改正。</w:t>
      </w:r>
      <w:r>
        <w:rPr>
          <w:rFonts w:ascii="宋体" w:hAnsi="宋体"/>
          <w:szCs w:val="21"/>
          <w:u w:val="single"/>
        </w:rPr>
        <w:t>如拒不改正，发包人有权解除合同并责令承包人退场，承包人应当承担合同总价款10%的违约金，由此产生的一切损失由承包人承担</w:t>
      </w:r>
      <w:r>
        <w:rPr>
          <w:rFonts w:ascii="宋体" w:hAnsi="宋体"/>
          <w:szCs w:val="21"/>
        </w:rPr>
        <w:t>。</w:t>
      </w:r>
    </w:p>
    <w:p w14:paraId="02AE53D3">
      <w:pPr>
        <w:spacing w:line="273" w:lineRule="auto"/>
        <w:ind w:firstLine="420" w:firstLineChars="200"/>
        <w:rPr>
          <w:rFonts w:hint="eastAsia" w:ascii="宋体" w:hAnsi="宋体"/>
          <w:szCs w:val="21"/>
          <w:highlight w:val="yellow"/>
        </w:rPr>
      </w:pPr>
      <w:r>
        <w:rPr>
          <w:rFonts w:ascii="宋体" w:hAnsi="宋体"/>
          <w:szCs w:val="21"/>
        </w:rPr>
        <w:t>3.3.7 施工期间，承包人应按投标文件及本合同约定确保：项目技术负责人、施工员、质量员、安全员在施工现场正常履职。发包人、监理人发现其中任一人员不在施工现场且不能说明合理理由、或经通知不能在合理时间内到达现场的，视为该人员擅自离开施工现场。每发现一人次，承包人应向发包人支付违约金【500】元/人·次，并立即改正。项目人员未经发包人书面同意不得更换，确需更换时，应更换为专业技术能力、职称等不低于原岗位人员人，并应经过发包人同意，否则按20万元/人·次支付违约金。</w:t>
      </w:r>
    </w:p>
    <w:p w14:paraId="74D2772D">
      <w:pPr>
        <w:spacing w:after="120" w:line="273" w:lineRule="auto"/>
        <w:ind w:firstLine="422" w:firstLineChars="200"/>
        <w:outlineLvl w:val="1"/>
        <w:rPr>
          <w:rFonts w:hint="eastAsia" w:ascii="黑体" w:hAnsi="宋体" w:eastAsia="黑体"/>
          <w:b/>
          <w:bCs/>
          <w:szCs w:val="21"/>
        </w:rPr>
      </w:pPr>
      <w:r>
        <w:rPr>
          <w:rFonts w:ascii="黑体" w:hAnsi="宋体" w:eastAsia="黑体"/>
          <w:b/>
          <w:bCs/>
          <w:szCs w:val="21"/>
        </w:rPr>
        <w:t>3.5 分包</w:t>
      </w:r>
    </w:p>
    <w:p w14:paraId="4932FC06">
      <w:pPr>
        <w:spacing w:after="120" w:line="273" w:lineRule="auto"/>
        <w:ind w:firstLine="420" w:firstLineChars="200"/>
        <w:outlineLvl w:val="1"/>
        <w:rPr>
          <w:rFonts w:hint="eastAsia" w:ascii="宋体" w:hAnsi="宋体"/>
          <w:szCs w:val="21"/>
        </w:rPr>
      </w:pPr>
      <w:r>
        <w:rPr>
          <w:rFonts w:ascii="宋体" w:hAnsi="宋体"/>
          <w:szCs w:val="21"/>
        </w:rPr>
        <w:t xml:space="preserve"> 本工程所有列明子项目内容禁止分包。</w:t>
      </w:r>
    </w:p>
    <w:p w14:paraId="43FB5AB4">
      <w:pPr>
        <w:spacing w:after="120" w:line="273" w:lineRule="auto"/>
        <w:ind w:firstLine="422" w:firstLineChars="200"/>
        <w:outlineLvl w:val="1"/>
        <w:rPr>
          <w:rFonts w:hint="eastAsia" w:ascii="黑体" w:hAnsi="宋体" w:eastAsia="黑体"/>
          <w:b/>
          <w:bCs/>
          <w:szCs w:val="21"/>
        </w:rPr>
      </w:pPr>
      <w:r>
        <w:rPr>
          <w:rFonts w:ascii="黑体" w:hAnsi="宋体" w:eastAsia="黑体"/>
          <w:b/>
          <w:bCs/>
          <w:szCs w:val="21"/>
        </w:rPr>
        <w:t>3.6 工程照管与成品、半成品保护</w:t>
      </w:r>
    </w:p>
    <w:p w14:paraId="1CD39425">
      <w:pPr>
        <w:spacing w:line="273" w:lineRule="auto"/>
        <w:ind w:firstLine="420" w:firstLineChars="200"/>
        <w:rPr>
          <w:rFonts w:hint="eastAsia" w:ascii="宋体" w:hAnsi="宋体"/>
          <w:kern w:val="0"/>
          <w:szCs w:val="21"/>
          <w:u w:val="single"/>
        </w:rPr>
      </w:pPr>
      <w:r>
        <w:rPr>
          <w:rFonts w:ascii="宋体" w:hAnsi="宋体"/>
          <w:kern w:val="0"/>
          <w:szCs w:val="21"/>
        </w:rPr>
        <w:t>承包人负责照管工程及工程相关的材料、工程设备的起始时间：</w:t>
      </w:r>
      <w:r>
        <w:rPr>
          <w:rFonts w:ascii="宋体" w:hAnsi="宋体"/>
          <w:kern w:val="0"/>
          <w:szCs w:val="21"/>
          <w:u w:val="single"/>
        </w:rPr>
        <w:t xml:space="preserve"> </w:t>
      </w:r>
      <w:r>
        <w:rPr>
          <w:rFonts w:ascii="宋体" w:hAnsi="宋体"/>
          <w:szCs w:val="21"/>
          <w:u w:val="single"/>
        </w:rPr>
        <w:t>自项目开始至项目竣工验收完成，期间工程相关材料、设备、成品、半成品的损坏、灭失等，承包人负责修复、更换或补充，并承担由此增加的费用及延迟的工期责任。</w:t>
      </w:r>
    </w:p>
    <w:p w14:paraId="7BE7005E">
      <w:pPr>
        <w:spacing w:after="120" w:line="273" w:lineRule="auto"/>
        <w:ind w:firstLine="422" w:firstLineChars="200"/>
        <w:outlineLvl w:val="1"/>
        <w:rPr>
          <w:rFonts w:hint="eastAsia" w:ascii="黑体" w:hAnsi="宋体" w:eastAsia="黑体"/>
          <w:b/>
          <w:bCs/>
          <w:szCs w:val="21"/>
        </w:rPr>
      </w:pPr>
      <w:r>
        <w:rPr>
          <w:rFonts w:ascii="黑体" w:hAnsi="宋体" w:eastAsia="黑体"/>
          <w:b/>
          <w:bCs/>
          <w:szCs w:val="21"/>
        </w:rPr>
        <w:t>3.7 履约担保</w:t>
      </w:r>
    </w:p>
    <w:p w14:paraId="68060770">
      <w:pPr>
        <w:spacing w:line="273" w:lineRule="auto"/>
        <w:ind w:firstLine="420" w:firstLineChars="200"/>
        <w:jc w:val="left"/>
        <w:rPr>
          <w:rFonts w:hint="eastAsia" w:ascii="宋体" w:hAnsi="宋体"/>
          <w:szCs w:val="21"/>
        </w:rPr>
      </w:pPr>
      <w:r>
        <w:rPr>
          <w:rFonts w:ascii="宋体" w:hAnsi="宋体"/>
          <w:szCs w:val="21"/>
        </w:rPr>
        <w:t>3.7.1承包人是否提供履约担保：</w:t>
      </w:r>
      <w:r>
        <w:rPr>
          <w:rFonts w:ascii="宋体" w:hAnsi="宋体"/>
          <w:szCs w:val="21"/>
          <w:u w:val="single"/>
        </w:rPr>
        <w:t xml:space="preserve">   提供    </w:t>
      </w:r>
      <w:r>
        <w:rPr>
          <w:rFonts w:ascii="宋体" w:hAnsi="宋体"/>
          <w:szCs w:val="21"/>
        </w:rPr>
        <w:t>。</w:t>
      </w:r>
    </w:p>
    <w:p w14:paraId="4A58461A">
      <w:pPr>
        <w:spacing w:line="273" w:lineRule="auto"/>
        <w:ind w:firstLine="420" w:firstLineChars="200"/>
        <w:jc w:val="left"/>
        <w:rPr>
          <w:rFonts w:hint="eastAsia" w:ascii="宋体" w:hAnsi="宋体"/>
          <w:szCs w:val="21"/>
        </w:rPr>
      </w:pPr>
      <w:r>
        <w:rPr>
          <w:rFonts w:ascii="宋体" w:hAnsi="宋体"/>
          <w:szCs w:val="21"/>
        </w:rPr>
        <w:t>3.7.2承包人提供履约担保的形式、金额及期限：</w:t>
      </w:r>
    </w:p>
    <w:p w14:paraId="37863B4C">
      <w:pPr>
        <w:spacing w:line="273" w:lineRule="auto"/>
        <w:ind w:firstLine="420" w:firstLineChars="200"/>
        <w:jc w:val="left"/>
        <w:rPr>
          <w:rFonts w:ascii="Calibri" w:hAnsi="Calibri"/>
          <w:szCs w:val="21"/>
          <w:u w:val="single"/>
        </w:rPr>
      </w:pPr>
      <w:r>
        <w:rPr>
          <w:rFonts w:ascii="宋体" w:hAnsi="宋体"/>
          <w:szCs w:val="21"/>
          <w:u w:val="single"/>
        </w:rPr>
        <w:t>承包人在收到成交通知书后</w:t>
      </w:r>
      <w:r>
        <w:rPr>
          <w:rFonts w:ascii="Calibri" w:hAnsi="Calibri" w:cs="Calibri"/>
          <w:szCs w:val="21"/>
          <w:u w:val="single"/>
        </w:rPr>
        <w:t>10</w:t>
      </w:r>
      <w:r>
        <w:rPr>
          <w:rFonts w:ascii="宋体" w:hAnsi="宋体"/>
          <w:szCs w:val="21"/>
          <w:u w:val="single"/>
        </w:rPr>
        <w:t>日内，并于合同签订前，可通过银行转账或者金融机构出具的保函</w:t>
      </w:r>
      <w:r>
        <w:rPr>
          <w:rFonts w:ascii="Calibri" w:hAnsi="Calibri" w:cs="Calibri"/>
          <w:szCs w:val="21"/>
          <w:u w:val="single"/>
        </w:rPr>
        <w:t>(</w:t>
      </w:r>
      <w:r>
        <w:rPr>
          <w:rFonts w:ascii="宋体" w:hAnsi="宋体"/>
          <w:szCs w:val="21"/>
          <w:u w:val="single"/>
        </w:rPr>
        <w:t>包括电子保函</w:t>
      </w:r>
      <w:r>
        <w:rPr>
          <w:rFonts w:ascii="Calibri" w:hAnsi="Calibri" w:cs="Calibri"/>
          <w:szCs w:val="21"/>
          <w:u w:val="single"/>
        </w:rPr>
        <w:t>/</w:t>
      </w:r>
      <w:r>
        <w:rPr>
          <w:rFonts w:ascii="宋体" w:hAnsi="宋体"/>
          <w:szCs w:val="21"/>
          <w:u w:val="single"/>
        </w:rPr>
        <w:t>保险）等形式提供履约担保，履约保证金为合同金额的10%。若以转账方式提供履约保证金，工程验收合格后</w:t>
      </w:r>
      <w:r>
        <w:rPr>
          <w:rFonts w:ascii="Calibri" w:hAnsi="Calibri" w:cs="Calibri"/>
          <w:szCs w:val="21"/>
          <w:u w:val="single"/>
        </w:rPr>
        <w:t>10</w:t>
      </w:r>
      <w:r>
        <w:rPr>
          <w:rFonts w:ascii="宋体" w:hAnsi="宋体"/>
          <w:szCs w:val="21"/>
          <w:u w:val="single"/>
        </w:rPr>
        <w:t>个工作日内履行无息退还手续。若承包人提供履约担保的，履约担保的有效期至本工程竣工验收合格并移交之日止。承包人未按时提交履约保证金，发包人有权解除合同并没收投标保证金，且承包人按合同价</w:t>
      </w:r>
      <w:r>
        <w:rPr>
          <w:rFonts w:ascii="Calibri" w:hAnsi="Calibri" w:cs="Calibri"/>
          <w:szCs w:val="21"/>
          <w:u w:val="single"/>
        </w:rPr>
        <w:t>2%</w:t>
      </w:r>
      <w:r>
        <w:rPr>
          <w:rFonts w:ascii="宋体" w:hAnsi="宋体"/>
          <w:szCs w:val="21"/>
          <w:u w:val="single"/>
        </w:rPr>
        <w:t>支付违约金。</w:t>
      </w:r>
    </w:p>
    <w:p w14:paraId="339DA302">
      <w:pPr>
        <w:spacing w:line="273" w:lineRule="auto"/>
        <w:ind w:firstLine="420" w:firstLineChars="200"/>
        <w:jc w:val="left"/>
        <w:rPr>
          <w:rFonts w:hint="eastAsia" w:ascii="宋体" w:hAnsi="宋体"/>
          <w:szCs w:val="21"/>
        </w:rPr>
      </w:pPr>
      <w:r>
        <w:rPr>
          <w:rFonts w:ascii="宋体" w:hAnsi="宋体"/>
          <w:szCs w:val="21"/>
        </w:rPr>
        <w:t>3.7.3履约担保信息：</w:t>
      </w:r>
    </w:p>
    <w:p w14:paraId="418359BF">
      <w:pPr>
        <w:spacing w:line="273" w:lineRule="auto"/>
        <w:ind w:firstLine="420" w:firstLineChars="200"/>
        <w:jc w:val="left"/>
        <w:rPr>
          <w:rFonts w:hint="eastAsia" w:ascii="宋体" w:hAnsi="宋体"/>
          <w:szCs w:val="21"/>
        </w:rPr>
      </w:pPr>
      <w:r>
        <w:rPr>
          <w:rFonts w:ascii="宋体" w:hAnsi="宋体"/>
          <w:szCs w:val="21"/>
        </w:rPr>
        <w:t>担保人名称：</w:t>
      </w:r>
      <w:r>
        <w:rPr>
          <w:rFonts w:ascii="宋体" w:hAnsi="宋体"/>
          <w:szCs w:val="21"/>
          <w:u w:val="single"/>
        </w:rPr>
        <w:t xml:space="preserve">                                              </w:t>
      </w:r>
    </w:p>
    <w:p w14:paraId="6716BBF1">
      <w:pPr>
        <w:spacing w:line="273" w:lineRule="auto"/>
        <w:ind w:firstLine="420" w:firstLineChars="200"/>
        <w:jc w:val="left"/>
        <w:rPr>
          <w:rFonts w:hint="eastAsia" w:ascii="宋体" w:hAnsi="宋体"/>
          <w:szCs w:val="21"/>
        </w:rPr>
      </w:pPr>
      <w:r>
        <w:rPr>
          <w:rFonts w:ascii="宋体" w:hAnsi="宋体"/>
          <w:szCs w:val="21"/>
        </w:rPr>
        <w:t>担保金额：</w:t>
      </w:r>
      <w:r>
        <w:rPr>
          <w:rFonts w:ascii="宋体" w:hAnsi="宋体"/>
          <w:szCs w:val="21"/>
          <w:u w:val="single"/>
        </w:rPr>
        <w:t xml:space="preserve">                                                </w:t>
      </w:r>
    </w:p>
    <w:p w14:paraId="6E34F84C">
      <w:pPr>
        <w:spacing w:line="273" w:lineRule="auto"/>
        <w:ind w:firstLine="420" w:firstLineChars="200"/>
        <w:jc w:val="left"/>
        <w:rPr>
          <w:rFonts w:hint="eastAsia" w:ascii="宋体" w:hAnsi="宋体"/>
          <w:szCs w:val="21"/>
        </w:rPr>
      </w:pPr>
      <w:r>
        <w:rPr>
          <w:rFonts w:ascii="宋体" w:hAnsi="宋体"/>
          <w:szCs w:val="21"/>
        </w:rPr>
        <w:t>保函有效期：</w:t>
      </w:r>
      <w:r>
        <w:rPr>
          <w:rFonts w:ascii="宋体" w:hAnsi="宋体"/>
          <w:szCs w:val="21"/>
          <w:u w:val="single"/>
        </w:rPr>
        <w:t xml:space="preserve">                                              </w:t>
      </w:r>
    </w:p>
    <w:p w14:paraId="01265D18">
      <w:pPr>
        <w:spacing w:line="273" w:lineRule="auto"/>
        <w:ind w:firstLine="422" w:firstLineChars="200"/>
        <w:jc w:val="left"/>
        <w:rPr>
          <w:rFonts w:hint="eastAsia" w:ascii="黑体" w:hAnsi="宋体" w:eastAsia="黑体"/>
          <w:b/>
          <w:bCs/>
          <w:szCs w:val="21"/>
        </w:rPr>
      </w:pPr>
      <w:r>
        <w:rPr>
          <w:rFonts w:ascii="黑体" w:hAnsi="宋体" w:eastAsia="黑体"/>
          <w:b/>
          <w:bCs/>
          <w:szCs w:val="21"/>
        </w:rPr>
        <w:t>4. 监</w:t>
      </w:r>
      <w:r>
        <w:rPr>
          <w:rFonts w:ascii="黑体" w:hAnsi="黑体" w:eastAsia="黑体"/>
          <w:b/>
          <w:bCs/>
          <w:szCs w:val="21"/>
        </w:rPr>
        <w:t>理人</w:t>
      </w:r>
    </w:p>
    <w:p w14:paraId="37CE2155">
      <w:pPr>
        <w:spacing w:after="120" w:line="273" w:lineRule="auto"/>
        <w:ind w:firstLine="422" w:firstLineChars="200"/>
        <w:outlineLvl w:val="1"/>
        <w:rPr>
          <w:rFonts w:hint="eastAsia" w:ascii="黑体" w:hAnsi="宋体" w:eastAsia="黑体"/>
          <w:b/>
          <w:bCs/>
          <w:szCs w:val="21"/>
        </w:rPr>
      </w:pPr>
      <w:r>
        <w:rPr>
          <w:rFonts w:ascii="黑体" w:hAnsi="宋体" w:eastAsia="黑体"/>
          <w:b/>
          <w:bCs/>
          <w:szCs w:val="21"/>
        </w:rPr>
        <w:t>4.1监理人的一般规定</w:t>
      </w:r>
    </w:p>
    <w:p w14:paraId="79E19BE2">
      <w:pPr>
        <w:spacing w:line="273" w:lineRule="auto"/>
        <w:ind w:firstLine="420" w:firstLineChars="200"/>
        <w:jc w:val="left"/>
        <w:rPr>
          <w:rFonts w:hint="eastAsia" w:ascii="宋体" w:hAnsi="宋体"/>
          <w:szCs w:val="21"/>
        </w:rPr>
      </w:pPr>
      <w:r>
        <w:rPr>
          <w:rFonts w:ascii="宋体" w:hAnsi="宋体"/>
          <w:szCs w:val="21"/>
        </w:rPr>
        <w:t>关于监理人的监理内容：</w:t>
      </w:r>
      <w:r>
        <w:rPr>
          <w:rFonts w:ascii="宋体" w:hAnsi="宋体"/>
          <w:szCs w:val="21"/>
          <w:u w:val="single"/>
        </w:rPr>
        <w:t xml:space="preserve">  本项目施工范围内的全部监理工作     </w:t>
      </w:r>
      <w:r>
        <w:rPr>
          <w:rFonts w:ascii="宋体" w:hAnsi="宋体"/>
          <w:szCs w:val="21"/>
        </w:rPr>
        <w:t>。</w:t>
      </w:r>
    </w:p>
    <w:p w14:paraId="5F2628E2">
      <w:pPr>
        <w:spacing w:line="273" w:lineRule="auto"/>
        <w:ind w:firstLine="420" w:firstLineChars="200"/>
        <w:jc w:val="left"/>
        <w:rPr>
          <w:rFonts w:hint="eastAsia" w:ascii="宋体" w:hAnsi="宋体"/>
          <w:szCs w:val="21"/>
        </w:rPr>
      </w:pPr>
      <w:r>
        <w:rPr>
          <w:rFonts w:ascii="宋体" w:hAnsi="宋体"/>
          <w:szCs w:val="21"/>
        </w:rPr>
        <w:t>关于监理人的监理权限：</w:t>
      </w:r>
      <w:r>
        <w:rPr>
          <w:rFonts w:ascii="宋体" w:hAnsi="宋体"/>
          <w:szCs w:val="21"/>
          <w:u w:val="single"/>
        </w:rPr>
        <w:t xml:space="preserve">     按监理合同执行    </w:t>
      </w:r>
      <w:r>
        <w:rPr>
          <w:rFonts w:ascii="宋体" w:hAnsi="宋体"/>
          <w:szCs w:val="21"/>
        </w:rPr>
        <w:t xml:space="preserve">。 </w:t>
      </w:r>
    </w:p>
    <w:p w14:paraId="55FB42A3">
      <w:pPr>
        <w:spacing w:line="273" w:lineRule="auto"/>
        <w:ind w:firstLine="420" w:firstLineChars="200"/>
        <w:rPr>
          <w:rFonts w:hint="eastAsia" w:ascii="宋体" w:hAnsi="宋体"/>
          <w:b/>
          <w:bCs/>
          <w:szCs w:val="21"/>
        </w:rPr>
      </w:pPr>
      <w:r>
        <w:rPr>
          <w:rFonts w:ascii="宋体" w:hAnsi="宋体"/>
          <w:szCs w:val="21"/>
        </w:rPr>
        <w:t>关于监理人在施工现场的办公场所、生活场所的提供和费用承担的约定：</w:t>
      </w:r>
      <w:r>
        <w:rPr>
          <w:rFonts w:ascii="宋体" w:hAnsi="宋体"/>
          <w:szCs w:val="21"/>
          <w:u w:val="single"/>
        </w:rPr>
        <w:t xml:space="preserve"> </w:t>
      </w:r>
      <w:r>
        <w:rPr>
          <w:rFonts w:ascii="宋体" w:hAnsi="宋体"/>
          <w:b/>
          <w:bCs/>
          <w:szCs w:val="21"/>
          <w:u w:val="single"/>
        </w:rPr>
        <w:t xml:space="preserve"> 监理人的办公场所由发包人提供。</w:t>
      </w:r>
    </w:p>
    <w:p w14:paraId="23384D92">
      <w:pPr>
        <w:spacing w:after="120" w:line="273" w:lineRule="auto"/>
        <w:ind w:firstLine="422" w:firstLineChars="200"/>
        <w:outlineLvl w:val="1"/>
        <w:rPr>
          <w:rFonts w:hint="eastAsia" w:ascii="黑体" w:hAnsi="宋体" w:eastAsia="黑体"/>
          <w:b/>
          <w:bCs/>
          <w:szCs w:val="21"/>
        </w:rPr>
      </w:pPr>
      <w:r>
        <w:rPr>
          <w:rFonts w:ascii="黑体" w:hAnsi="宋体" w:eastAsia="黑体"/>
          <w:b/>
          <w:bCs/>
          <w:szCs w:val="21"/>
        </w:rPr>
        <w:t>4.2 监理人员</w:t>
      </w:r>
    </w:p>
    <w:p w14:paraId="42049229">
      <w:pPr>
        <w:spacing w:line="273" w:lineRule="auto"/>
        <w:ind w:firstLine="420" w:firstLineChars="200"/>
        <w:rPr>
          <w:rFonts w:hint="eastAsia" w:ascii="宋体" w:hAnsi="宋体"/>
          <w:szCs w:val="21"/>
        </w:rPr>
      </w:pPr>
      <w:r>
        <w:rPr>
          <w:rFonts w:ascii="宋体" w:hAnsi="宋体"/>
          <w:szCs w:val="21"/>
        </w:rPr>
        <w:t>总监理工程师：</w:t>
      </w:r>
    </w:p>
    <w:p w14:paraId="44680A9B">
      <w:pPr>
        <w:spacing w:line="273" w:lineRule="auto"/>
        <w:ind w:firstLine="420" w:firstLineChars="200"/>
        <w:rPr>
          <w:rFonts w:hint="eastAsia" w:ascii="宋体" w:hAnsi="宋体"/>
          <w:szCs w:val="21"/>
        </w:rPr>
      </w:pPr>
      <w:r>
        <w:rPr>
          <w:rFonts w:ascii="宋体" w:hAnsi="宋体"/>
          <w:szCs w:val="21"/>
        </w:rPr>
        <w:t>姓    名：</w:t>
      </w:r>
      <w:r>
        <w:rPr>
          <w:rFonts w:ascii="宋体" w:hAnsi="宋体"/>
          <w:szCs w:val="21"/>
          <w:u w:val="single"/>
        </w:rPr>
        <w:t>               </w:t>
      </w:r>
      <w:r>
        <w:rPr>
          <w:rFonts w:ascii="宋体" w:hAnsi="宋体"/>
          <w:szCs w:val="21"/>
        </w:rPr>
        <w:t>；</w:t>
      </w:r>
    </w:p>
    <w:p w14:paraId="666BC2BC">
      <w:pPr>
        <w:spacing w:after="120" w:line="273" w:lineRule="auto"/>
        <w:ind w:firstLine="422" w:firstLineChars="200"/>
        <w:outlineLvl w:val="1"/>
        <w:rPr>
          <w:rFonts w:hint="eastAsia" w:ascii="黑体" w:hAnsi="宋体" w:eastAsia="黑体"/>
          <w:b/>
          <w:bCs/>
          <w:szCs w:val="21"/>
        </w:rPr>
      </w:pPr>
      <w:r>
        <w:rPr>
          <w:rFonts w:ascii="黑体" w:hAnsi="宋体" w:eastAsia="黑体"/>
          <w:b/>
          <w:bCs/>
          <w:szCs w:val="21"/>
        </w:rPr>
        <w:t>4.4 商定或确定</w:t>
      </w:r>
    </w:p>
    <w:p w14:paraId="4F1A8BC0">
      <w:pPr>
        <w:spacing w:line="273" w:lineRule="auto"/>
        <w:ind w:firstLine="420" w:firstLineChars="200"/>
        <w:rPr>
          <w:rFonts w:hint="eastAsia" w:ascii="宋体" w:hAnsi="宋体"/>
          <w:szCs w:val="21"/>
        </w:rPr>
      </w:pPr>
      <w:r>
        <w:rPr>
          <w:rFonts w:ascii="宋体" w:hAnsi="宋体"/>
          <w:szCs w:val="21"/>
        </w:rPr>
        <w:t>在发包人和承包人不能通过协商达成一致意见时，发包人授权监理人对以下事项进行确定：</w:t>
      </w:r>
    </w:p>
    <w:p w14:paraId="48701C57">
      <w:pPr>
        <w:spacing w:line="273" w:lineRule="auto"/>
        <w:ind w:firstLine="420" w:firstLineChars="200"/>
        <w:rPr>
          <w:rFonts w:hint="eastAsia" w:ascii="宋体" w:hAnsi="宋体"/>
          <w:kern w:val="0"/>
          <w:szCs w:val="21"/>
        </w:rPr>
      </w:pPr>
      <w:r>
        <w:rPr>
          <w:rFonts w:ascii="宋体" w:hAnsi="宋体"/>
          <w:kern w:val="0"/>
          <w:szCs w:val="21"/>
        </w:rPr>
        <w:t>(1)</w:t>
      </w:r>
      <w:r>
        <w:rPr>
          <w:rFonts w:ascii="宋体" w:hAnsi="宋体"/>
          <w:kern w:val="0"/>
          <w:szCs w:val="21"/>
          <w:u w:val="single"/>
        </w:rPr>
        <w:t>材料、设备技术参数是否满足设计文件及招标文件要求；</w:t>
      </w:r>
    </w:p>
    <w:p w14:paraId="0FFC1C69">
      <w:pPr>
        <w:spacing w:line="273" w:lineRule="auto"/>
        <w:ind w:firstLine="420" w:firstLineChars="200"/>
        <w:rPr>
          <w:rFonts w:hint="eastAsia" w:ascii="宋体" w:hAnsi="宋体"/>
          <w:kern w:val="0"/>
          <w:szCs w:val="21"/>
        </w:rPr>
      </w:pPr>
      <w:r>
        <w:rPr>
          <w:rFonts w:ascii="宋体" w:hAnsi="宋体"/>
          <w:kern w:val="0"/>
          <w:szCs w:val="21"/>
        </w:rPr>
        <w:t>(2)</w:t>
      </w:r>
      <w:r>
        <w:rPr>
          <w:rFonts w:ascii="宋体" w:hAnsi="宋体"/>
          <w:kern w:val="0"/>
          <w:szCs w:val="21"/>
          <w:u w:val="single"/>
        </w:rPr>
        <w:t>工法、技术措施是否满足设计文件及验收规范要求；</w:t>
      </w:r>
    </w:p>
    <w:p w14:paraId="55DAA3B6">
      <w:pPr>
        <w:spacing w:line="273" w:lineRule="auto"/>
        <w:ind w:firstLine="420" w:firstLineChars="200"/>
        <w:rPr>
          <w:rFonts w:hint="eastAsia" w:ascii="宋体" w:hAnsi="宋体"/>
          <w:kern w:val="0"/>
          <w:szCs w:val="21"/>
        </w:rPr>
      </w:pPr>
      <w:r>
        <w:rPr>
          <w:rFonts w:ascii="宋体" w:hAnsi="宋体"/>
          <w:kern w:val="0"/>
          <w:szCs w:val="21"/>
        </w:rPr>
        <w:t>(3)</w:t>
      </w:r>
      <w:r>
        <w:rPr>
          <w:rFonts w:ascii="宋体" w:hAnsi="宋体"/>
          <w:kern w:val="0"/>
          <w:szCs w:val="21"/>
          <w:u w:val="single"/>
        </w:rPr>
        <w:t>工程半成品、成品的感观质量是否满足验收规范要求。</w:t>
      </w:r>
    </w:p>
    <w:p w14:paraId="3FC76677">
      <w:pPr>
        <w:spacing w:line="273" w:lineRule="auto"/>
        <w:outlineLvl w:val="0"/>
        <w:rPr>
          <w:rFonts w:hint="eastAsia" w:ascii="黑体" w:hAnsi="宋体" w:eastAsia="黑体"/>
          <w:b/>
          <w:bCs/>
          <w:szCs w:val="21"/>
        </w:rPr>
      </w:pPr>
      <w:r>
        <w:rPr>
          <w:rFonts w:ascii="黑体" w:hAnsi="宋体" w:eastAsia="黑体"/>
          <w:b/>
          <w:bCs/>
          <w:szCs w:val="21"/>
        </w:rPr>
        <w:t>5. 工程质量</w:t>
      </w:r>
    </w:p>
    <w:p w14:paraId="5FB2CBE7">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5.1 质量要求</w:t>
      </w:r>
    </w:p>
    <w:p w14:paraId="6945539A">
      <w:pPr>
        <w:spacing w:line="273" w:lineRule="auto"/>
        <w:ind w:firstLine="420" w:firstLineChars="200"/>
        <w:jc w:val="left"/>
        <w:rPr>
          <w:rFonts w:hint="eastAsia" w:ascii="宋体" w:hAnsi="宋体"/>
          <w:szCs w:val="21"/>
        </w:rPr>
      </w:pPr>
      <w:r>
        <w:rPr>
          <w:rFonts w:ascii="宋体" w:hAnsi="宋体"/>
          <w:szCs w:val="21"/>
        </w:rPr>
        <w:t>5.1.1 特殊质量标准和要求：</w:t>
      </w:r>
      <w:r>
        <w:rPr>
          <w:rFonts w:ascii="宋体" w:hAnsi="宋体"/>
          <w:szCs w:val="21"/>
          <w:u w:val="single"/>
        </w:rPr>
        <w:t xml:space="preserve"> 依照采购文件及其补充文件中要求和声明的标准规范 ，主要材料设备需提前报送样品，经发包人封样后方可进场；施工工艺需符合发包人批准的《施工组织设计》中工艺工法标准。质量标准以招标文件技术规范、国家现行施工验收规范及发包人书面确认的工艺要求中最高标准为准  </w:t>
      </w:r>
      <w:r>
        <w:rPr>
          <w:rFonts w:ascii="宋体" w:hAnsi="宋体"/>
          <w:szCs w:val="21"/>
        </w:rPr>
        <w:t>。</w:t>
      </w:r>
    </w:p>
    <w:p w14:paraId="23A5305C">
      <w:pPr>
        <w:spacing w:line="273" w:lineRule="auto"/>
        <w:ind w:firstLine="420" w:firstLineChars="200"/>
        <w:jc w:val="left"/>
        <w:rPr>
          <w:rFonts w:hint="eastAsia" w:ascii="宋体" w:hAnsi="宋体"/>
          <w:szCs w:val="21"/>
        </w:rPr>
      </w:pPr>
      <w:r>
        <w:rPr>
          <w:rFonts w:ascii="宋体" w:hAnsi="宋体"/>
          <w:szCs w:val="21"/>
        </w:rPr>
        <w:t>关于工程奖项的约定：</w:t>
      </w:r>
      <w:r>
        <w:rPr>
          <w:rFonts w:ascii="宋体" w:hAnsi="宋体"/>
          <w:szCs w:val="21"/>
          <w:u w:val="single"/>
        </w:rPr>
        <w:t xml:space="preserve">    无  </w:t>
      </w:r>
      <w:r>
        <w:rPr>
          <w:rFonts w:ascii="宋体" w:hAnsi="宋体"/>
          <w:szCs w:val="21"/>
        </w:rPr>
        <w:t>。</w:t>
      </w:r>
    </w:p>
    <w:p w14:paraId="133D051A">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5.</w:t>
      </w:r>
      <w:r>
        <w:rPr>
          <w:rFonts w:ascii="黑体" w:hAnsi="黑体" w:eastAsia="黑体"/>
          <w:b/>
          <w:bCs/>
          <w:szCs w:val="21"/>
        </w:rPr>
        <w:t>2</w:t>
      </w:r>
      <w:r>
        <w:rPr>
          <w:rFonts w:ascii="黑体" w:hAnsi="宋体" w:eastAsia="黑体"/>
          <w:b/>
          <w:bCs/>
          <w:szCs w:val="21"/>
        </w:rPr>
        <w:t xml:space="preserve"> </w:t>
      </w:r>
      <w:r>
        <w:rPr>
          <w:rFonts w:ascii="黑体" w:hAnsi="黑体" w:eastAsia="黑体"/>
          <w:b/>
          <w:bCs/>
          <w:szCs w:val="21"/>
        </w:rPr>
        <w:t>隐蔽工程检查</w:t>
      </w:r>
    </w:p>
    <w:p w14:paraId="26F97B75">
      <w:pPr>
        <w:spacing w:line="273" w:lineRule="auto"/>
        <w:ind w:firstLine="420" w:firstLineChars="200"/>
        <w:jc w:val="left"/>
        <w:rPr>
          <w:rFonts w:hint="eastAsia" w:ascii="宋体" w:hAnsi="宋体"/>
          <w:szCs w:val="21"/>
        </w:rPr>
      </w:pPr>
      <w:r>
        <w:rPr>
          <w:rFonts w:ascii="宋体" w:hAnsi="宋体"/>
          <w:szCs w:val="21"/>
        </w:rPr>
        <w:t>5.2.1承包人提前通知监理人隐蔽工程检查的期限的约定：</w:t>
      </w:r>
      <w:r>
        <w:rPr>
          <w:rFonts w:ascii="宋体" w:hAnsi="宋体"/>
          <w:szCs w:val="21"/>
          <w:u w:val="single"/>
        </w:rPr>
        <w:t>应于覆盖前48小时通知监理人。地下管网隐蔽工程覆盖前，需经发包人+监理+设计三方联合验收并留存</w:t>
      </w:r>
      <w:r>
        <w:rPr>
          <w:rFonts w:ascii="宋体" w:hAnsi="宋体"/>
          <w:b/>
          <w:bCs/>
          <w:szCs w:val="21"/>
          <w:u w:val="single"/>
        </w:rPr>
        <w:t>影像资料</w:t>
      </w:r>
      <w:r>
        <w:rPr>
          <w:rFonts w:ascii="宋体" w:hAnsi="宋体"/>
          <w:szCs w:val="21"/>
          <w:u w:val="single"/>
        </w:rPr>
        <w:t>，否则发包人有权拒付该部分工程款。</w:t>
      </w:r>
    </w:p>
    <w:p w14:paraId="4C01F625">
      <w:pPr>
        <w:spacing w:line="273" w:lineRule="auto"/>
        <w:ind w:firstLine="420" w:firstLineChars="200"/>
        <w:jc w:val="left"/>
        <w:rPr>
          <w:rFonts w:hint="eastAsia" w:ascii="宋体" w:hAnsi="宋体"/>
          <w:szCs w:val="21"/>
        </w:rPr>
      </w:pPr>
      <w:r>
        <w:rPr>
          <w:rFonts w:ascii="宋体" w:hAnsi="宋体"/>
          <w:szCs w:val="21"/>
        </w:rPr>
        <w:t>监理人不能按时进行检查时，应提前</w:t>
      </w:r>
      <w:r>
        <w:rPr>
          <w:rFonts w:ascii="宋体" w:hAnsi="宋体"/>
          <w:szCs w:val="21"/>
          <w:u w:val="single"/>
        </w:rPr>
        <w:t xml:space="preserve"> 12  </w:t>
      </w:r>
      <w:r>
        <w:rPr>
          <w:rFonts w:ascii="宋体" w:hAnsi="宋体"/>
          <w:szCs w:val="21"/>
        </w:rPr>
        <w:t>小时提交书面延期要求。</w:t>
      </w:r>
    </w:p>
    <w:p w14:paraId="024CBD97">
      <w:pPr>
        <w:spacing w:line="273" w:lineRule="auto"/>
        <w:ind w:firstLine="420" w:firstLineChars="200"/>
        <w:jc w:val="left"/>
        <w:rPr>
          <w:rFonts w:hint="eastAsia" w:ascii="宋体" w:hAnsi="宋体"/>
          <w:szCs w:val="21"/>
        </w:rPr>
      </w:pPr>
      <w:r>
        <w:rPr>
          <w:rFonts w:ascii="宋体" w:hAnsi="宋体"/>
          <w:szCs w:val="21"/>
        </w:rPr>
        <w:t>关于延期最长不得超过：</w:t>
      </w:r>
      <w:r>
        <w:rPr>
          <w:rFonts w:ascii="宋体" w:hAnsi="宋体"/>
          <w:szCs w:val="21"/>
          <w:u w:val="single"/>
        </w:rPr>
        <w:t xml:space="preserve">  24   </w:t>
      </w:r>
      <w:r>
        <w:rPr>
          <w:rFonts w:ascii="宋体" w:hAnsi="宋体"/>
          <w:szCs w:val="21"/>
        </w:rPr>
        <w:t>小时。</w:t>
      </w:r>
    </w:p>
    <w:p w14:paraId="5511FCA8">
      <w:pPr>
        <w:spacing w:line="273" w:lineRule="auto"/>
        <w:jc w:val="left"/>
        <w:outlineLvl w:val="0"/>
        <w:rPr>
          <w:rFonts w:hint="eastAsia" w:ascii="黑体" w:hAnsi="宋体" w:eastAsia="黑体"/>
          <w:b/>
          <w:bCs/>
          <w:szCs w:val="21"/>
        </w:rPr>
      </w:pPr>
      <w:r>
        <w:rPr>
          <w:rFonts w:ascii="黑体" w:hAnsi="宋体" w:eastAsia="黑体"/>
          <w:b/>
          <w:bCs/>
          <w:szCs w:val="21"/>
        </w:rPr>
        <w:t>6. 安全文明施工与环境保护</w:t>
      </w:r>
    </w:p>
    <w:p w14:paraId="2E1698B8">
      <w:pPr>
        <w:spacing w:after="120" w:line="273" w:lineRule="auto"/>
        <w:ind w:firstLine="422" w:firstLineChars="200"/>
        <w:outlineLvl w:val="1"/>
        <w:rPr>
          <w:rFonts w:hint="eastAsia" w:ascii="黑体" w:hAnsi="宋体" w:eastAsia="黑体"/>
          <w:b/>
          <w:bCs/>
          <w:szCs w:val="21"/>
        </w:rPr>
      </w:pPr>
      <w:r>
        <w:rPr>
          <w:rFonts w:ascii="黑体" w:hAnsi="宋体" w:eastAsia="黑体"/>
          <w:b/>
          <w:bCs/>
          <w:szCs w:val="21"/>
        </w:rPr>
        <w:t>6.1安全文明施工</w:t>
      </w:r>
    </w:p>
    <w:p w14:paraId="33ED939A">
      <w:pPr>
        <w:spacing w:line="300" w:lineRule="auto"/>
        <w:ind w:firstLine="420" w:firstLineChars="200"/>
        <w:jc w:val="left"/>
        <w:rPr>
          <w:rFonts w:hint="eastAsia" w:ascii="宋体" w:hAnsi="宋体"/>
          <w:szCs w:val="21"/>
        </w:rPr>
      </w:pPr>
      <w:r>
        <w:rPr>
          <w:rFonts w:ascii="宋体" w:hAnsi="宋体"/>
          <w:szCs w:val="21"/>
        </w:rPr>
        <w:t>6.1.1 项目安全生产的达标目标及相应事项的约定：</w:t>
      </w:r>
      <w:r>
        <w:rPr>
          <w:rFonts w:ascii="宋体" w:hAnsi="宋体"/>
          <w:szCs w:val="21"/>
          <w:u w:val="single"/>
        </w:rPr>
        <w:t xml:space="preserve">   按照《河南省安全文明工地评审办法》、《郑州市建设工程安全文明标准化工地评审办法》标准组织施工，并且切实落实承包人提交的安全施工规划、方案、预案和措施，执行发包人及监理人关于安全生产的要求和指示，由此发生的各项费用已包括在承包人的签约合同价中 </w:t>
      </w:r>
      <w:r>
        <w:rPr>
          <w:rFonts w:ascii="宋体" w:hAnsi="宋体"/>
          <w:szCs w:val="21"/>
        </w:rPr>
        <w:t>。</w:t>
      </w:r>
    </w:p>
    <w:p w14:paraId="3C443CBC">
      <w:pPr>
        <w:spacing w:line="300" w:lineRule="auto"/>
        <w:ind w:firstLine="420" w:firstLineChars="200"/>
        <w:jc w:val="left"/>
        <w:rPr>
          <w:rFonts w:hint="eastAsia" w:ascii="宋体" w:hAnsi="宋体"/>
          <w:szCs w:val="21"/>
          <w:u w:val="single"/>
        </w:rPr>
      </w:pPr>
      <w:r>
        <w:rPr>
          <w:rFonts w:ascii="宋体" w:hAnsi="宋体"/>
          <w:szCs w:val="21"/>
          <w:u w:val="single"/>
        </w:rPr>
        <w:t>承包人要严格执行安全施工规章制度，现场施工人员必须佩戴安全帽，施工现场必须采取防护措施，严防事故发生。否则，由此造成的财产损失、人身伤害等均由承包人承担，若因此造成发包人损失或发包人被第三方索赔的，由承包人承担相关费用且工期不顺延。同时，发包人将对承包人予以严厉的经济处罚，每次处罚额度为履约保证金总额的30%。对于其它安全事件，发包人将视情况给予承包人1万元以上的经济处罚。承包人在进场施工之前，必须向发包人呈报本工程专职安全员名单，同时应根据施工现场配足、配好消防灭火器材。承包人在施工全过程中必须杜绝各种安全隐患，认真执行发包人或监理人下达的安全隐患整改意见。否则发包人将视情况给予本合同总金额1%-10%违约处罚。</w:t>
      </w:r>
    </w:p>
    <w:p w14:paraId="20DABE35">
      <w:pPr>
        <w:spacing w:line="300" w:lineRule="auto"/>
        <w:ind w:firstLine="420" w:firstLineChars="200"/>
        <w:jc w:val="left"/>
        <w:rPr>
          <w:rFonts w:hint="eastAsia" w:ascii="宋体" w:hAnsi="宋体"/>
          <w:szCs w:val="21"/>
        </w:rPr>
      </w:pPr>
      <w:r>
        <w:rPr>
          <w:rFonts w:ascii="宋体" w:hAnsi="宋体"/>
          <w:szCs w:val="21"/>
        </w:rPr>
        <w:t>6.1.4 关于治安保卫的特别约定： 承包人施工现场及其辖区的治安保卫工作由承包人负责，承包人应按照有关规定履行治安保卫义务。</w:t>
      </w:r>
    </w:p>
    <w:p w14:paraId="02BFBCCB">
      <w:pPr>
        <w:spacing w:line="300" w:lineRule="auto"/>
        <w:ind w:firstLine="420" w:firstLineChars="200"/>
        <w:jc w:val="left"/>
        <w:rPr>
          <w:rFonts w:hint="eastAsia" w:ascii="宋体" w:hAnsi="宋体"/>
          <w:szCs w:val="21"/>
        </w:rPr>
      </w:pPr>
      <w:r>
        <w:rPr>
          <w:rFonts w:ascii="宋体" w:hAnsi="宋体"/>
          <w:szCs w:val="21"/>
        </w:rPr>
        <w:t>承包人应为施工场地(现场)提供和维护符合建设行政主管部门和市容管理部门规定的临时围墙和其他安全设施，并在工程进度需要时进行必要的更新改造。</w:t>
      </w:r>
    </w:p>
    <w:p w14:paraId="10BA5A71">
      <w:pPr>
        <w:spacing w:line="300" w:lineRule="auto"/>
        <w:ind w:firstLine="420" w:firstLineChars="200"/>
        <w:jc w:val="left"/>
        <w:rPr>
          <w:rFonts w:hint="eastAsia" w:ascii="宋体" w:hAnsi="宋体"/>
          <w:szCs w:val="21"/>
          <w:u w:val="single"/>
        </w:rPr>
      </w:pPr>
      <w:r>
        <w:rPr>
          <w:rFonts w:ascii="宋体" w:hAnsi="宋体"/>
          <w:szCs w:val="21"/>
        </w:rPr>
        <w:t>关于编制施工场地治安管理计划的约定：</w:t>
      </w:r>
      <w:r>
        <w:rPr>
          <w:rFonts w:ascii="宋体" w:hAnsi="宋体"/>
          <w:szCs w:val="21"/>
          <w:u w:val="single"/>
        </w:rPr>
        <w:t xml:space="preserve"> 开工前3个日历天，承包人应当编制并提供施工场地治安管理计划，并制定应对突发治安事件的紧急预案。</w:t>
      </w:r>
    </w:p>
    <w:p w14:paraId="582C5859">
      <w:pPr>
        <w:spacing w:line="300" w:lineRule="auto"/>
        <w:ind w:firstLine="420" w:firstLineChars="200"/>
        <w:jc w:val="left"/>
        <w:rPr>
          <w:rFonts w:hint="eastAsia" w:ascii="宋体" w:hAnsi="宋体"/>
          <w:szCs w:val="21"/>
        </w:rPr>
      </w:pPr>
      <w:r>
        <w:rPr>
          <w:rFonts w:ascii="宋体" w:hAnsi="宋体"/>
          <w:szCs w:val="21"/>
        </w:rPr>
        <w:t>6.1.5文明施工</w:t>
      </w:r>
    </w:p>
    <w:p w14:paraId="3846411F">
      <w:pPr>
        <w:spacing w:line="300" w:lineRule="auto"/>
        <w:ind w:firstLine="420" w:firstLineChars="200"/>
        <w:rPr>
          <w:rFonts w:hint="eastAsia" w:ascii="宋体" w:hAnsi="宋体"/>
          <w:szCs w:val="21"/>
          <w:u w:val="single"/>
        </w:rPr>
      </w:pPr>
      <w:r>
        <w:rPr>
          <w:rFonts w:ascii="宋体" w:hAnsi="宋体"/>
          <w:szCs w:val="21"/>
        </w:rPr>
        <w:t>合同当事人对文明施工的要求：</w:t>
      </w:r>
      <w:r>
        <w:rPr>
          <w:rFonts w:ascii="宋体" w:hAnsi="宋体"/>
          <w:szCs w:val="21"/>
          <w:u w:val="single"/>
        </w:rPr>
        <w:t xml:space="preserve">  达到省、市建筑安全文明施工标准化工地要求，施工期间，如果发生人身伤亡和重大安全事故，承包人除接受政府监管部门处罚外，还应该向发包人支付违约金10万元；如承包人在事故发生后未及时妥善处理完毕的，则发包人有权代承包人直接向受损害方及其家属进行代赔代付，且有权从应当支付给承包人的工程款中直接扣除该款项，承包人对此没有异议。发包人有权制止承包人不安全或不文明的施工项目，对于承包人因不执行发包人指令造成的损失，发包人有权从其工程款中扣除。施工垃圾应按发包人指定地点堆放，做到日产日清。工程竣工7天内，承包人须全部清理运出施工现场的一切垃圾、废料、设备等，保持场地整洁，费用由承包人自理，如发包人需要提前清理清运时，承包人须予以配合，不得索取额外费用。如因承包方原因致发包方遭受诉讼、行政处罚及第三方争议造成的损失（包括但不限于诉讼费、律师费、罚款、交通费及协调等费用），发包方有权向承包方追偿。发生安全事故后，承包人应及时上报，对隐瞒不报、不实上报、延迟后报的，视情节轻重给予处罚；对发生重大、特大事故的，发包人有权解除合同并责令承包人退出施工现场，要求承包人承担合同总金额10%的违约金，并由有关部门追究相关单位、人员的责任。</w:t>
      </w:r>
    </w:p>
    <w:p w14:paraId="7A3D2696">
      <w:pPr>
        <w:spacing w:before="78" w:beforeLines="25" w:after="78" w:afterLines="25" w:line="273" w:lineRule="auto"/>
        <w:ind w:firstLine="420" w:firstLineChars="200"/>
        <w:jc w:val="left"/>
        <w:rPr>
          <w:rFonts w:hint="eastAsia" w:ascii="宋体" w:hAnsi="宋体"/>
          <w:szCs w:val="21"/>
        </w:rPr>
      </w:pPr>
      <w:r>
        <w:rPr>
          <w:rFonts w:ascii="宋体" w:hAnsi="宋体"/>
          <w:szCs w:val="21"/>
        </w:rPr>
        <w:t>6.1.6 关于安全文明施工费支付比例和支付期限的约定：</w:t>
      </w:r>
      <w:r>
        <w:rPr>
          <w:rFonts w:ascii="宋体" w:hAnsi="宋体"/>
          <w:szCs w:val="21"/>
          <w:u w:val="single"/>
        </w:rPr>
        <w:t>与工程款项同期支付。</w:t>
      </w:r>
    </w:p>
    <w:p w14:paraId="16FE5104">
      <w:pPr>
        <w:spacing w:line="273" w:lineRule="auto"/>
        <w:jc w:val="left"/>
        <w:outlineLvl w:val="0"/>
        <w:rPr>
          <w:rFonts w:hint="eastAsia" w:ascii="黑体" w:hAnsi="宋体" w:eastAsia="黑体"/>
          <w:b/>
          <w:szCs w:val="21"/>
        </w:rPr>
      </w:pPr>
      <w:r>
        <w:rPr>
          <w:rFonts w:ascii="黑体" w:hAnsi="宋体" w:eastAsia="黑体"/>
          <w:b/>
          <w:szCs w:val="21"/>
        </w:rPr>
        <w:t>7. 工期和进度</w:t>
      </w:r>
    </w:p>
    <w:p w14:paraId="3576B822">
      <w:pPr>
        <w:spacing w:after="120" w:line="273" w:lineRule="auto"/>
        <w:ind w:firstLine="422" w:firstLineChars="200"/>
        <w:outlineLvl w:val="1"/>
        <w:rPr>
          <w:rFonts w:hint="eastAsia" w:ascii="黑体" w:hAnsi="宋体" w:eastAsia="黑体"/>
          <w:b/>
          <w:bCs/>
          <w:szCs w:val="21"/>
        </w:rPr>
      </w:pPr>
      <w:r>
        <w:rPr>
          <w:rFonts w:ascii="黑体" w:hAnsi="宋体" w:eastAsia="黑体"/>
          <w:b/>
          <w:bCs/>
          <w:szCs w:val="21"/>
        </w:rPr>
        <w:t>7.1 施工组织设计</w:t>
      </w:r>
    </w:p>
    <w:p w14:paraId="2682B43D">
      <w:pPr>
        <w:autoSpaceDE w:val="0"/>
        <w:autoSpaceDN w:val="0"/>
        <w:adjustRightInd w:val="0"/>
        <w:spacing w:line="273" w:lineRule="auto"/>
        <w:ind w:firstLine="420" w:firstLineChars="200"/>
        <w:jc w:val="left"/>
        <w:rPr>
          <w:rFonts w:hint="eastAsia" w:ascii="宋体" w:hAnsi="宋体"/>
          <w:kern w:val="0"/>
          <w:szCs w:val="21"/>
        </w:rPr>
      </w:pPr>
      <w:r>
        <w:rPr>
          <w:rFonts w:ascii="宋体" w:hAnsi="宋体"/>
          <w:szCs w:val="21"/>
        </w:rPr>
        <w:t>7.1.1 合</w:t>
      </w:r>
      <w:r>
        <w:rPr>
          <w:rFonts w:ascii="宋体" w:hAnsi="宋体"/>
          <w:kern w:val="0"/>
          <w:szCs w:val="21"/>
        </w:rPr>
        <w:t>同当事人约定的施工组织设计应包括的其他内容：</w:t>
      </w:r>
      <w:r>
        <w:rPr>
          <w:rFonts w:ascii="宋体" w:hAnsi="宋体"/>
          <w:szCs w:val="21"/>
          <w:u w:val="single"/>
        </w:rPr>
        <w:t xml:space="preserve">   由发包人和承包人根据工程特点、施工现场条件等情况进行增减和调整，最终以发包人审核的为准  </w:t>
      </w:r>
      <w:r>
        <w:rPr>
          <w:rFonts w:ascii="宋体" w:hAnsi="宋体"/>
          <w:szCs w:val="21"/>
        </w:rPr>
        <w:t>。</w:t>
      </w:r>
    </w:p>
    <w:p w14:paraId="7F49515D">
      <w:pPr>
        <w:autoSpaceDE w:val="0"/>
        <w:autoSpaceDN w:val="0"/>
        <w:adjustRightInd w:val="0"/>
        <w:spacing w:line="273" w:lineRule="auto"/>
        <w:ind w:firstLine="420" w:firstLineChars="200"/>
        <w:jc w:val="left"/>
        <w:rPr>
          <w:rFonts w:hint="eastAsia" w:ascii="宋体" w:hAnsi="宋体"/>
          <w:kern w:val="0"/>
          <w:szCs w:val="21"/>
        </w:rPr>
      </w:pPr>
      <w:r>
        <w:rPr>
          <w:rFonts w:ascii="宋体" w:hAnsi="宋体"/>
          <w:szCs w:val="21"/>
        </w:rPr>
        <w:t xml:space="preserve">7.1.2 </w:t>
      </w:r>
      <w:r>
        <w:rPr>
          <w:rFonts w:ascii="宋体" w:hAnsi="宋体"/>
          <w:kern w:val="0"/>
          <w:szCs w:val="21"/>
        </w:rPr>
        <w:t>施工组织设计的提交和修改</w:t>
      </w:r>
    </w:p>
    <w:p w14:paraId="3AC34862">
      <w:pPr>
        <w:autoSpaceDE w:val="0"/>
        <w:autoSpaceDN w:val="0"/>
        <w:adjustRightInd w:val="0"/>
        <w:spacing w:line="273" w:lineRule="auto"/>
        <w:ind w:firstLine="420" w:firstLineChars="200"/>
        <w:jc w:val="left"/>
        <w:rPr>
          <w:rFonts w:hint="eastAsia" w:ascii="宋体" w:hAnsi="宋体"/>
          <w:szCs w:val="21"/>
        </w:rPr>
      </w:pPr>
      <w:r>
        <w:rPr>
          <w:rFonts w:ascii="宋体" w:hAnsi="宋体"/>
          <w:kern w:val="0"/>
          <w:szCs w:val="21"/>
        </w:rPr>
        <w:t>承包人提交详细施工组织设计的期限的约定：</w:t>
      </w:r>
      <w:r>
        <w:rPr>
          <w:rFonts w:ascii="宋体" w:hAnsi="宋体"/>
          <w:szCs w:val="21"/>
          <w:u w:val="single"/>
        </w:rPr>
        <w:t xml:space="preserve">    第7.3.2项载明的开工日期前7天   </w:t>
      </w:r>
      <w:r>
        <w:rPr>
          <w:rFonts w:ascii="宋体" w:hAnsi="宋体"/>
          <w:szCs w:val="21"/>
        </w:rPr>
        <w:t>。</w:t>
      </w:r>
    </w:p>
    <w:p w14:paraId="70BCAB25">
      <w:pPr>
        <w:spacing w:line="273" w:lineRule="auto"/>
        <w:ind w:firstLine="420" w:firstLineChars="200"/>
        <w:rPr>
          <w:rFonts w:hint="eastAsia" w:ascii="宋体" w:hAnsi="宋体"/>
          <w:szCs w:val="21"/>
        </w:rPr>
      </w:pPr>
      <w:r>
        <w:rPr>
          <w:rFonts w:ascii="宋体" w:hAnsi="宋体"/>
          <w:szCs w:val="21"/>
        </w:rPr>
        <w:t>发包人和监理人在收到详细的施工组织设计后确认或提出修改意见的期限：</w:t>
      </w:r>
      <w:r>
        <w:rPr>
          <w:rFonts w:ascii="宋体" w:hAnsi="宋体"/>
          <w:szCs w:val="21"/>
          <w:u w:val="single"/>
        </w:rPr>
        <w:t xml:space="preserve">   收到施工组织设计后7天内。</w:t>
      </w:r>
    </w:p>
    <w:p w14:paraId="10FE9897">
      <w:pPr>
        <w:spacing w:after="120" w:line="273" w:lineRule="auto"/>
        <w:ind w:firstLine="422" w:firstLineChars="200"/>
        <w:outlineLvl w:val="1"/>
        <w:rPr>
          <w:rFonts w:hint="eastAsia" w:ascii="黑体" w:hAnsi="宋体" w:eastAsia="黑体"/>
          <w:b/>
          <w:bCs/>
          <w:szCs w:val="21"/>
        </w:rPr>
      </w:pPr>
      <w:r>
        <w:rPr>
          <w:rFonts w:ascii="黑体" w:hAnsi="宋体" w:eastAsia="黑体"/>
          <w:b/>
          <w:bCs/>
          <w:szCs w:val="21"/>
        </w:rPr>
        <w:t>7.2 施工进度计划</w:t>
      </w:r>
    </w:p>
    <w:p w14:paraId="12308CEF">
      <w:pPr>
        <w:spacing w:line="273" w:lineRule="auto"/>
        <w:ind w:firstLine="420" w:firstLineChars="200"/>
        <w:jc w:val="left"/>
        <w:rPr>
          <w:rFonts w:hint="eastAsia" w:ascii="宋体" w:hAnsi="宋体"/>
          <w:szCs w:val="21"/>
        </w:rPr>
      </w:pPr>
      <w:r>
        <w:rPr>
          <w:rFonts w:ascii="宋体" w:hAnsi="宋体"/>
          <w:szCs w:val="21"/>
        </w:rPr>
        <w:t>7.2.1进度管理</w:t>
      </w:r>
    </w:p>
    <w:p w14:paraId="6B9B6984">
      <w:pPr>
        <w:spacing w:line="273" w:lineRule="auto"/>
        <w:ind w:firstLine="420" w:firstLineChars="200"/>
        <w:jc w:val="left"/>
        <w:rPr>
          <w:rFonts w:hint="eastAsia" w:ascii="宋体" w:hAnsi="宋体"/>
          <w:szCs w:val="21"/>
        </w:rPr>
      </w:pPr>
      <w:r>
        <w:rPr>
          <w:rFonts w:ascii="宋体" w:hAnsi="宋体"/>
          <w:szCs w:val="21"/>
        </w:rPr>
        <w:t>总进度计划应符合采购文件及合同要求，进场前应根据合同工期要求制定周、总进度计划，且具有可行性与操作性。</w:t>
      </w:r>
    </w:p>
    <w:p w14:paraId="442BCBBD">
      <w:pPr>
        <w:spacing w:line="273" w:lineRule="auto"/>
        <w:ind w:firstLine="420" w:firstLineChars="200"/>
        <w:jc w:val="left"/>
        <w:rPr>
          <w:rFonts w:hint="eastAsia" w:ascii="宋体" w:hAnsi="宋体"/>
          <w:szCs w:val="21"/>
          <w:u w:val="single"/>
        </w:rPr>
      </w:pPr>
      <w:r>
        <w:rPr>
          <w:rFonts w:ascii="宋体" w:hAnsi="宋体"/>
          <w:szCs w:val="21"/>
        </w:rPr>
        <w:t>承包人编制施工进度计划和施工方案说明的内容:</w:t>
      </w:r>
      <w:r>
        <w:rPr>
          <w:rFonts w:ascii="宋体" w:hAnsi="宋体"/>
          <w:szCs w:val="21"/>
          <w:u w:val="single"/>
        </w:rPr>
        <w:t>施工总体部署(明确本项目实施的质量、进度和安全目标:明确项目管理的总体安排，包括实行项目经理责任制，项目经理部的设立和岗位设置及相应的规章制度等)、施工进度计划(按照合同工期、编制施工进度计划，包括总进度计划和单位工程施工进度计划或分项工程。施工进度表可采用横道图或关键线路网络图表示，说明计划开工日期和各单体工程各阶段的完工日期)、资源供应计划(按照招标项目的进度、质量、安全的要求和现场实际施工条件，提出相应的资源供应计划，包括劳动力需求计划、机械设备需求计划、主要材料和周转材料需求计划等)，施工档案(包括施工流向、施工顺序、主要施工方法和施工机械选择等)、技术组织措施(包括保证进度目标的措施、保证质量目标的措施、保证安全目标的措施、保证成本目标的措施、保证季节施工的措施、保证环境的措施和文明施工措施、保证绿色施工措施等)、实施难点和对策，施工进度计划中还应载明要求发包人组织设计人进行阶段工程设计交底的时间。进度计划一经发包人、监理批准，将作为对承包人进度的考核标准。</w:t>
      </w:r>
    </w:p>
    <w:p w14:paraId="5F33E2F5">
      <w:pPr>
        <w:spacing w:line="273" w:lineRule="auto"/>
        <w:ind w:firstLine="420" w:firstLineChars="200"/>
        <w:jc w:val="left"/>
        <w:rPr>
          <w:rFonts w:hint="eastAsia" w:ascii="宋体" w:hAnsi="宋体"/>
          <w:szCs w:val="21"/>
          <w:u w:val="single"/>
        </w:rPr>
      </w:pPr>
      <w:r>
        <w:rPr>
          <w:rFonts w:ascii="宋体" w:hAnsi="宋体"/>
          <w:szCs w:val="21"/>
          <w:u w:val="single"/>
        </w:rPr>
        <w:t>计划制定审批后，若不能完成周计划(不可抗拒因素除外)，承包人须支付3万元/次违约金；若不能完成总计划(不可抗拒因素除外)，承包人须支付10万元违约金。以上违约金累计计算，上不封顶。</w:t>
      </w:r>
    </w:p>
    <w:p w14:paraId="6496ADEA">
      <w:pPr>
        <w:spacing w:line="273" w:lineRule="auto"/>
        <w:ind w:firstLine="420" w:firstLineChars="200"/>
        <w:jc w:val="left"/>
        <w:rPr>
          <w:rFonts w:hint="eastAsia" w:ascii="宋体" w:hAnsi="宋体"/>
          <w:szCs w:val="21"/>
        </w:rPr>
      </w:pPr>
      <w:r>
        <w:rPr>
          <w:rFonts w:ascii="宋体" w:hAnsi="宋体"/>
          <w:szCs w:val="21"/>
        </w:rPr>
        <w:t>7.2.2 施工进度计划的修订</w:t>
      </w:r>
    </w:p>
    <w:p w14:paraId="039ACCD8">
      <w:pPr>
        <w:spacing w:line="273" w:lineRule="auto"/>
        <w:ind w:firstLine="420" w:firstLineChars="200"/>
        <w:rPr>
          <w:rFonts w:hint="eastAsia" w:ascii="宋体" w:hAnsi="宋体"/>
          <w:szCs w:val="21"/>
          <w:u w:val="single"/>
        </w:rPr>
      </w:pPr>
      <w:r>
        <w:rPr>
          <w:rFonts w:ascii="宋体" w:hAnsi="宋体"/>
          <w:szCs w:val="21"/>
        </w:rPr>
        <w:t>发包人和监理人在收到修订的施工进度计划后确认或提出修改意见的期限：</w:t>
      </w:r>
      <w:r>
        <w:rPr>
          <w:rFonts w:ascii="宋体" w:hAnsi="宋体"/>
          <w:szCs w:val="21"/>
          <w:u w:val="single"/>
        </w:rPr>
        <w:t xml:space="preserve">  在收到修订的施工进度计划后7天内完成审核和批准或提出修改意见。</w:t>
      </w:r>
    </w:p>
    <w:p w14:paraId="64B11DFC">
      <w:pPr>
        <w:spacing w:line="273" w:lineRule="auto"/>
        <w:ind w:firstLine="422" w:firstLineChars="200"/>
        <w:jc w:val="left"/>
        <w:outlineLvl w:val="1"/>
        <w:rPr>
          <w:rFonts w:hint="eastAsia" w:ascii="黑体" w:hAnsi="宋体" w:eastAsia="黑体"/>
          <w:b/>
          <w:bCs/>
          <w:szCs w:val="21"/>
        </w:rPr>
      </w:pPr>
      <w:r>
        <w:rPr>
          <w:rFonts w:ascii="黑体" w:hAnsi="宋体" w:eastAsia="黑体"/>
          <w:b/>
          <w:bCs/>
          <w:szCs w:val="21"/>
        </w:rPr>
        <w:t>7.3 开工</w:t>
      </w:r>
    </w:p>
    <w:p w14:paraId="79D82A21">
      <w:pPr>
        <w:spacing w:line="273" w:lineRule="auto"/>
        <w:ind w:firstLine="420" w:firstLineChars="200"/>
        <w:jc w:val="left"/>
        <w:outlineLvl w:val="2"/>
        <w:rPr>
          <w:rFonts w:hint="eastAsia" w:ascii="宋体" w:hAnsi="宋体"/>
          <w:szCs w:val="21"/>
        </w:rPr>
      </w:pPr>
      <w:r>
        <w:rPr>
          <w:rFonts w:ascii="宋体" w:hAnsi="宋体"/>
          <w:szCs w:val="21"/>
        </w:rPr>
        <w:t>7.3.1 开工准备</w:t>
      </w:r>
    </w:p>
    <w:p w14:paraId="74D52F2B">
      <w:pPr>
        <w:spacing w:line="273" w:lineRule="auto"/>
        <w:ind w:firstLine="420" w:firstLineChars="200"/>
        <w:jc w:val="left"/>
        <w:rPr>
          <w:rFonts w:hint="eastAsia" w:ascii="宋体" w:hAnsi="宋体"/>
          <w:szCs w:val="21"/>
          <w:u w:val="single"/>
        </w:rPr>
      </w:pPr>
      <w:r>
        <w:rPr>
          <w:rFonts w:ascii="宋体" w:hAnsi="宋体"/>
          <w:szCs w:val="21"/>
        </w:rPr>
        <w:t>关于承包人提交</w:t>
      </w:r>
      <w:r>
        <w:rPr>
          <w:rFonts w:ascii="宋体" w:hAnsi="宋体"/>
          <w:kern w:val="0"/>
          <w:szCs w:val="21"/>
        </w:rPr>
        <w:t>工程开工报审表的期限：</w:t>
      </w:r>
      <w:r>
        <w:rPr>
          <w:rFonts w:ascii="宋体" w:hAnsi="宋体"/>
          <w:szCs w:val="21"/>
          <w:u w:val="single"/>
        </w:rPr>
        <w:t>第7.3.2项开工通知载明的开工日期前7天。</w:t>
      </w:r>
    </w:p>
    <w:p w14:paraId="317F7624">
      <w:pPr>
        <w:spacing w:line="273" w:lineRule="auto"/>
        <w:ind w:firstLine="420" w:firstLineChars="200"/>
        <w:jc w:val="left"/>
        <w:rPr>
          <w:rFonts w:hint="eastAsia" w:ascii="宋体" w:hAnsi="宋体"/>
          <w:szCs w:val="21"/>
        </w:rPr>
      </w:pPr>
      <w:r>
        <w:rPr>
          <w:rFonts w:ascii="宋体" w:hAnsi="宋体"/>
          <w:szCs w:val="21"/>
        </w:rPr>
        <w:t>关于发包人应完成的其他开工准备工作及期限：</w:t>
      </w:r>
      <w:r>
        <w:rPr>
          <w:rFonts w:ascii="宋体" w:hAnsi="宋体"/>
          <w:szCs w:val="21"/>
          <w:u w:val="single"/>
        </w:rPr>
        <w:t xml:space="preserve">  开工前7天  </w:t>
      </w:r>
      <w:r>
        <w:rPr>
          <w:rFonts w:ascii="宋体" w:hAnsi="宋体"/>
          <w:szCs w:val="21"/>
        </w:rPr>
        <w:t>。</w:t>
      </w:r>
    </w:p>
    <w:p w14:paraId="01E3FDC0">
      <w:pPr>
        <w:spacing w:line="273" w:lineRule="auto"/>
        <w:ind w:firstLine="420" w:firstLineChars="200"/>
        <w:rPr>
          <w:rFonts w:hint="eastAsia" w:ascii="宋体" w:hAnsi="宋体"/>
          <w:szCs w:val="21"/>
        </w:rPr>
      </w:pPr>
      <w:r>
        <w:rPr>
          <w:rFonts w:ascii="宋体" w:hAnsi="宋体"/>
          <w:szCs w:val="21"/>
        </w:rPr>
        <w:t>关于承包人应完成的其他开工准备工作及期限：</w:t>
      </w:r>
      <w:r>
        <w:rPr>
          <w:rFonts w:ascii="宋体" w:hAnsi="宋体"/>
          <w:szCs w:val="21"/>
          <w:u w:val="single"/>
        </w:rPr>
        <w:t xml:space="preserve">   开工前7天    。</w:t>
      </w:r>
    </w:p>
    <w:p w14:paraId="228A6AD8">
      <w:pPr>
        <w:spacing w:line="273" w:lineRule="auto"/>
        <w:ind w:firstLine="420" w:firstLineChars="200"/>
        <w:jc w:val="left"/>
        <w:outlineLvl w:val="2"/>
        <w:rPr>
          <w:rFonts w:hint="eastAsia" w:ascii="宋体" w:hAnsi="宋体"/>
          <w:szCs w:val="21"/>
        </w:rPr>
      </w:pPr>
      <w:r>
        <w:rPr>
          <w:rFonts w:ascii="宋体" w:hAnsi="宋体"/>
          <w:szCs w:val="21"/>
        </w:rPr>
        <w:t>7.3.2开工通知</w:t>
      </w:r>
    </w:p>
    <w:p w14:paraId="3331ADE0">
      <w:pPr>
        <w:spacing w:line="273" w:lineRule="auto"/>
        <w:ind w:firstLine="420" w:firstLineChars="200"/>
        <w:jc w:val="left"/>
        <w:rPr>
          <w:rFonts w:hint="eastAsia" w:ascii="宋体" w:hAnsi="宋体"/>
          <w:szCs w:val="21"/>
        </w:rPr>
      </w:pPr>
      <w:r>
        <w:rPr>
          <w:rFonts w:ascii="宋体" w:hAnsi="宋体"/>
          <w:szCs w:val="21"/>
        </w:rPr>
        <w:t>因发包人原因造成监理人未能在计划开工日期之日起</w:t>
      </w:r>
      <w:r>
        <w:rPr>
          <w:rFonts w:ascii="宋体" w:hAnsi="宋体"/>
          <w:szCs w:val="21"/>
          <w:u w:val="single"/>
        </w:rPr>
        <w:t xml:space="preserve"> 30  </w:t>
      </w:r>
      <w:r>
        <w:rPr>
          <w:rFonts w:ascii="宋体" w:hAnsi="宋体"/>
          <w:szCs w:val="21"/>
        </w:rPr>
        <w:t>天内发出开工通知的，承包人有权提出价格调整要求，或者解除合同。</w:t>
      </w:r>
    </w:p>
    <w:p w14:paraId="13E826D8">
      <w:pPr>
        <w:spacing w:after="120" w:line="273" w:lineRule="auto"/>
        <w:ind w:firstLine="422" w:firstLineChars="200"/>
        <w:outlineLvl w:val="1"/>
        <w:rPr>
          <w:rFonts w:hint="eastAsia" w:ascii="黑体" w:hAnsi="宋体" w:eastAsia="黑体"/>
          <w:b/>
          <w:bCs/>
          <w:szCs w:val="21"/>
        </w:rPr>
      </w:pPr>
      <w:r>
        <w:rPr>
          <w:rFonts w:ascii="黑体" w:hAnsi="宋体" w:eastAsia="黑体"/>
          <w:b/>
          <w:bCs/>
          <w:szCs w:val="21"/>
        </w:rPr>
        <w:t>7.4 测量放线</w:t>
      </w:r>
    </w:p>
    <w:p w14:paraId="4C26F659">
      <w:pPr>
        <w:spacing w:line="273" w:lineRule="auto"/>
        <w:ind w:firstLine="420" w:firstLineChars="200"/>
        <w:rPr>
          <w:rFonts w:hint="eastAsia" w:ascii="宋体" w:hAnsi="宋体"/>
          <w:szCs w:val="21"/>
          <w:u w:val="single"/>
        </w:rPr>
      </w:pPr>
      <w:r>
        <w:rPr>
          <w:rFonts w:ascii="宋体" w:hAnsi="宋体"/>
          <w:szCs w:val="21"/>
        </w:rPr>
        <w:t>7.4.1发包人通过监理人向承包人提供测量基准点、基准线和水准点及其书面资料的期限</w:t>
      </w:r>
      <w:r>
        <w:rPr>
          <w:rFonts w:ascii="宋体" w:hAnsi="宋体"/>
          <w:szCs w:val="21"/>
          <w:u w:val="single"/>
        </w:rPr>
        <w:t>：第7.3.2项开工通知载明的开工日期前7天，水准点和坐标控制点交验完毕，即由承包人负责保护。此后由于破坏或失准带来的重新测量和放点费用及由此造成的其它损失均由承包人承担。</w:t>
      </w:r>
    </w:p>
    <w:p w14:paraId="0DC591EC">
      <w:pPr>
        <w:spacing w:line="460" w:lineRule="exact"/>
        <w:ind w:firstLine="420"/>
        <w:rPr>
          <w:rFonts w:hint="eastAsia" w:ascii="汉鼎简楷体" w:hAnsi="宋体"/>
          <w:b/>
          <w:bCs/>
          <w:spacing w:val="4"/>
          <w:sz w:val="24"/>
        </w:rPr>
      </w:pPr>
      <w:r>
        <w:rPr>
          <w:rFonts w:ascii="汉鼎简楷体" w:hAnsi="宋体"/>
          <w:b/>
          <w:bCs/>
          <w:spacing w:val="4"/>
          <w:sz w:val="24"/>
        </w:rPr>
        <w:t>7.4.</w:t>
      </w:r>
      <w:r>
        <w:rPr>
          <w:rFonts w:ascii="汉鼎简楷体" w:hAnsi="汉鼎简楷体"/>
          <w:b/>
          <w:bCs/>
          <w:spacing w:val="4"/>
          <w:sz w:val="24"/>
        </w:rPr>
        <w:t>2 监理工程师负责对承包人的施工定线或放样进行检查验收。承包人应：</w:t>
      </w:r>
    </w:p>
    <w:p w14:paraId="6F7BB930">
      <w:pPr>
        <w:spacing w:line="273" w:lineRule="auto"/>
        <w:ind w:firstLine="420" w:firstLineChars="200"/>
        <w:rPr>
          <w:rFonts w:hint="eastAsia" w:ascii="宋体" w:hAnsi="宋体"/>
          <w:szCs w:val="21"/>
          <w:u w:val="single"/>
        </w:rPr>
      </w:pPr>
      <w:r>
        <w:rPr>
          <w:rFonts w:ascii="宋体" w:hAnsi="宋体"/>
          <w:szCs w:val="21"/>
          <w:u w:val="single"/>
        </w:rPr>
        <w:t>①承包人应根据发包人提供的资料，负责对本工程进行准确的放样，并对本工程各部分的位置、标高、尺寸及其线形的正确性负责。</w:t>
      </w:r>
    </w:p>
    <w:p w14:paraId="787C57F3">
      <w:pPr>
        <w:spacing w:line="273" w:lineRule="auto"/>
        <w:ind w:firstLine="420" w:firstLineChars="200"/>
        <w:rPr>
          <w:rFonts w:hint="eastAsia" w:ascii="宋体" w:hAnsi="宋体"/>
          <w:szCs w:val="21"/>
          <w:u w:val="single"/>
        </w:rPr>
      </w:pPr>
      <w:r>
        <w:rPr>
          <w:rFonts w:ascii="宋体" w:hAnsi="宋体"/>
          <w:szCs w:val="21"/>
          <w:u w:val="single"/>
        </w:rPr>
        <w:t>②负责提供放样所必须的仪器、机具和劳务。</w:t>
      </w:r>
    </w:p>
    <w:p w14:paraId="55470CAC">
      <w:pPr>
        <w:spacing w:line="273" w:lineRule="auto"/>
        <w:ind w:firstLine="420" w:firstLineChars="200"/>
        <w:rPr>
          <w:rFonts w:hint="eastAsia" w:ascii="宋体" w:hAnsi="宋体"/>
          <w:szCs w:val="21"/>
          <w:u w:val="single"/>
        </w:rPr>
      </w:pPr>
      <w:r>
        <w:rPr>
          <w:rFonts w:ascii="宋体" w:hAnsi="宋体"/>
          <w:szCs w:val="21"/>
          <w:u w:val="single"/>
        </w:rPr>
        <w:t>在本合同工程施工过程中，如果工程任何部分的位置、标高、尺寸或线形出现超出合同约定的误差，一经发现，承包人应自费纠正，直到监理工程师认为符合合同约定位置。如果这些误差是由于发包人书面提供的数据不正确所致，则监理工程师除及时指令纠正外，应按招标文件的规定，再与承包人和发包人协商后确定合同价格的增加额，并通知承包人，抄送发包人。</w:t>
      </w:r>
    </w:p>
    <w:p w14:paraId="21BE0504">
      <w:pPr>
        <w:spacing w:line="273" w:lineRule="auto"/>
        <w:ind w:firstLine="420" w:firstLineChars="200"/>
        <w:rPr>
          <w:rFonts w:ascii="Calibri" w:hAnsi="Calibri"/>
          <w:szCs w:val="21"/>
        </w:rPr>
      </w:pPr>
      <w:r>
        <w:rPr>
          <w:rFonts w:ascii="宋体" w:hAnsi="宋体"/>
          <w:szCs w:val="21"/>
          <w:u w:val="single"/>
        </w:rPr>
        <w:t>监理工程师对放样、标高或线形的核查，均不应解除承包人对其准确性所负的责任。</w:t>
      </w:r>
    </w:p>
    <w:p w14:paraId="11D33ED3">
      <w:pPr>
        <w:spacing w:line="273" w:lineRule="auto"/>
        <w:ind w:firstLine="422" w:firstLineChars="200"/>
        <w:jc w:val="left"/>
        <w:outlineLvl w:val="1"/>
        <w:rPr>
          <w:rFonts w:hint="eastAsia" w:ascii="黑体" w:hAnsi="宋体" w:eastAsia="黑体"/>
          <w:b/>
          <w:bCs/>
          <w:szCs w:val="21"/>
        </w:rPr>
      </w:pPr>
      <w:r>
        <w:rPr>
          <w:rFonts w:ascii="黑体" w:hAnsi="宋体" w:eastAsia="黑体"/>
          <w:b/>
          <w:bCs/>
          <w:szCs w:val="21"/>
        </w:rPr>
        <w:t>7.5 工期延误</w:t>
      </w:r>
    </w:p>
    <w:p w14:paraId="701DEC5B">
      <w:pPr>
        <w:spacing w:line="273" w:lineRule="auto"/>
        <w:ind w:firstLine="420" w:firstLineChars="200"/>
        <w:jc w:val="left"/>
        <w:outlineLvl w:val="2"/>
        <w:rPr>
          <w:rFonts w:hint="eastAsia" w:ascii="宋体" w:hAnsi="宋体"/>
          <w:szCs w:val="21"/>
        </w:rPr>
      </w:pPr>
      <w:r>
        <w:rPr>
          <w:rFonts w:ascii="宋体" w:hAnsi="宋体"/>
          <w:szCs w:val="21"/>
        </w:rPr>
        <w:t>7.5.1 因发包人原因导致工期延误</w:t>
      </w:r>
    </w:p>
    <w:p w14:paraId="470158BE">
      <w:pPr>
        <w:spacing w:line="273" w:lineRule="auto"/>
        <w:ind w:firstLine="420" w:firstLineChars="200"/>
        <w:jc w:val="left"/>
        <w:rPr>
          <w:rFonts w:hint="eastAsia" w:ascii="宋体" w:hAnsi="宋体"/>
          <w:szCs w:val="21"/>
        </w:rPr>
      </w:pPr>
      <w:r>
        <w:rPr>
          <w:rFonts w:ascii="宋体" w:hAnsi="宋体"/>
          <w:szCs w:val="21"/>
        </w:rPr>
        <w:t>（7）因发包人原因导致工期延误的其他情形：</w:t>
      </w:r>
      <w:r>
        <w:rPr>
          <w:rFonts w:ascii="宋体" w:hAnsi="宋体"/>
          <w:szCs w:val="21"/>
          <w:u w:val="single"/>
        </w:rPr>
        <w:t xml:space="preserve">  /</w:t>
      </w:r>
      <w:r>
        <w:rPr>
          <w:rFonts w:ascii="宋体" w:hAnsi="宋体"/>
          <w:szCs w:val="21"/>
        </w:rPr>
        <w:t>。</w:t>
      </w:r>
    </w:p>
    <w:p w14:paraId="19B64A44">
      <w:pPr>
        <w:spacing w:line="273" w:lineRule="auto"/>
        <w:ind w:firstLine="420" w:firstLineChars="200"/>
        <w:jc w:val="left"/>
        <w:outlineLvl w:val="2"/>
        <w:rPr>
          <w:rFonts w:hint="eastAsia" w:ascii="宋体" w:hAnsi="宋体"/>
          <w:szCs w:val="21"/>
        </w:rPr>
      </w:pPr>
      <w:r>
        <w:rPr>
          <w:rFonts w:ascii="宋体" w:hAnsi="宋体"/>
          <w:szCs w:val="21"/>
        </w:rPr>
        <w:t>7.5.2 因承包人原因导致工期延误</w:t>
      </w:r>
    </w:p>
    <w:p w14:paraId="014BD2FF">
      <w:pPr>
        <w:spacing w:line="273" w:lineRule="auto"/>
        <w:ind w:firstLine="420" w:firstLineChars="200"/>
        <w:rPr>
          <w:rFonts w:hint="eastAsia" w:ascii="宋体" w:hAnsi="宋体"/>
          <w:szCs w:val="21"/>
        </w:rPr>
      </w:pPr>
      <w:r>
        <w:rPr>
          <w:rFonts w:ascii="宋体" w:hAnsi="宋体"/>
          <w:szCs w:val="21"/>
        </w:rPr>
        <w:t>因承包人原因造成工期延误，逾期竣工违约金的计算方法为：</w:t>
      </w:r>
      <w:r>
        <w:rPr>
          <w:rFonts w:ascii="宋体" w:hAnsi="宋体"/>
          <w:szCs w:val="21"/>
          <w:u w:val="single"/>
        </w:rPr>
        <w:t>逾期天数乘以签约合同价的千分之三/天支付逾期违约金。</w:t>
      </w:r>
    </w:p>
    <w:p w14:paraId="54EA2E44">
      <w:pPr>
        <w:spacing w:line="273" w:lineRule="auto"/>
        <w:ind w:firstLine="420" w:firstLineChars="200"/>
        <w:jc w:val="left"/>
        <w:rPr>
          <w:rFonts w:hint="eastAsia" w:ascii="宋体" w:hAnsi="宋体"/>
          <w:szCs w:val="21"/>
          <w:u w:val="single"/>
        </w:rPr>
      </w:pPr>
      <w:r>
        <w:rPr>
          <w:rFonts w:ascii="宋体" w:hAnsi="宋体"/>
          <w:szCs w:val="21"/>
        </w:rPr>
        <w:t>因承包人原因造成工期延误，逾期竣工违约金的上限：</w:t>
      </w:r>
      <w:r>
        <w:rPr>
          <w:rFonts w:ascii="宋体" w:hAnsi="宋体"/>
          <w:szCs w:val="21"/>
          <w:u w:val="single"/>
        </w:rPr>
        <w:t>因承包人原因造成工期延误超过 30 日的，发包人可以选择解除合同，承包人应支付发包人合同总金额30%的违约金，还应赔偿因此给发包人造成的所有损失。</w:t>
      </w:r>
    </w:p>
    <w:p w14:paraId="36FDD84C">
      <w:pPr>
        <w:spacing w:line="273" w:lineRule="auto"/>
        <w:ind w:firstLine="420" w:firstLineChars="200"/>
        <w:jc w:val="left"/>
        <w:rPr>
          <w:rFonts w:hint="eastAsia" w:ascii="宋体" w:hAnsi="宋体"/>
          <w:szCs w:val="21"/>
          <w:u w:val="single"/>
        </w:rPr>
      </w:pPr>
      <w:r>
        <w:rPr>
          <w:rFonts w:ascii="宋体" w:hAnsi="宋体"/>
          <w:szCs w:val="21"/>
          <w:u w:val="single"/>
        </w:rPr>
        <w:t>上述违约金不予叠加。</w:t>
      </w:r>
    </w:p>
    <w:p w14:paraId="435FA8A3">
      <w:pPr>
        <w:spacing w:line="273" w:lineRule="auto"/>
        <w:ind w:firstLine="422" w:firstLineChars="200"/>
        <w:jc w:val="left"/>
        <w:outlineLvl w:val="1"/>
        <w:rPr>
          <w:rFonts w:hint="eastAsia" w:ascii="黑体" w:hAnsi="宋体" w:eastAsia="黑体"/>
          <w:b/>
          <w:bCs/>
          <w:szCs w:val="21"/>
        </w:rPr>
      </w:pPr>
      <w:r>
        <w:rPr>
          <w:rFonts w:ascii="黑体" w:hAnsi="宋体" w:eastAsia="黑体"/>
          <w:b/>
          <w:bCs/>
          <w:szCs w:val="21"/>
        </w:rPr>
        <w:t>7.6 不</w:t>
      </w:r>
      <w:r>
        <w:rPr>
          <w:rFonts w:ascii="黑体" w:hAnsi="黑体" w:eastAsia="黑体"/>
          <w:b/>
          <w:bCs/>
          <w:szCs w:val="21"/>
        </w:rPr>
        <w:t>利物质条件</w:t>
      </w:r>
    </w:p>
    <w:p w14:paraId="47D54490">
      <w:pPr>
        <w:spacing w:line="273" w:lineRule="auto"/>
        <w:ind w:firstLine="420" w:firstLineChars="200"/>
        <w:jc w:val="left"/>
        <w:rPr>
          <w:rFonts w:hint="eastAsia" w:ascii="宋体" w:hAnsi="宋体"/>
          <w:szCs w:val="21"/>
        </w:rPr>
      </w:pPr>
      <w:r>
        <w:rPr>
          <w:rFonts w:ascii="宋体" w:hAnsi="宋体"/>
          <w:szCs w:val="21"/>
        </w:rPr>
        <w:t>不利物质条件的其他情形和有关约定：</w:t>
      </w:r>
      <w:r>
        <w:rPr>
          <w:rFonts w:ascii="宋体" w:hAnsi="宋体"/>
          <w:szCs w:val="21"/>
          <w:u w:val="single"/>
        </w:rPr>
        <w:t xml:space="preserve"> 有经验的承包方在施工现场遇到的不可预见的自然物质条件、非自然的物质障碍和污染物及各种不利物质条件相关费用包含在合同价内，发包人不再另行支付。</w:t>
      </w:r>
    </w:p>
    <w:p w14:paraId="5BB42FDD">
      <w:pPr>
        <w:spacing w:after="120" w:line="273" w:lineRule="auto"/>
        <w:ind w:firstLine="422" w:firstLineChars="200"/>
        <w:outlineLvl w:val="1"/>
        <w:rPr>
          <w:rFonts w:hint="eastAsia" w:ascii="黑体" w:hAnsi="宋体" w:eastAsia="黑体"/>
          <w:b/>
          <w:bCs/>
          <w:szCs w:val="21"/>
        </w:rPr>
      </w:pPr>
      <w:r>
        <w:rPr>
          <w:rFonts w:ascii="黑体" w:hAnsi="宋体" w:eastAsia="黑体"/>
          <w:b/>
          <w:bCs/>
          <w:szCs w:val="21"/>
        </w:rPr>
        <w:t>7.7异常恶劣的气候条件</w:t>
      </w:r>
    </w:p>
    <w:p w14:paraId="2A9D0C2D">
      <w:pPr>
        <w:spacing w:line="273" w:lineRule="auto"/>
        <w:ind w:firstLine="420" w:firstLineChars="200"/>
        <w:rPr>
          <w:rFonts w:hint="eastAsia" w:ascii="宋体" w:hAnsi="宋体"/>
          <w:szCs w:val="21"/>
          <w:u w:val="single"/>
        </w:rPr>
      </w:pPr>
      <w:r>
        <w:rPr>
          <w:rFonts w:ascii="宋体" w:hAnsi="宋体"/>
          <w:szCs w:val="21"/>
        </w:rPr>
        <w:t>发包人和承包人同意以下情形视为异常恶劣的气候条件：</w:t>
      </w:r>
    </w:p>
    <w:p w14:paraId="65E8DA7C">
      <w:pPr>
        <w:spacing w:line="273" w:lineRule="auto"/>
        <w:ind w:firstLine="420" w:firstLineChars="200"/>
        <w:rPr>
          <w:rFonts w:hint="eastAsia" w:ascii="宋体" w:hAnsi="宋体"/>
          <w:szCs w:val="21"/>
          <w:u w:val="single"/>
        </w:rPr>
      </w:pPr>
      <w:r>
        <w:rPr>
          <w:rFonts w:ascii="宋体" w:hAnsi="宋体"/>
          <w:szCs w:val="21"/>
          <w:u w:val="single"/>
        </w:rPr>
        <w:t>（1）9级及以上大风；</w:t>
      </w:r>
    </w:p>
    <w:p w14:paraId="3112B378">
      <w:pPr>
        <w:spacing w:line="273" w:lineRule="auto"/>
        <w:ind w:firstLine="420" w:firstLineChars="200"/>
        <w:rPr>
          <w:rFonts w:hint="eastAsia" w:ascii="宋体" w:hAnsi="宋体"/>
          <w:szCs w:val="21"/>
          <w:u w:val="single"/>
        </w:rPr>
      </w:pPr>
      <w:r>
        <w:rPr>
          <w:rFonts w:ascii="宋体" w:hAnsi="宋体"/>
          <w:szCs w:val="21"/>
          <w:u w:val="single"/>
        </w:rPr>
        <w:t xml:space="preserve">（2）单日降雨在100mm及以上；  </w:t>
      </w:r>
    </w:p>
    <w:p w14:paraId="357BD611">
      <w:pPr>
        <w:spacing w:line="273" w:lineRule="auto"/>
        <w:ind w:firstLine="420" w:firstLineChars="200"/>
        <w:rPr>
          <w:rFonts w:ascii="Calibri" w:hAnsi="Calibri"/>
          <w:szCs w:val="21"/>
        </w:rPr>
      </w:pPr>
      <w:r>
        <w:rPr>
          <w:rFonts w:ascii="宋体" w:hAnsi="宋体"/>
          <w:szCs w:val="21"/>
          <w:u w:val="single"/>
        </w:rPr>
        <w:t xml:space="preserve">（3）连续8天40摄氏度以上的高温，连续8天零下12摄氏度以下的低温。 </w:t>
      </w:r>
    </w:p>
    <w:p w14:paraId="6AD00AFD">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7.9 提前竣工的奖励</w:t>
      </w:r>
    </w:p>
    <w:p w14:paraId="4A426A52">
      <w:pPr>
        <w:spacing w:line="273" w:lineRule="auto"/>
        <w:ind w:firstLine="420" w:firstLineChars="200"/>
        <w:jc w:val="left"/>
        <w:rPr>
          <w:rFonts w:hint="eastAsia" w:ascii="宋体" w:hAnsi="宋体"/>
          <w:szCs w:val="21"/>
        </w:rPr>
      </w:pPr>
      <w:r>
        <w:rPr>
          <w:rFonts w:ascii="宋体" w:hAnsi="宋体"/>
          <w:szCs w:val="21"/>
        </w:rPr>
        <w:t>7.9.2提前竣工的奖励：</w:t>
      </w:r>
      <w:r>
        <w:rPr>
          <w:rFonts w:ascii="宋体" w:hAnsi="宋体"/>
          <w:szCs w:val="21"/>
          <w:u w:val="single"/>
        </w:rPr>
        <w:t xml:space="preserve">   不奖励  </w:t>
      </w:r>
      <w:r>
        <w:rPr>
          <w:rFonts w:ascii="宋体" w:hAnsi="宋体"/>
          <w:szCs w:val="21"/>
        </w:rPr>
        <w:t>。</w:t>
      </w:r>
    </w:p>
    <w:p w14:paraId="70F5A088">
      <w:pPr>
        <w:spacing w:line="273" w:lineRule="auto"/>
        <w:outlineLvl w:val="0"/>
        <w:rPr>
          <w:rFonts w:hint="eastAsia" w:ascii="黑体" w:hAnsi="宋体" w:eastAsia="黑体"/>
          <w:b/>
          <w:bCs/>
          <w:szCs w:val="21"/>
        </w:rPr>
      </w:pPr>
      <w:r>
        <w:rPr>
          <w:rFonts w:ascii="黑体" w:hAnsi="宋体" w:eastAsia="黑体"/>
          <w:b/>
          <w:bCs/>
          <w:szCs w:val="21"/>
        </w:rPr>
        <w:t>8. 材料与设备</w:t>
      </w:r>
    </w:p>
    <w:p w14:paraId="1A1C6BF5">
      <w:pPr>
        <w:spacing w:line="273" w:lineRule="auto"/>
        <w:ind w:firstLine="422" w:firstLineChars="200"/>
        <w:jc w:val="left"/>
        <w:rPr>
          <w:rFonts w:hint="eastAsia" w:ascii="宋体" w:hAnsi="宋体"/>
          <w:szCs w:val="21"/>
        </w:rPr>
      </w:pPr>
      <w:r>
        <w:rPr>
          <w:rFonts w:ascii="黑体" w:hAnsi="黑体" w:eastAsia="黑体"/>
          <w:b/>
          <w:bCs/>
          <w:szCs w:val="21"/>
        </w:rPr>
        <w:t>8.2承包人采购材料设备</w:t>
      </w:r>
    </w:p>
    <w:p w14:paraId="4F6654DE">
      <w:pPr>
        <w:spacing w:line="273" w:lineRule="auto"/>
        <w:ind w:firstLine="420" w:firstLineChars="200"/>
        <w:jc w:val="left"/>
        <w:rPr>
          <w:rFonts w:hint="eastAsia" w:ascii="宋体" w:hAnsi="宋体"/>
          <w:szCs w:val="21"/>
        </w:rPr>
      </w:pPr>
      <w:r>
        <w:rPr>
          <w:rFonts w:ascii="宋体" w:hAnsi="宋体"/>
          <w:szCs w:val="21"/>
        </w:rPr>
        <w:t>承包人应参照</w:t>
      </w:r>
      <w:r>
        <w:rPr>
          <w:rFonts w:ascii="宋体" w:hAnsi="宋体"/>
          <w:b/>
          <w:bCs/>
          <w:szCs w:val="21"/>
        </w:rPr>
        <w:t>《材料、设备品牌（厂家）选择范围》</w:t>
      </w:r>
      <w:r>
        <w:rPr>
          <w:rFonts w:ascii="宋体" w:hAnsi="宋体"/>
          <w:szCs w:val="21"/>
        </w:rPr>
        <w:t>进行采购，提供产品合格证明，并对设备、材料质量负责。承包人在设备、材料进入施工场地前 24小时前通知发包人代表、总监理工程师清点。承包人采购的设备、材料在使用前，承包人应按发包人代表或总监理工程师的要求进行检验或试验，在检验时若发现承包人采购的设备、材料与投标书中预算编制说明、《材料、设备品牌（厂家）选择范围》或合同约定所注明的材料及设备的规格、品牌、生产厂家(产地)标准不符时，发包人有权扣留封存该批材料及设备，承包人需按合同要求重新组织供货。若承包人不按合同要求组织供货，发包人有权自行供应相关材料及设备，且发生的购买等相关费用由承包人承担，同时发包人有权对承包人处以该批次材料及设备等值罚款，由此延误的工期不予顺延，相关的检验或试验费用由承包人承担。发包人有权拒绝承包人的变更材料及设备的请求。</w:t>
      </w:r>
    </w:p>
    <w:p w14:paraId="23D2B1B3">
      <w:pPr>
        <w:spacing w:line="273" w:lineRule="auto"/>
        <w:ind w:firstLine="420" w:firstLineChars="200"/>
        <w:jc w:val="left"/>
        <w:rPr>
          <w:rFonts w:hint="eastAsia" w:ascii="宋体" w:hAnsi="宋体"/>
          <w:szCs w:val="21"/>
        </w:rPr>
      </w:pPr>
      <w:r>
        <w:rPr>
          <w:rFonts w:ascii="宋体" w:hAnsi="宋体"/>
          <w:szCs w:val="21"/>
        </w:rPr>
        <w:t>发包人代表或总监理工程师发现承包人采购并使用不符合设计和标准要求的设备、材料时，有权要求承包人负责修复、拆除或重新采购，并由承包人承担发生的费用，由此延误的工期不予顺延。其他条款按采购文件、采购文件答疑及澄清文件和成交通知书的规定以及响应文件承诺确定。</w:t>
      </w:r>
    </w:p>
    <w:p w14:paraId="64F7ECD4">
      <w:pPr>
        <w:spacing w:after="120" w:line="273" w:lineRule="auto"/>
        <w:ind w:firstLine="422" w:firstLineChars="200"/>
        <w:outlineLvl w:val="1"/>
        <w:rPr>
          <w:rFonts w:hint="eastAsia" w:ascii="黑体" w:hAnsi="宋体" w:eastAsia="黑体"/>
          <w:b/>
          <w:bCs/>
          <w:szCs w:val="21"/>
        </w:rPr>
      </w:pPr>
      <w:r>
        <w:rPr>
          <w:rFonts w:ascii="黑体" w:hAnsi="宋体" w:eastAsia="黑体"/>
          <w:b/>
          <w:bCs/>
          <w:szCs w:val="21"/>
        </w:rPr>
        <w:t>8.4材料与工程设备的保管与使用</w:t>
      </w:r>
    </w:p>
    <w:p w14:paraId="164561D3">
      <w:pPr>
        <w:spacing w:line="273" w:lineRule="auto"/>
        <w:ind w:firstLine="420" w:firstLineChars="200"/>
        <w:jc w:val="left"/>
        <w:rPr>
          <w:rFonts w:hint="eastAsia" w:ascii="宋体" w:hAnsi="宋体"/>
          <w:szCs w:val="21"/>
        </w:rPr>
      </w:pPr>
      <w:r>
        <w:rPr>
          <w:rFonts w:ascii="宋体" w:hAnsi="宋体"/>
          <w:szCs w:val="21"/>
        </w:rPr>
        <w:t>8.4.1发包人供应的材料设备的保管费用的承担：</w:t>
      </w:r>
      <w:r>
        <w:rPr>
          <w:rFonts w:ascii="宋体" w:hAnsi="宋体"/>
          <w:szCs w:val="21"/>
          <w:u w:val="single"/>
        </w:rPr>
        <w:t xml:space="preserve">    由承包人承担   </w:t>
      </w:r>
      <w:r>
        <w:rPr>
          <w:rFonts w:ascii="宋体" w:hAnsi="宋体"/>
          <w:szCs w:val="21"/>
        </w:rPr>
        <w:t>。</w:t>
      </w:r>
    </w:p>
    <w:p w14:paraId="7EC6A933">
      <w:pPr>
        <w:spacing w:line="273" w:lineRule="auto"/>
        <w:ind w:firstLine="420" w:firstLineChars="200"/>
        <w:jc w:val="left"/>
        <w:rPr>
          <w:rFonts w:ascii="Calibri" w:hAnsi="Calibri"/>
          <w:b/>
          <w:bCs/>
          <w:szCs w:val="21"/>
          <w:u w:val="single"/>
        </w:rPr>
      </w:pPr>
      <w:r>
        <w:rPr>
          <w:rFonts w:ascii="Calibri" w:hAnsi="Calibri"/>
          <w:szCs w:val="21"/>
        </w:rPr>
        <w:t xml:space="preserve">8.4.2 </w:t>
      </w:r>
      <w:r>
        <w:rPr>
          <w:rFonts w:ascii="宋体" w:hAnsi="宋体"/>
          <w:szCs w:val="21"/>
        </w:rPr>
        <w:t>承包人采购材料的补充约定：</w:t>
      </w:r>
      <w:r>
        <w:rPr>
          <w:rFonts w:ascii="宋体" w:hAnsi="宋体"/>
          <w:b/>
          <w:bCs/>
          <w:szCs w:val="21"/>
          <w:u w:val="single"/>
        </w:rPr>
        <w:t>承包人提供的主要设备、材料需从发包人提供的《材料、设备品牌（厂家）选择范围》中选择报价，《材料、设备品牌（厂家）选择范围》未包含的其他材料，承包人应选用国产一线品牌。发包人认为承包人选用的设备、材料品牌型号不能满足本工程要求时，发包人有权到采购现场指定设备、材料的品牌型号，且合同价格不做调整。所有设备进场时应有耐久性铭牌固定在明显部位，铭牌的尺寸和技术要求应符合</w:t>
      </w:r>
      <w:r>
        <w:rPr>
          <w:rFonts w:ascii="Calibri" w:hAnsi="Calibri"/>
          <w:b/>
          <w:bCs/>
          <w:szCs w:val="21"/>
          <w:u w:val="single"/>
        </w:rPr>
        <w:t xml:space="preserve"> </w:t>
      </w:r>
      <w:r>
        <w:rPr>
          <w:rFonts w:ascii="Calibri" w:hAnsi="Calibri" w:cs="Calibri"/>
          <w:b/>
          <w:bCs/>
          <w:szCs w:val="21"/>
          <w:u w:val="single"/>
        </w:rPr>
        <w:t xml:space="preserve">GB/13306 </w:t>
      </w:r>
      <w:r>
        <w:rPr>
          <w:rFonts w:ascii="宋体" w:hAnsi="宋体"/>
          <w:b/>
          <w:bCs/>
          <w:szCs w:val="21"/>
          <w:u w:val="single"/>
        </w:rPr>
        <w:t>的规定。铭牌上标识应包含但不限于以下内容：制造厂的名称、产品品牌、型号和名称、制造年月。</w:t>
      </w:r>
    </w:p>
    <w:p w14:paraId="265609A8">
      <w:pPr>
        <w:spacing w:line="273" w:lineRule="auto"/>
        <w:ind w:firstLine="422" w:firstLineChars="200"/>
        <w:jc w:val="left"/>
        <w:rPr>
          <w:rFonts w:ascii="Calibri" w:hAnsi="Calibri"/>
          <w:szCs w:val="21"/>
        </w:rPr>
      </w:pPr>
      <w:r>
        <w:rPr>
          <w:rFonts w:ascii="Calibri" w:hAnsi="Calibri" w:cs="Calibri"/>
          <w:b/>
          <w:bCs/>
          <w:szCs w:val="21"/>
          <w:u w:val="single"/>
        </w:rPr>
        <w:t>8.4.3</w:t>
      </w:r>
      <w:r>
        <w:rPr>
          <w:rFonts w:ascii="宋体" w:hAnsi="宋体"/>
          <w:b/>
          <w:bCs/>
          <w:szCs w:val="21"/>
          <w:u w:val="single"/>
        </w:rPr>
        <w:t>工程设备：承包人在订购设备前应将拟订购设备的品牌、型号、参数等告知发包人和监理人报备。承包人应保证所提供的设备是全新的，未使用过的，并完全符合合同规定的质量、性能要求的产品。</w:t>
      </w:r>
    </w:p>
    <w:p w14:paraId="4DBD3CE2">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8.6 样品</w:t>
      </w:r>
    </w:p>
    <w:p w14:paraId="6FD5958C">
      <w:pPr>
        <w:autoSpaceDE w:val="0"/>
        <w:autoSpaceDN w:val="0"/>
        <w:adjustRightInd w:val="0"/>
        <w:spacing w:line="273" w:lineRule="auto"/>
        <w:ind w:firstLine="420" w:firstLineChars="200"/>
        <w:jc w:val="left"/>
        <w:outlineLvl w:val="2"/>
        <w:rPr>
          <w:rFonts w:hint="eastAsia" w:ascii="宋体" w:hAnsi="宋体"/>
          <w:szCs w:val="21"/>
        </w:rPr>
      </w:pPr>
      <w:r>
        <w:rPr>
          <w:rFonts w:ascii="宋体" w:hAnsi="宋体"/>
          <w:szCs w:val="21"/>
        </w:rPr>
        <w:t>8.6.1样品的报送与封存</w:t>
      </w:r>
    </w:p>
    <w:p w14:paraId="6FD707D4">
      <w:pPr>
        <w:spacing w:line="273" w:lineRule="auto"/>
        <w:ind w:firstLine="420" w:firstLineChars="200"/>
        <w:jc w:val="left"/>
        <w:rPr>
          <w:rFonts w:ascii="Calibri" w:hAnsi="Calibri"/>
          <w:szCs w:val="21"/>
          <w:u w:val="single"/>
        </w:rPr>
      </w:pPr>
      <w:r>
        <w:rPr>
          <w:rFonts w:ascii="宋体" w:hAnsi="宋体"/>
          <w:szCs w:val="21"/>
        </w:rPr>
        <w:t>需要承包人报送样品的材料或工程设备，样品的种类、名称、规格、数量要求</w:t>
      </w:r>
      <w:r>
        <w:rPr>
          <w:rFonts w:ascii="宋体" w:hAnsi="宋体"/>
          <w:szCs w:val="21"/>
          <w:u w:val="single"/>
        </w:rPr>
        <w:t>：</w:t>
      </w:r>
      <w:r>
        <w:rPr>
          <w:rFonts w:ascii="Calibri" w:hAnsi="Calibri"/>
          <w:szCs w:val="21"/>
          <w:u w:val="single"/>
        </w:rPr>
        <w:t xml:space="preserve"> </w:t>
      </w:r>
      <w:r>
        <w:rPr>
          <w:rFonts w:ascii="宋体" w:hAnsi="宋体"/>
          <w:szCs w:val="21"/>
          <w:u w:val="single"/>
        </w:rPr>
        <w:t>承包人进场的所有材料或设备均需按招标文件要求，</w:t>
      </w:r>
      <w:r>
        <w:rPr>
          <w:rFonts w:ascii="宋体" w:hAnsi="宋体"/>
          <w:b/>
          <w:bCs/>
          <w:szCs w:val="21"/>
          <w:u w:val="single"/>
        </w:rPr>
        <w:t>提前报送样品及相关资料，样品应由发包人指定位置存放，并经监理人及发包人共同认可后方可进场施工。</w:t>
      </w:r>
    </w:p>
    <w:p w14:paraId="2754467B">
      <w:pPr>
        <w:spacing w:line="273" w:lineRule="auto"/>
        <w:ind w:firstLine="420" w:firstLineChars="200"/>
        <w:jc w:val="left"/>
        <w:rPr>
          <w:rFonts w:hint="eastAsia" w:ascii="宋体" w:hAnsi="宋体"/>
          <w:szCs w:val="21"/>
        </w:rPr>
      </w:pPr>
      <w:r>
        <w:rPr>
          <w:rFonts w:ascii="宋体" w:hAnsi="宋体"/>
          <w:szCs w:val="21"/>
        </w:rPr>
        <w:t>承包人在施工过程中所使用材料的质量应等同于或优于封样的材料，不得使用低于发包人封样样品质量标准的材料，且在采购前必须报监理人及发包人同意。发包人有权随时对进场材料进行抽查及送检，若发现施工过程中承包人所用材料、设备的质量低于发包人封样样品的质量标准时，发包人有权要求承包人更换至发包人封样样品的质量标准并按照情节轻重支付10万元到50万元不等的罚款，且材料价格不予调整。若承包人拒绝支付罚款或按照发包人要求更换至发包人封样样品的质量标准的，发包人有权解除合同并责令承包人退场，承包人应当承担合同总价款10%的违约金，由此产生的一切损失由承包人承担。</w:t>
      </w:r>
    </w:p>
    <w:p w14:paraId="672096E7">
      <w:pPr>
        <w:autoSpaceDE w:val="0"/>
        <w:autoSpaceDN w:val="0"/>
        <w:adjustRightInd w:val="0"/>
        <w:spacing w:line="273" w:lineRule="auto"/>
        <w:ind w:firstLine="422" w:firstLineChars="200"/>
        <w:jc w:val="left"/>
        <w:outlineLvl w:val="1"/>
        <w:rPr>
          <w:rFonts w:hint="eastAsia" w:ascii="黑体" w:hAnsi="宋体" w:eastAsia="黑体"/>
          <w:b/>
          <w:bCs/>
          <w:szCs w:val="21"/>
        </w:rPr>
      </w:pPr>
      <w:r>
        <w:rPr>
          <w:rFonts w:ascii="黑体" w:hAnsi="宋体" w:eastAsia="黑体"/>
          <w:b/>
          <w:bCs/>
          <w:szCs w:val="21"/>
        </w:rPr>
        <w:t>8.8 施工设备和临时设施</w:t>
      </w:r>
    </w:p>
    <w:p w14:paraId="6849FAED">
      <w:pPr>
        <w:autoSpaceDE w:val="0"/>
        <w:autoSpaceDN w:val="0"/>
        <w:adjustRightInd w:val="0"/>
        <w:spacing w:line="273" w:lineRule="auto"/>
        <w:ind w:firstLine="420" w:firstLineChars="200"/>
        <w:jc w:val="left"/>
        <w:outlineLvl w:val="2"/>
        <w:rPr>
          <w:rFonts w:hint="eastAsia" w:ascii="宋体" w:hAnsi="宋体"/>
          <w:szCs w:val="21"/>
        </w:rPr>
      </w:pPr>
      <w:r>
        <w:rPr>
          <w:rFonts w:ascii="宋体" w:hAnsi="宋体"/>
          <w:szCs w:val="21"/>
        </w:rPr>
        <w:t>8.8.1 承包人提供的施工设备和临时设施</w:t>
      </w:r>
    </w:p>
    <w:p w14:paraId="792C3C39">
      <w:pPr>
        <w:spacing w:line="273" w:lineRule="auto"/>
        <w:ind w:firstLine="420" w:firstLineChars="200"/>
        <w:rPr>
          <w:rFonts w:hint="eastAsia" w:ascii="宋体" w:hAnsi="宋体"/>
          <w:szCs w:val="21"/>
          <w:u w:val="single"/>
        </w:rPr>
      </w:pPr>
      <w:r>
        <w:rPr>
          <w:rFonts w:ascii="宋体" w:hAnsi="宋体"/>
          <w:szCs w:val="21"/>
        </w:rPr>
        <w:t>关于修建临时设施费用承担的约定：</w:t>
      </w:r>
      <w:r>
        <w:rPr>
          <w:rFonts w:ascii="宋体" w:hAnsi="宋体"/>
          <w:szCs w:val="21"/>
          <w:u w:val="single"/>
        </w:rPr>
        <w:t>承包人应按监理人、发包人批准的施工组织设计自行修建临时设施并自行承担临时设施的费用。</w:t>
      </w:r>
    </w:p>
    <w:p w14:paraId="310F46A7">
      <w:pPr>
        <w:autoSpaceDE w:val="0"/>
        <w:autoSpaceDN w:val="0"/>
        <w:adjustRightInd w:val="0"/>
        <w:spacing w:line="273" w:lineRule="auto"/>
        <w:jc w:val="left"/>
        <w:outlineLvl w:val="0"/>
        <w:rPr>
          <w:rFonts w:hint="eastAsia" w:ascii="黑体" w:hAnsi="宋体" w:eastAsia="黑体"/>
          <w:b/>
          <w:bCs/>
          <w:szCs w:val="21"/>
        </w:rPr>
      </w:pPr>
      <w:r>
        <w:rPr>
          <w:rFonts w:ascii="黑体" w:hAnsi="宋体" w:eastAsia="黑体"/>
          <w:b/>
          <w:bCs/>
          <w:szCs w:val="21"/>
        </w:rPr>
        <w:t>9. 试验与检验</w:t>
      </w:r>
    </w:p>
    <w:p w14:paraId="32163688">
      <w:pPr>
        <w:spacing w:after="120" w:line="273" w:lineRule="auto"/>
        <w:ind w:firstLine="422" w:firstLineChars="200"/>
        <w:outlineLvl w:val="1"/>
        <w:rPr>
          <w:rFonts w:hint="eastAsia" w:ascii="黑体" w:hAnsi="宋体" w:eastAsia="黑体"/>
          <w:b/>
          <w:bCs/>
          <w:szCs w:val="21"/>
        </w:rPr>
      </w:pPr>
      <w:r>
        <w:rPr>
          <w:rFonts w:ascii="黑体" w:hAnsi="宋体" w:eastAsia="黑体"/>
          <w:b/>
          <w:bCs/>
          <w:szCs w:val="21"/>
        </w:rPr>
        <w:t>9.1试验设备与试验人员</w:t>
      </w:r>
    </w:p>
    <w:p w14:paraId="1936CC49">
      <w:pPr>
        <w:spacing w:line="273" w:lineRule="auto"/>
        <w:ind w:firstLine="420" w:firstLineChars="200"/>
        <w:jc w:val="left"/>
        <w:outlineLvl w:val="2"/>
        <w:rPr>
          <w:rFonts w:hint="eastAsia" w:ascii="宋体" w:hAnsi="宋体"/>
          <w:szCs w:val="21"/>
        </w:rPr>
      </w:pPr>
      <w:r>
        <w:rPr>
          <w:rFonts w:ascii="宋体" w:hAnsi="宋体"/>
          <w:szCs w:val="21"/>
        </w:rPr>
        <w:t>9.1.2 试验设备</w:t>
      </w:r>
    </w:p>
    <w:p w14:paraId="6647CDEE">
      <w:pPr>
        <w:spacing w:line="273" w:lineRule="auto"/>
        <w:ind w:firstLine="420" w:firstLineChars="200"/>
        <w:jc w:val="left"/>
        <w:rPr>
          <w:rFonts w:hint="eastAsia" w:ascii="宋体" w:hAnsi="宋体"/>
          <w:szCs w:val="21"/>
        </w:rPr>
      </w:pPr>
      <w:r>
        <w:rPr>
          <w:rFonts w:ascii="宋体" w:hAnsi="宋体"/>
          <w:szCs w:val="21"/>
        </w:rPr>
        <w:t>施工现场需要配置的试验场所：</w:t>
      </w:r>
      <w:r>
        <w:rPr>
          <w:rFonts w:ascii="宋体" w:hAnsi="宋体"/>
          <w:szCs w:val="21"/>
          <w:u w:val="single"/>
        </w:rPr>
        <w:t>根据《建筑工程检测试验技术管理规范》（JGJ190-2010）及其他国家、河南省、郑州市相关规范规定的要求。相关费用包含在合同价内，发包人不再另行支付。</w:t>
      </w:r>
    </w:p>
    <w:p w14:paraId="6BB41340">
      <w:pPr>
        <w:spacing w:line="273" w:lineRule="auto"/>
        <w:ind w:firstLine="420" w:firstLineChars="200"/>
        <w:jc w:val="left"/>
        <w:rPr>
          <w:rFonts w:hint="eastAsia" w:ascii="宋体" w:hAnsi="宋体"/>
          <w:szCs w:val="21"/>
        </w:rPr>
      </w:pPr>
      <w:r>
        <w:rPr>
          <w:rFonts w:ascii="宋体" w:hAnsi="宋体"/>
          <w:szCs w:val="21"/>
        </w:rPr>
        <w:t>施工现场需要配备的试验设备：</w:t>
      </w:r>
      <w:r>
        <w:rPr>
          <w:rFonts w:ascii="宋体" w:hAnsi="宋体"/>
          <w:szCs w:val="21"/>
          <w:u w:val="single"/>
        </w:rPr>
        <w:t>根据规范和施工现场需求设置。</w:t>
      </w:r>
    </w:p>
    <w:p w14:paraId="76537EC0">
      <w:pPr>
        <w:spacing w:line="273" w:lineRule="auto"/>
        <w:ind w:firstLine="420" w:firstLineChars="200"/>
        <w:jc w:val="left"/>
        <w:rPr>
          <w:rFonts w:hint="eastAsia" w:ascii="宋体" w:hAnsi="宋体"/>
          <w:szCs w:val="21"/>
        </w:rPr>
      </w:pPr>
      <w:r>
        <w:rPr>
          <w:rFonts w:ascii="宋体" w:hAnsi="宋体"/>
          <w:szCs w:val="21"/>
        </w:rPr>
        <w:t>施工现场需要具备的其他试验条件：</w:t>
      </w:r>
      <w:r>
        <w:rPr>
          <w:rFonts w:ascii="宋体" w:hAnsi="宋体"/>
          <w:szCs w:val="21"/>
          <w:u w:val="single"/>
        </w:rPr>
        <w:t>根据规范和施工现场需求设置。</w:t>
      </w:r>
    </w:p>
    <w:p w14:paraId="7C32795E">
      <w:pPr>
        <w:spacing w:line="273" w:lineRule="auto"/>
        <w:ind w:firstLine="422" w:firstLineChars="200"/>
        <w:jc w:val="left"/>
        <w:outlineLvl w:val="1"/>
        <w:rPr>
          <w:rFonts w:hint="eastAsia" w:ascii="黑体" w:hAnsi="宋体" w:eastAsia="黑体"/>
          <w:b/>
          <w:bCs/>
          <w:szCs w:val="21"/>
        </w:rPr>
      </w:pPr>
      <w:r>
        <w:rPr>
          <w:rFonts w:ascii="黑体" w:hAnsi="宋体" w:eastAsia="黑体"/>
          <w:b/>
          <w:bCs/>
          <w:szCs w:val="21"/>
        </w:rPr>
        <w:t xml:space="preserve">9.4 现场工艺试验 </w:t>
      </w:r>
    </w:p>
    <w:p w14:paraId="37670176">
      <w:pPr>
        <w:spacing w:line="273" w:lineRule="auto"/>
        <w:ind w:firstLine="420" w:firstLineChars="200"/>
        <w:jc w:val="left"/>
        <w:rPr>
          <w:rFonts w:hint="eastAsia" w:ascii="宋体" w:hAnsi="宋体"/>
          <w:szCs w:val="21"/>
          <w:u w:val="single"/>
        </w:rPr>
      </w:pPr>
      <w:r>
        <w:rPr>
          <w:rFonts w:ascii="宋体" w:hAnsi="宋体"/>
          <w:szCs w:val="21"/>
        </w:rPr>
        <w:t>现场工艺试验的有关约定：</w:t>
      </w:r>
      <w:r>
        <w:rPr>
          <w:rFonts w:ascii="宋体" w:hAnsi="宋体"/>
          <w:szCs w:val="21"/>
          <w:u w:val="single"/>
        </w:rPr>
        <w:t xml:space="preserve">  按监理人和发包人要求。</w:t>
      </w:r>
    </w:p>
    <w:p w14:paraId="05AFDE84">
      <w:pPr>
        <w:spacing w:line="273" w:lineRule="auto"/>
        <w:ind w:firstLine="420" w:firstLineChars="200"/>
        <w:jc w:val="left"/>
        <w:rPr>
          <w:rFonts w:hint="eastAsia" w:ascii="宋体" w:hAnsi="宋体"/>
          <w:szCs w:val="21"/>
          <w:u w:val="single"/>
        </w:rPr>
      </w:pPr>
      <w:r>
        <w:rPr>
          <w:rFonts w:ascii="宋体" w:hAnsi="宋体"/>
          <w:szCs w:val="21"/>
          <w:u w:val="single"/>
        </w:rPr>
        <w:t>所有试验、检验、检测、现场工艺试验（含第三方检测）等费用包含在合同价内，发包人不再另行支付。</w:t>
      </w:r>
    </w:p>
    <w:p w14:paraId="46F82ED7">
      <w:pPr>
        <w:spacing w:line="273" w:lineRule="auto"/>
        <w:outlineLvl w:val="0"/>
        <w:rPr>
          <w:rFonts w:hint="eastAsia" w:ascii="黑体" w:hAnsi="宋体" w:eastAsia="黑体"/>
          <w:b/>
          <w:bCs/>
          <w:szCs w:val="21"/>
        </w:rPr>
      </w:pPr>
      <w:r>
        <w:rPr>
          <w:rFonts w:ascii="黑体" w:hAnsi="宋体" w:eastAsia="黑体"/>
          <w:b/>
          <w:bCs/>
          <w:szCs w:val="21"/>
        </w:rPr>
        <w:t>10. 变更</w:t>
      </w:r>
    </w:p>
    <w:p w14:paraId="3A29D37C">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10.1变更的范围</w:t>
      </w:r>
    </w:p>
    <w:p w14:paraId="71A30CAB">
      <w:pPr>
        <w:spacing w:line="273" w:lineRule="auto"/>
        <w:ind w:firstLine="420" w:firstLineChars="200"/>
        <w:jc w:val="left"/>
        <w:rPr>
          <w:rFonts w:hint="eastAsia" w:ascii="宋体" w:hAnsi="宋体"/>
          <w:szCs w:val="21"/>
          <w:u w:val="single"/>
        </w:rPr>
      </w:pPr>
      <w:r>
        <w:rPr>
          <w:rFonts w:ascii="宋体" w:hAnsi="宋体"/>
          <w:szCs w:val="21"/>
        </w:rPr>
        <w:t>关于变更的范围的约定：</w:t>
      </w:r>
      <w:r>
        <w:rPr>
          <w:rFonts w:ascii="宋体" w:hAnsi="宋体"/>
          <w:szCs w:val="21"/>
          <w:u w:val="single"/>
        </w:rPr>
        <w:t xml:space="preserve">  按通用合同条款10.1条执行      </w:t>
      </w:r>
    </w:p>
    <w:p w14:paraId="1729E70C">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10.</w:t>
      </w:r>
      <w:r>
        <w:rPr>
          <w:rFonts w:ascii="黑体" w:hAnsi="黑体" w:eastAsia="黑体"/>
          <w:b/>
          <w:bCs/>
          <w:szCs w:val="21"/>
        </w:rPr>
        <w:t>2变更估价</w:t>
      </w:r>
    </w:p>
    <w:p w14:paraId="3D9172A1">
      <w:pPr>
        <w:spacing w:line="273" w:lineRule="auto"/>
        <w:ind w:firstLine="420" w:firstLineChars="200"/>
        <w:outlineLvl w:val="2"/>
        <w:rPr>
          <w:rFonts w:hint="eastAsia" w:ascii="宋体" w:hAnsi="宋体"/>
          <w:szCs w:val="21"/>
        </w:rPr>
      </w:pPr>
      <w:r>
        <w:rPr>
          <w:rFonts w:ascii="宋体" w:hAnsi="宋体"/>
          <w:szCs w:val="21"/>
        </w:rPr>
        <w:t>10.2.1 变更估价原则</w:t>
      </w:r>
    </w:p>
    <w:p w14:paraId="0FE757F8">
      <w:pPr>
        <w:spacing w:line="273" w:lineRule="auto"/>
        <w:ind w:firstLine="420" w:firstLineChars="200"/>
        <w:rPr>
          <w:rFonts w:hint="eastAsia" w:ascii="宋体" w:hAnsi="宋体"/>
          <w:szCs w:val="21"/>
          <w:u w:val="single"/>
        </w:rPr>
      </w:pPr>
      <w:r>
        <w:rPr>
          <w:rFonts w:ascii="宋体" w:hAnsi="宋体"/>
          <w:szCs w:val="21"/>
        </w:rPr>
        <w:t xml:space="preserve">关于变更估价的约定: </w:t>
      </w:r>
    </w:p>
    <w:p w14:paraId="39267187">
      <w:pPr>
        <w:spacing w:line="273" w:lineRule="auto"/>
        <w:ind w:firstLine="420"/>
        <w:rPr>
          <w:rFonts w:hint="eastAsia" w:ascii="宋体" w:hAnsi="宋体"/>
          <w:szCs w:val="21"/>
        </w:rPr>
      </w:pPr>
      <w:r>
        <w:rPr>
          <w:rFonts w:ascii="宋体" w:hAnsi="宋体"/>
          <w:szCs w:val="21"/>
          <w:u w:val="single"/>
        </w:rPr>
        <w:t>因工程量清单漏项(仅适用于合同协议书约定采用单价合同形式时)或变更引起措施项目发生变化，原措施项目费中已有的措施项目，采用原措施项目费的组价方法变更；原措施项目费中没有的措施项目，由承包人根据措施项目变更情况，提出适当的措施项目费变更，由监理人审批，发包人确定后变更措施项目的费用。</w:t>
      </w:r>
    </w:p>
    <w:p w14:paraId="12DE16DF">
      <w:pPr>
        <w:spacing w:line="273" w:lineRule="auto"/>
        <w:ind w:firstLine="420"/>
        <w:rPr>
          <w:rFonts w:hint="eastAsia" w:ascii="宋体" w:hAnsi="宋体"/>
          <w:szCs w:val="21"/>
          <w:u w:val="single"/>
        </w:rPr>
      </w:pPr>
      <w:r>
        <w:rPr>
          <w:rFonts w:ascii="宋体" w:hAnsi="宋体"/>
          <w:szCs w:val="21"/>
          <w:u w:val="single"/>
        </w:rPr>
        <w:t>因变更引起价格调整的其他处理方式：</w:t>
      </w:r>
    </w:p>
    <w:p w14:paraId="6D201FC8">
      <w:pPr>
        <w:spacing w:line="273" w:lineRule="auto"/>
        <w:ind w:firstLine="420" w:firstLineChars="200"/>
        <w:rPr>
          <w:rFonts w:hint="eastAsia" w:ascii="宋体" w:hAnsi="宋体"/>
          <w:szCs w:val="21"/>
          <w:u w:val="single"/>
        </w:rPr>
      </w:pPr>
      <w:r>
        <w:rPr>
          <w:rFonts w:ascii="宋体" w:hAnsi="宋体"/>
          <w:szCs w:val="21"/>
          <w:u w:val="single"/>
        </w:rPr>
        <w:t>①已标价工程量清单或预算书有相同项目的，按照相同项目综合单价认定；</w:t>
      </w:r>
    </w:p>
    <w:p w14:paraId="04703365">
      <w:pPr>
        <w:spacing w:line="273" w:lineRule="auto"/>
        <w:ind w:firstLine="420" w:firstLineChars="200"/>
        <w:rPr>
          <w:rFonts w:hint="eastAsia" w:ascii="宋体" w:hAnsi="宋体"/>
          <w:szCs w:val="21"/>
          <w:u w:val="single"/>
        </w:rPr>
      </w:pPr>
      <w:r>
        <w:rPr>
          <w:rFonts w:ascii="宋体" w:hAnsi="宋体"/>
          <w:szCs w:val="21"/>
          <w:u w:val="single"/>
        </w:rPr>
        <w:t>②已标价工程量清单或预算书中无相同项目，但有类似项目的，参照类似项目的单价作为变更估价的基础，换算后确定。</w:t>
      </w:r>
    </w:p>
    <w:p w14:paraId="5F70675B">
      <w:pPr>
        <w:spacing w:line="273" w:lineRule="auto"/>
        <w:ind w:firstLine="420" w:firstLineChars="200"/>
        <w:rPr>
          <w:rFonts w:hint="eastAsia" w:ascii="宋体" w:hAnsi="宋体"/>
          <w:szCs w:val="21"/>
          <w:u w:val="single"/>
        </w:rPr>
      </w:pPr>
      <w:r>
        <w:rPr>
          <w:rFonts w:ascii="宋体" w:hAnsi="宋体"/>
          <w:szCs w:val="21"/>
          <w:u w:val="single"/>
        </w:rPr>
        <w:t>类似项目单价调整方式：</w:t>
      </w:r>
    </w:p>
    <w:p w14:paraId="7639FAB4">
      <w:pPr>
        <w:spacing w:line="273" w:lineRule="auto"/>
        <w:ind w:firstLine="420" w:firstLineChars="200"/>
        <w:rPr>
          <w:rFonts w:hint="eastAsia" w:ascii="宋体" w:hAnsi="宋体"/>
          <w:szCs w:val="21"/>
          <w:u w:val="single"/>
        </w:rPr>
      </w:pPr>
      <w:r>
        <w:rPr>
          <w:rFonts w:ascii="宋体" w:hAnsi="宋体"/>
          <w:szCs w:val="21"/>
          <w:u w:val="single"/>
        </w:rPr>
        <w:t>凡可以按面积、体积、重量、长度、厚度等比例关系或可换算成这种比例关系的以最相似清单项目单价按相应比例关系折算；如材料不同仅换算材料价差，不再调整综合单价的其他费用。</w:t>
      </w:r>
    </w:p>
    <w:p w14:paraId="2953B3C4">
      <w:pPr>
        <w:spacing w:line="273" w:lineRule="auto"/>
        <w:ind w:firstLine="420" w:firstLineChars="200"/>
        <w:rPr>
          <w:rFonts w:hint="eastAsia" w:ascii="宋体" w:hAnsi="宋体"/>
          <w:szCs w:val="21"/>
          <w:u w:val="single"/>
        </w:rPr>
      </w:pPr>
      <w:r>
        <w:rPr>
          <w:rFonts w:ascii="宋体" w:hAnsi="宋体"/>
          <w:szCs w:val="21"/>
          <w:u w:val="single"/>
        </w:rPr>
        <w:t>③已标价工程量清单或预算书中无相同或类似项目的，由承包人根据《河南省建设工程工程量清单计价定额》（2015）及相关配套文件执行。新增单价按中标的响应与招标的投标控制价相比较，按同比例下浮，即新增单价下浮比例=〔（招标控制价—不可竞争性费用）—（响应—不可竞争性费用）〕÷（招标控制价-不可竞争性费用）×100%，其中不可竞争性费用指规费、安全文明施工费、专业工程暂估价、暂列金额。</w:t>
      </w:r>
    </w:p>
    <w:p w14:paraId="0B244118">
      <w:pPr>
        <w:spacing w:line="460" w:lineRule="exact"/>
        <w:ind w:firstLine="498" w:firstLineChars="200"/>
        <w:rPr>
          <w:rFonts w:hint="eastAsia" w:ascii="汉鼎简楷体" w:hAnsi="宋体"/>
          <w:b/>
          <w:bCs/>
          <w:spacing w:val="4"/>
          <w:sz w:val="24"/>
        </w:rPr>
      </w:pPr>
      <w:r>
        <w:rPr>
          <w:rFonts w:ascii="宋体" w:hAnsi="宋体"/>
          <w:b/>
          <w:bCs/>
          <w:spacing w:val="4"/>
          <w:sz w:val="24"/>
        </w:rPr>
        <w:t>承包人需在收到变更指令后7日内提交费用及工期影响报告，逾期视为无额外费用/工期要求</w:t>
      </w:r>
      <w:r>
        <w:rPr>
          <w:rFonts w:ascii="汉鼎简楷体" w:hAnsi="汉鼎简楷体"/>
          <w:b/>
          <w:bCs/>
          <w:spacing w:val="4"/>
          <w:sz w:val="24"/>
        </w:rPr>
        <w:t>。</w:t>
      </w:r>
    </w:p>
    <w:p w14:paraId="08E1F5DC">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10.</w:t>
      </w:r>
      <w:r>
        <w:rPr>
          <w:rFonts w:ascii="黑体" w:hAnsi="黑体" w:eastAsia="黑体"/>
          <w:b/>
          <w:bCs/>
          <w:szCs w:val="21"/>
        </w:rPr>
        <w:t>3承包人的合理化建议</w:t>
      </w:r>
    </w:p>
    <w:p w14:paraId="5FA1BEFA">
      <w:pPr>
        <w:spacing w:line="273" w:lineRule="auto"/>
        <w:ind w:firstLine="420" w:firstLineChars="200"/>
        <w:jc w:val="left"/>
        <w:rPr>
          <w:rFonts w:hint="eastAsia" w:ascii="宋体" w:hAnsi="宋体"/>
          <w:szCs w:val="21"/>
        </w:rPr>
      </w:pPr>
      <w:r>
        <w:rPr>
          <w:rFonts w:ascii="宋体" w:hAnsi="宋体"/>
          <w:szCs w:val="21"/>
        </w:rPr>
        <w:t>监理人审查承包人合理化建议的期限：</w:t>
      </w:r>
      <w:r>
        <w:rPr>
          <w:rFonts w:ascii="宋体" w:hAnsi="宋体"/>
          <w:szCs w:val="21"/>
          <w:u w:val="single"/>
        </w:rPr>
        <w:t>7天</w:t>
      </w:r>
      <w:r>
        <w:rPr>
          <w:rFonts w:ascii="宋体" w:hAnsi="宋体"/>
          <w:szCs w:val="21"/>
        </w:rPr>
        <w:t>。</w:t>
      </w:r>
    </w:p>
    <w:p w14:paraId="5B2876A7">
      <w:pPr>
        <w:spacing w:line="273" w:lineRule="auto"/>
        <w:ind w:firstLine="420" w:firstLineChars="200"/>
        <w:jc w:val="left"/>
        <w:rPr>
          <w:rFonts w:hint="eastAsia" w:ascii="宋体" w:hAnsi="宋体"/>
          <w:szCs w:val="21"/>
        </w:rPr>
      </w:pPr>
      <w:r>
        <w:rPr>
          <w:rFonts w:ascii="宋体" w:hAnsi="宋体"/>
          <w:szCs w:val="21"/>
        </w:rPr>
        <w:t>发包人审批承包人合理化建议的期限：</w:t>
      </w:r>
      <w:r>
        <w:rPr>
          <w:rFonts w:ascii="宋体" w:hAnsi="宋体"/>
          <w:szCs w:val="21"/>
          <w:u w:val="single"/>
        </w:rPr>
        <w:t>7天</w:t>
      </w:r>
      <w:r>
        <w:rPr>
          <w:rFonts w:ascii="宋体" w:hAnsi="宋体"/>
          <w:szCs w:val="21"/>
        </w:rPr>
        <w:t>。</w:t>
      </w:r>
    </w:p>
    <w:p w14:paraId="3A5CCBD8">
      <w:pPr>
        <w:spacing w:line="273" w:lineRule="auto"/>
        <w:ind w:firstLine="420" w:firstLineChars="200"/>
        <w:jc w:val="left"/>
        <w:rPr>
          <w:rFonts w:hint="eastAsia" w:ascii="宋体" w:hAnsi="宋体"/>
          <w:szCs w:val="21"/>
          <w:u w:val="single"/>
        </w:rPr>
      </w:pPr>
      <w:r>
        <w:rPr>
          <w:rFonts w:ascii="宋体" w:hAnsi="宋体"/>
          <w:szCs w:val="21"/>
        </w:rPr>
        <w:t>承包人提出的合理化建议降低了合同价格或者提高了工程经济效益的奖励的方法和金额为：</w:t>
      </w:r>
      <w:r>
        <w:rPr>
          <w:rFonts w:ascii="宋体" w:hAnsi="宋体"/>
          <w:szCs w:val="21"/>
          <w:u w:val="single"/>
        </w:rPr>
        <w:t>不奖励</w:t>
      </w:r>
      <w:r>
        <w:rPr>
          <w:rFonts w:ascii="宋体" w:hAnsi="宋体"/>
          <w:szCs w:val="21"/>
        </w:rPr>
        <w:t>。</w:t>
      </w:r>
    </w:p>
    <w:p w14:paraId="1504FBE2">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10.</w:t>
      </w:r>
      <w:r>
        <w:rPr>
          <w:rFonts w:ascii="黑体" w:hAnsi="黑体" w:eastAsia="黑体"/>
          <w:b/>
          <w:bCs/>
          <w:szCs w:val="21"/>
        </w:rPr>
        <w:t>7暂估价</w:t>
      </w:r>
    </w:p>
    <w:p w14:paraId="7B3FBB7B">
      <w:pPr>
        <w:spacing w:line="273" w:lineRule="auto"/>
        <w:ind w:firstLine="420" w:firstLineChars="200"/>
        <w:jc w:val="left"/>
        <w:outlineLvl w:val="2"/>
        <w:rPr>
          <w:rFonts w:hint="eastAsia" w:ascii="宋体" w:hAnsi="宋体"/>
          <w:kern w:val="0"/>
          <w:szCs w:val="21"/>
        </w:rPr>
      </w:pPr>
      <w:r>
        <w:rPr>
          <w:rFonts w:ascii="宋体" w:hAnsi="宋体"/>
          <w:kern w:val="0"/>
          <w:szCs w:val="21"/>
        </w:rPr>
        <w:t>暂估价材料和工程设备的明细详见    /   。</w:t>
      </w:r>
    </w:p>
    <w:p w14:paraId="5708483B">
      <w:pPr>
        <w:spacing w:line="273" w:lineRule="auto"/>
        <w:ind w:firstLine="420" w:firstLineChars="200"/>
        <w:jc w:val="left"/>
        <w:outlineLvl w:val="2"/>
        <w:rPr>
          <w:rFonts w:hint="eastAsia" w:ascii="宋体" w:hAnsi="宋体"/>
          <w:szCs w:val="21"/>
        </w:rPr>
      </w:pPr>
      <w:r>
        <w:rPr>
          <w:rFonts w:ascii="宋体" w:hAnsi="宋体"/>
          <w:szCs w:val="21"/>
        </w:rPr>
        <w:t>10.7.1 依法必须招标的暂估价项目</w:t>
      </w:r>
    </w:p>
    <w:p w14:paraId="73C7E4A9">
      <w:pPr>
        <w:spacing w:line="273" w:lineRule="auto"/>
        <w:ind w:firstLine="420" w:firstLineChars="200"/>
        <w:jc w:val="left"/>
        <w:rPr>
          <w:rFonts w:hint="eastAsia" w:ascii="宋体" w:hAnsi="宋体"/>
          <w:szCs w:val="21"/>
        </w:rPr>
      </w:pPr>
      <w:r>
        <w:rPr>
          <w:rFonts w:ascii="宋体" w:hAnsi="宋体"/>
          <w:szCs w:val="21"/>
        </w:rPr>
        <w:t>对于依法必须招标的暂估价项目的确认和批准采取第</w:t>
      </w:r>
      <w:r>
        <w:rPr>
          <w:rFonts w:ascii="宋体" w:hAnsi="宋体"/>
          <w:szCs w:val="21"/>
          <w:u w:val="single"/>
        </w:rPr>
        <w:t>／</w:t>
      </w:r>
      <w:r>
        <w:rPr>
          <w:rFonts w:ascii="宋体" w:hAnsi="宋体"/>
          <w:szCs w:val="21"/>
        </w:rPr>
        <w:t>种方式确定。</w:t>
      </w:r>
    </w:p>
    <w:p w14:paraId="569C1071">
      <w:pPr>
        <w:spacing w:line="273" w:lineRule="auto"/>
        <w:ind w:firstLine="420" w:firstLineChars="200"/>
        <w:jc w:val="left"/>
        <w:outlineLvl w:val="2"/>
        <w:rPr>
          <w:rFonts w:hint="eastAsia" w:ascii="宋体" w:hAnsi="宋体"/>
          <w:szCs w:val="21"/>
        </w:rPr>
      </w:pPr>
      <w:r>
        <w:rPr>
          <w:rFonts w:ascii="宋体" w:hAnsi="宋体"/>
          <w:szCs w:val="21"/>
        </w:rPr>
        <w:t>10.7.2 不属于依法必须招标的暂估价项目</w:t>
      </w:r>
    </w:p>
    <w:p w14:paraId="3C2FB25E">
      <w:pPr>
        <w:spacing w:line="273" w:lineRule="auto"/>
        <w:ind w:firstLine="420" w:firstLineChars="200"/>
        <w:jc w:val="left"/>
        <w:rPr>
          <w:rFonts w:hint="eastAsia" w:ascii="宋体" w:hAnsi="宋体"/>
          <w:szCs w:val="21"/>
        </w:rPr>
      </w:pPr>
      <w:r>
        <w:rPr>
          <w:rFonts w:ascii="宋体" w:hAnsi="宋体"/>
          <w:szCs w:val="21"/>
        </w:rPr>
        <w:t>对于不属于依法必须招标的暂估价项目的确认和批准采取第</w:t>
      </w:r>
      <w:r>
        <w:rPr>
          <w:rFonts w:ascii="宋体" w:hAnsi="宋体"/>
          <w:szCs w:val="21"/>
          <w:u w:val="single"/>
        </w:rPr>
        <w:t xml:space="preserve"> 3 </w:t>
      </w:r>
      <w:r>
        <w:rPr>
          <w:rFonts w:ascii="宋体" w:hAnsi="宋体"/>
          <w:szCs w:val="21"/>
        </w:rPr>
        <w:t xml:space="preserve"> 种方式确定。</w:t>
      </w:r>
    </w:p>
    <w:p w14:paraId="0CDA8888">
      <w:pPr>
        <w:spacing w:line="273" w:lineRule="auto"/>
        <w:ind w:firstLine="420" w:firstLineChars="200"/>
        <w:jc w:val="left"/>
        <w:rPr>
          <w:rFonts w:hint="eastAsia" w:ascii="宋体" w:hAnsi="宋体"/>
          <w:kern w:val="0"/>
          <w:szCs w:val="21"/>
        </w:rPr>
      </w:pPr>
      <w:r>
        <w:rPr>
          <w:rFonts w:ascii="宋体" w:hAnsi="宋体"/>
          <w:szCs w:val="21"/>
        </w:rPr>
        <w:t>第3种方式：</w:t>
      </w:r>
      <w:r>
        <w:rPr>
          <w:rFonts w:ascii="宋体" w:hAnsi="宋体"/>
          <w:kern w:val="0"/>
          <w:szCs w:val="21"/>
        </w:rPr>
        <w:t>承包人直接实施的暂估价项目</w:t>
      </w:r>
    </w:p>
    <w:p w14:paraId="36B48EB7">
      <w:pPr>
        <w:spacing w:line="273" w:lineRule="auto"/>
        <w:ind w:firstLine="420" w:firstLineChars="200"/>
        <w:jc w:val="left"/>
        <w:rPr>
          <w:rFonts w:hint="eastAsia" w:ascii="宋体" w:hAnsi="宋体"/>
          <w:szCs w:val="21"/>
          <w:u w:val="single"/>
        </w:rPr>
      </w:pPr>
      <w:r>
        <w:rPr>
          <w:rFonts w:ascii="宋体" w:hAnsi="宋体"/>
          <w:szCs w:val="21"/>
        </w:rPr>
        <w:t>承包人直接实施的暂估价项目的约定：</w:t>
      </w:r>
      <w:r>
        <w:rPr>
          <w:rFonts w:ascii="宋体" w:hAnsi="宋体"/>
          <w:szCs w:val="21"/>
          <w:u w:val="single"/>
        </w:rPr>
        <w:t xml:space="preserve">  经发包人认可后实施，结算以发包人有效认价单结算。</w:t>
      </w:r>
    </w:p>
    <w:p w14:paraId="47D3DCFE">
      <w:pPr>
        <w:spacing w:line="273" w:lineRule="auto"/>
        <w:ind w:firstLine="422" w:firstLineChars="200"/>
        <w:jc w:val="left"/>
        <w:outlineLvl w:val="1"/>
        <w:rPr>
          <w:rFonts w:hint="eastAsia" w:ascii="黑体" w:hAnsi="宋体" w:eastAsia="黑体"/>
          <w:b/>
          <w:bCs/>
          <w:szCs w:val="21"/>
        </w:rPr>
      </w:pPr>
      <w:r>
        <w:rPr>
          <w:rFonts w:ascii="黑体" w:hAnsi="宋体" w:eastAsia="黑体"/>
          <w:b/>
          <w:bCs/>
          <w:szCs w:val="21"/>
        </w:rPr>
        <w:t>10.</w:t>
      </w:r>
      <w:r>
        <w:rPr>
          <w:rFonts w:ascii="黑体" w:hAnsi="黑体" w:eastAsia="黑体"/>
          <w:b/>
          <w:bCs/>
          <w:szCs w:val="21"/>
        </w:rPr>
        <w:t>8暂列金额</w:t>
      </w:r>
    </w:p>
    <w:p w14:paraId="25D1E64D">
      <w:pPr>
        <w:spacing w:line="273" w:lineRule="auto"/>
        <w:ind w:firstLine="420" w:firstLineChars="200"/>
        <w:rPr>
          <w:rFonts w:hint="eastAsia" w:ascii="宋体" w:hAnsi="宋体"/>
          <w:szCs w:val="21"/>
          <w:u w:val="single"/>
        </w:rPr>
      </w:pPr>
      <w:r>
        <w:rPr>
          <w:rFonts w:ascii="宋体" w:hAnsi="宋体"/>
          <w:kern w:val="0"/>
          <w:szCs w:val="21"/>
        </w:rPr>
        <w:t>合同当事人关于暂列金额使用的约定：</w:t>
      </w:r>
      <w:r>
        <w:rPr>
          <w:rFonts w:ascii="宋体" w:hAnsi="宋体"/>
          <w:szCs w:val="21"/>
          <w:u w:val="single"/>
        </w:rPr>
        <w:t xml:space="preserve">  暂列金额归发包人所有，按发包人要求使用。</w:t>
      </w:r>
    </w:p>
    <w:p w14:paraId="007CCC47">
      <w:pPr>
        <w:autoSpaceDE w:val="0"/>
        <w:autoSpaceDN w:val="0"/>
        <w:adjustRightInd w:val="0"/>
        <w:spacing w:line="273" w:lineRule="auto"/>
        <w:jc w:val="left"/>
        <w:outlineLvl w:val="0"/>
        <w:rPr>
          <w:rFonts w:hint="eastAsia" w:ascii="黑体" w:hAnsi="宋体" w:eastAsia="黑体"/>
          <w:b/>
          <w:bCs/>
          <w:szCs w:val="21"/>
        </w:rPr>
      </w:pPr>
      <w:r>
        <w:rPr>
          <w:rFonts w:ascii="黑体" w:hAnsi="宋体" w:eastAsia="黑体"/>
          <w:b/>
          <w:bCs/>
          <w:szCs w:val="21"/>
        </w:rPr>
        <w:t>11. 价格调整</w:t>
      </w:r>
    </w:p>
    <w:p w14:paraId="4EB56B07">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11.1 市场价格波动引起的调整</w:t>
      </w:r>
    </w:p>
    <w:p w14:paraId="20D7BDF8">
      <w:pPr>
        <w:spacing w:line="273" w:lineRule="auto"/>
        <w:ind w:firstLine="420" w:firstLineChars="200"/>
        <w:jc w:val="left"/>
        <w:rPr>
          <w:rFonts w:hint="eastAsia" w:ascii="宋体" w:hAnsi="宋体"/>
          <w:szCs w:val="21"/>
        </w:rPr>
      </w:pPr>
      <w:r>
        <w:rPr>
          <w:rFonts w:ascii="宋体" w:hAnsi="宋体"/>
          <w:color w:val="000000"/>
          <w:kern w:val="0"/>
          <w:szCs w:val="21"/>
        </w:rPr>
        <w:t>市场价格波动是否调整合同价格的约定：</w:t>
      </w:r>
      <w:r>
        <w:rPr>
          <w:rFonts w:ascii="宋体" w:hAnsi="宋体"/>
          <w:szCs w:val="21"/>
          <w:u w:val="single"/>
        </w:rPr>
        <w:t xml:space="preserve">       不调整     </w:t>
      </w:r>
      <w:r>
        <w:rPr>
          <w:rFonts w:ascii="宋体" w:hAnsi="宋体"/>
          <w:szCs w:val="21"/>
        </w:rPr>
        <w:t>。</w:t>
      </w:r>
    </w:p>
    <w:p w14:paraId="0F9F8A8B">
      <w:pPr>
        <w:spacing w:line="273" w:lineRule="auto"/>
        <w:outlineLvl w:val="0"/>
        <w:rPr>
          <w:rFonts w:hint="eastAsia" w:ascii="黑体" w:hAnsi="宋体" w:eastAsia="黑体"/>
          <w:b/>
          <w:bCs/>
          <w:szCs w:val="21"/>
        </w:rPr>
      </w:pPr>
      <w:r>
        <w:rPr>
          <w:rFonts w:ascii="黑体" w:hAnsi="宋体" w:eastAsia="黑体"/>
          <w:b/>
          <w:bCs/>
          <w:szCs w:val="21"/>
        </w:rPr>
        <w:t xml:space="preserve">12. </w:t>
      </w:r>
      <w:r>
        <w:rPr>
          <w:rFonts w:ascii="黑体" w:hAnsi="黑体" w:eastAsia="黑体"/>
          <w:b/>
          <w:bCs/>
          <w:szCs w:val="21"/>
        </w:rPr>
        <w:t>合同价格、计量与支付</w:t>
      </w:r>
    </w:p>
    <w:p w14:paraId="7692B9DB">
      <w:pPr>
        <w:spacing w:after="120" w:line="273" w:lineRule="auto"/>
        <w:ind w:firstLine="422" w:firstLineChars="200"/>
        <w:outlineLvl w:val="1"/>
        <w:rPr>
          <w:rFonts w:hint="eastAsia" w:ascii="黑体" w:hAnsi="宋体" w:eastAsia="黑体"/>
          <w:b/>
          <w:bCs/>
          <w:szCs w:val="21"/>
        </w:rPr>
      </w:pPr>
      <w:r>
        <w:rPr>
          <w:rFonts w:ascii="黑体" w:hAnsi="宋体" w:eastAsia="黑体"/>
          <w:b/>
          <w:bCs/>
          <w:szCs w:val="21"/>
        </w:rPr>
        <w:t>12.1 合</w:t>
      </w:r>
      <w:r>
        <w:rPr>
          <w:rFonts w:ascii="黑体" w:hAnsi="黑体" w:eastAsia="黑体"/>
          <w:b/>
          <w:bCs/>
          <w:szCs w:val="21"/>
        </w:rPr>
        <w:t>同价格形式</w:t>
      </w:r>
    </w:p>
    <w:p w14:paraId="75F0EBB5">
      <w:pPr>
        <w:spacing w:line="273" w:lineRule="auto"/>
        <w:ind w:firstLine="420" w:firstLineChars="200"/>
        <w:rPr>
          <w:rFonts w:hint="eastAsia" w:ascii="宋体" w:hAnsi="宋体"/>
          <w:b/>
          <w:bCs/>
          <w:szCs w:val="21"/>
        </w:rPr>
      </w:pPr>
      <w:r>
        <w:rPr>
          <w:rFonts w:ascii="宋体" w:hAnsi="宋体"/>
          <w:szCs w:val="21"/>
        </w:rPr>
        <w:t>本合同采用总价合同形式。合同总价为固定总价。该合同总价包括了承包人完成发包人提供图纸等范围内所有工程项目的承包费用及设计变更、签证等费用</w:t>
      </w:r>
      <w:r>
        <w:rPr>
          <w:rFonts w:ascii="宋体" w:hAnsi="宋体"/>
          <w:b/>
          <w:bCs/>
          <w:szCs w:val="21"/>
        </w:rPr>
        <w:t>，</w:t>
      </w:r>
      <w:r>
        <w:rPr>
          <w:rFonts w:ascii="宋体" w:hAnsi="宋体"/>
          <w:b/>
          <w:bCs/>
          <w:color w:val="000000"/>
          <w:kern w:val="0"/>
          <w:szCs w:val="21"/>
        </w:rPr>
        <w:t>承包人应充分考虑本工程的增加变更工程，若其工程量不超过总承包工程量的5%的情况下，承包人必须无条件施工。</w:t>
      </w:r>
    </w:p>
    <w:p w14:paraId="368F8759">
      <w:pPr>
        <w:spacing w:line="273" w:lineRule="auto"/>
        <w:ind w:firstLine="422" w:firstLineChars="200"/>
        <w:outlineLvl w:val="1"/>
        <w:rPr>
          <w:rFonts w:hint="eastAsia" w:ascii="宋体" w:hAnsi="宋体"/>
          <w:b/>
          <w:bCs/>
          <w:szCs w:val="21"/>
        </w:rPr>
      </w:pPr>
      <w:r>
        <w:rPr>
          <w:rFonts w:ascii="宋体" w:hAnsi="宋体"/>
          <w:b/>
          <w:bCs/>
          <w:szCs w:val="21"/>
        </w:rPr>
        <w:t>12.2 预付款</w:t>
      </w:r>
    </w:p>
    <w:p w14:paraId="3B484044">
      <w:pPr>
        <w:spacing w:line="273" w:lineRule="auto"/>
        <w:ind w:firstLine="422" w:firstLineChars="200"/>
        <w:outlineLvl w:val="1"/>
        <w:rPr>
          <w:rFonts w:hint="eastAsia" w:ascii="宋体" w:hAnsi="宋体"/>
          <w:b/>
          <w:bCs/>
          <w:szCs w:val="21"/>
        </w:rPr>
      </w:pPr>
      <w:r>
        <w:rPr>
          <w:rFonts w:ascii="宋体" w:hAnsi="宋体"/>
          <w:b/>
          <w:bCs/>
          <w:szCs w:val="21"/>
        </w:rPr>
        <w:t>12.2.1 预付款的支付</w:t>
      </w:r>
    </w:p>
    <w:p w14:paraId="5DD64FDC">
      <w:pPr>
        <w:spacing w:line="273" w:lineRule="auto"/>
        <w:ind w:firstLine="420" w:firstLineChars="200"/>
        <w:jc w:val="left"/>
        <w:rPr>
          <w:rFonts w:hint="eastAsia" w:ascii="宋体" w:hAnsi="宋体"/>
          <w:color w:val="000000"/>
          <w:kern w:val="0"/>
          <w:szCs w:val="21"/>
        </w:rPr>
      </w:pPr>
      <w:r>
        <w:rPr>
          <w:rFonts w:ascii="宋体" w:hAnsi="宋体"/>
          <w:color w:val="000000"/>
          <w:kern w:val="0"/>
          <w:szCs w:val="21"/>
        </w:rPr>
        <w:t>预付款支付比例或金额：</w:t>
      </w:r>
      <w:r>
        <w:rPr>
          <w:rFonts w:ascii="宋体" w:hAnsi="宋体"/>
          <w:color w:val="000000"/>
          <w:kern w:val="0"/>
          <w:szCs w:val="21"/>
          <w:u w:val="single"/>
        </w:rPr>
        <w:t xml:space="preserve">  /    </w:t>
      </w:r>
    </w:p>
    <w:p w14:paraId="01C29EFD">
      <w:pPr>
        <w:spacing w:line="273" w:lineRule="auto"/>
        <w:ind w:firstLine="420" w:firstLineChars="200"/>
        <w:jc w:val="left"/>
        <w:rPr>
          <w:rFonts w:hint="eastAsia" w:ascii="宋体" w:hAnsi="宋体"/>
          <w:color w:val="000000"/>
          <w:kern w:val="0"/>
          <w:szCs w:val="21"/>
        </w:rPr>
      </w:pPr>
      <w:r>
        <w:rPr>
          <w:rFonts w:ascii="宋体" w:hAnsi="宋体"/>
          <w:color w:val="000000"/>
          <w:kern w:val="0"/>
          <w:szCs w:val="21"/>
        </w:rPr>
        <w:t>预付款支付期限：</w:t>
      </w:r>
      <w:r>
        <w:rPr>
          <w:rFonts w:ascii="宋体" w:hAnsi="宋体"/>
          <w:color w:val="000000"/>
          <w:kern w:val="0"/>
          <w:szCs w:val="21"/>
          <w:u w:val="single"/>
        </w:rPr>
        <w:t xml:space="preserve">  /</w:t>
      </w:r>
    </w:p>
    <w:p w14:paraId="225A1140">
      <w:pPr>
        <w:spacing w:line="273" w:lineRule="auto"/>
        <w:ind w:firstLine="420" w:firstLineChars="200"/>
        <w:jc w:val="left"/>
        <w:rPr>
          <w:rFonts w:hint="eastAsia" w:ascii="宋体" w:hAnsi="宋体"/>
          <w:color w:val="000000"/>
          <w:kern w:val="0"/>
          <w:szCs w:val="21"/>
          <w:u w:val="single"/>
        </w:rPr>
      </w:pPr>
      <w:r>
        <w:rPr>
          <w:rFonts w:ascii="宋体" w:hAnsi="宋体"/>
          <w:color w:val="000000"/>
          <w:kern w:val="0"/>
          <w:szCs w:val="21"/>
        </w:rPr>
        <w:t>预付款扣回的方式：</w:t>
      </w:r>
      <w:r>
        <w:rPr>
          <w:rFonts w:ascii="宋体" w:hAnsi="宋体"/>
          <w:color w:val="000000"/>
          <w:kern w:val="0"/>
          <w:szCs w:val="21"/>
          <w:u w:val="single"/>
        </w:rPr>
        <w:t xml:space="preserve">   /   </w:t>
      </w:r>
    </w:p>
    <w:p w14:paraId="745486B6">
      <w:pPr>
        <w:spacing w:line="273" w:lineRule="auto"/>
        <w:ind w:firstLine="422" w:firstLineChars="200"/>
        <w:outlineLvl w:val="1"/>
        <w:rPr>
          <w:rFonts w:hint="eastAsia" w:ascii="宋体" w:hAnsi="宋体"/>
          <w:b/>
          <w:bCs/>
          <w:szCs w:val="21"/>
        </w:rPr>
      </w:pPr>
      <w:r>
        <w:rPr>
          <w:rFonts w:ascii="宋体" w:hAnsi="宋体"/>
          <w:b/>
          <w:bCs/>
          <w:szCs w:val="21"/>
        </w:rPr>
        <w:t>12.3 计量</w:t>
      </w:r>
    </w:p>
    <w:p w14:paraId="69C0E961">
      <w:pPr>
        <w:spacing w:line="273" w:lineRule="auto"/>
        <w:ind w:firstLine="420" w:firstLineChars="200"/>
        <w:outlineLvl w:val="2"/>
        <w:rPr>
          <w:rFonts w:hint="eastAsia" w:ascii="宋体" w:hAnsi="宋体"/>
          <w:szCs w:val="21"/>
        </w:rPr>
      </w:pPr>
      <w:r>
        <w:rPr>
          <w:rFonts w:ascii="宋体" w:hAnsi="宋体"/>
          <w:szCs w:val="21"/>
        </w:rPr>
        <w:t>12.3.1 计量原则</w:t>
      </w:r>
    </w:p>
    <w:p w14:paraId="28C6126B">
      <w:pPr>
        <w:spacing w:line="273" w:lineRule="auto"/>
        <w:ind w:firstLine="420" w:firstLineChars="200"/>
        <w:rPr>
          <w:rFonts w:hint="eastAsia" w:ascii="宋体" w:hAnsi="宋体"/>
          <w:szCs w:val="21"/>
          <w:u w:val="single"/>
        </w:rPr>
      </w:pPr>
      <w:r>
        <w:rPr>
          <w:rFonts w:ascii="宋体" w:hAnsi="宋体"/>
          <w:szCs w:val="21"/>
        </w:rPr>
        <w:t>工程量计算规则：</w:t>
      </w:r>
      <w:r>
        <w:rPr>
          <w:rFonts w:ascii="宋体" w:hAnsi="宋体"/>
          <w:szCs w:val="21"/>
          <w:u w:val="single"/>
        </w:rPr>
        <w:t>执行国家标准《建设工程工程量清单计价规范》(GB50500—2013)或其适用的修订版本。除合同另有约定外，承包人实际完成的工程量按约定的工程量计算规则和有合同约束力的图纸进行计量。</w:t>
      </w:r>
    </w:p>
    <w:p w14:paraId="51BD6717">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12.4 工程进度款支付</w:t>
      </w:r>
    </w:p>
    <w:p w14:paraId="6A28BD7C">
      <w:pPr>
        <w:spacing w:line="420" w:lineRule="exact"/>
        <w:ind w:firstLine="422" w:firstLineChars="200"/>
        <w:rPr>
          <w:rFonts w:hint="eastAsia" w:ascii="宋体" w:hAnsi="宋体"/>
          <w:b/>
          <w:bCs/>
          <w:szCs w:val="21"/>
        </w:rPr>
      </w:pPr>
      <w:r>
        <w:rPr>
          <w:rFonts w:ascii="宋体" w:hAnsi="宋体"/>
          <w:b/>
          <w:bCs/>
          <w:szCs w:val="21"/>
        </w:rPr>
        <w:t>12.4.1 付款周期</w:t>
      </w:r>
    </w:p>
    <w:p w14:paraId="37FA3FF9">
      <w:pPr>
        <w:spacing w:line="273" w:lineRule="auto"/>
        <w:ind w:firstLine="420" w:firstLineChars="200"/>
        <w:outlineLvl w:val="0"/>
        <w:rPr>
          <w:rFonts w:hint="eastAsia" w:ascii="宋体" w:hAnsi="宋体"/>
          <w:szCs w:val="21"/>
          <w:u w:val="single"/>
        </w:rPr>
      </w:pPr>
      <w:r>
        <w:rPr>
          <w:rFonts w:ascii="宋体" w:hAnsi="宋体"/>
          <w:szCs w:val="21"/>
        </w:rPr>
        <w:t>关于付款周期的约定：</w:t>
      </w:r>
      <w:r>
        <w:rPr>
          <w:rFonts w:ascii="宋体" w:hAnsi="宋体"/>
          <w:szCs w:val="21"/>
          <w:u w:val="single"/>
        </w:rPr>
        <w:t>合同生效且本项目开工后七个工作日内，支付合同总价款10%；本项目工程量完成50%时，支付到合同总金额的50%;本项目工程量完成80%时，支付到合同总金额的80%；竣工验收合格并进行工程结算审核后，支付到项目竣工结算总金额的 97%；剩余3%作为质保金，缺陷责任期(24个月)满，无质量问题且收到承包人返还保证金申请,发包人核实无误后十个工作日内无息支付给承包人。</w:t>
      </w:r>
    </w:p>
    <w:p w14:paraId="16750BF3">
      <w:pPr>
        <w:spacing w:line="273" w:lineRule="auto"/>
        <w:ind w:firstLine="420" w:firstLineChars="200"/>
        <w:outlineLvl w:val="0"/>
        <w:rPr>
          <w:rFonts w:hint="eastAsia" w:ascii="宋体" w:hAnsi="宋体"/>
          <w:szCs w:val="21"/>
          <w:u w:val="single"/>
        </w:rPr>
      </w:pPr>
      <w:r>
        <w:rPr>
          <w:rFonts w:ascii="宋体" w:hAnsi="宋体"/>
          <w:szCs w:val="21"/>
          <w:u w:val="single"/>
        </w:rPr>
        <w:t>首次付款前，承包人开具以发包人单位名称全称为抬头的发票。若承包人不能提供合法发票，发包人有权拒绝付款，且不承担违约责任，同时承包人仍应按合同约定行义务。如因承包人提供虚假发票或提供发票不符合要求造成发包人损失的，承包人应当承担全部赔偿责任。</w:t>
      </w:r>
    </w:p>
    <w:p w14:paraId="2358309C">
      <w:pPr>
        <w:spacing w:line="273" w:lineRule="auto"/>
        <w:ind w:firstLine="420" w:firstLineChars="200"/>
        <w:outlineLvl w:val="0"/>
        <w:rPr>
          <w:rFonts w:hint="eastAsia" w:ascii="宋体" w:hAnsi="宋体"/>
          <w:szCs w:val="21"/>
          <w:u w:val="single"/>
        </w:rPr>
      </w:pPr>
      <w:r>
        <w:rPr>
          <w:rFonts w:ascii="宋体" w:hAnsi="宋体"/>
          <w:szCs w:val="21"/>
          <w:u w:val="single"/>
        </w:rPr>
        <w:t>每次支付进度款前，承包人均须提交付款申请。若因承包人未及时提交付款申请，导致发包人逾期付款，发包人不承担违约责任。</w:t>
      </w:r>
    </w:p>
    <w:p w14:paraId="094DA784">
      <w:pPr>
        <w:spacing w:line="273" w:lineRule="auto"/>
        <w:ind w:firstLine="420" w:firstLineChars="200"/>
        <w:outlineLvl w:val="0"/>
        <w:rPr>
          <w:rFonts w:hint="eastAsia" w:ascii="宋体" w:hAnsi="宋体"/>
          <w:szCs w:val="21"/>
        </w:rPr>
      </w:pPr>
      <w:r>
        <w:rPr>
          <w:rFonts w:ascii="宋体" w:hAnsi="宋体"/>
          <w:szCs w:val="21"/>
        </w:rPr>
        <w:t>12.4.2 进度付款申请单的编制</w:t>
      </w:r>
    </w:p>
    <w:p w14:paraId="03203A70">
      <w:pPr>
        <w:spacing w:line="273" w:lineRule="auto"/>
        <w:ind w:firstLine="420" w:firstLineChars="200"/>
        <w:outlineLvl w:val="0"/>
        <w:rPr>
          <w:rFonts w:hint="eastAsia" w:ascii="宋体" w:hAnsi="宋体"/>
          <w:szCs w:val="21"/>
        </w:rPr>
      </w:pPr>
      <w:r>
        <w:rPr>
          <w:rFonts w:ascii="宋体" w:hAnsi="宋体"/>
          <w:szCs w:val="21"/>
        </w:rPr>
        <w:t>关于进度付款申请单编制的约定：</w:t>
      </w:r>
      <w:r>
        <w:rPr>
          <w:rFonts w:ascii="宋体" w:hAnsi="宋体"/>
          <w:szCs w:val="21"/>
          <w:u w:val="single"/>
        </w:rPr>
        <w:t>承包人在付款前14天编制上报。</w:t>
      </w:r>
    </w:p>
    <w:p w14:paraId="066E991B">
      <w:pPr>
        <w:spacing w:line="273" w:lineRule="auto"/>
        <w:ind w:firstLine="420" w:firstLineChars="200"/>
        <w:outlineLvl w:val="0"/>
        <w:rPr>
          <w:rFonts w:hint="eastAsia" w:ascii="宋体" w:hAnsi="宋体"/>
          <w:szCs w:val="21"/>
        </w:rPr>
      </w:pPr>
      <w:r>
        <w:rPr>
          <w:rFonts w:ascii="宋体" w:hAnsi="宋体"/>
          <w:szCs w:val="21"/>
        </w:rPr>
        <w:t>12.4.3 进度付款申请单的提交</w:t>
      </w:r>
    </w:p>
    <w:p w14:paraId="5BF4600D">
      <w:pPr>
        <w:spacing w:line="273" w:lineRule="auto"/>
        <w:ind w:firstLine="420" w:firstLineChars="200"/>
        <w:outlineLvl w:val="0"/>
        <w:rPr>
          <w:rFonts w:hint="eastAsia" w:ascii="宋体" w:hAnsi="宋体"/>
          <w:szCs w:val="21"/>
        </w:rPr>
      </w:pPr>
      <w:r>
        <w:rPr>
          <w:rFonts w:ascii="宋体" w:hAnsi="宋体"/>
          <w:szCs w:val="21"/>
        </w:rPr>
        <w:t>（1）单价合同进度付款申请单提交的约定：</w:t>
      </w:r>
      <w:r>
        <w:rPr>
          <w:rFonts w:ascii="宋体" w:hAnsi="宋体"/>
          <w:szCs w:val="21"/>
          <w:u w:val="single"/>
        </w:rPr>
        <w:t xml:space="preserve">      /         </w:t>
      </w:r>
      <w:r>
        <w:rPr>
          <w:rFonts w:ascii="宋体" w:hAnsi="宋体"/>
          <w:szCs w:val="21"/>
        </w:rPr>
        <w:t>。</w:t>
      </w:r>
    </w:p>
    <w:p w14:paraId="4915A8E1">
      <w:pPr>
        <w:spacing w:line="273" w:lineRule="auto"/>
        <w:ind w:firstLine="420" w:firstLineChars="200"/>
        <w:outlineLvl w:val="0"/>
        <w:rPr>
          <w:rFonts w:hint="eastAsia" w:ascii="宋体" w:hAnsi="宋体"/>
          <w:szCs w:val="21"/>
        </w:rPr>
      </w:pPr>
      <w:r>
        <w:rPr>
          <w:rFonts w:ascii="宋体" w:hAnsi="宋体"/>
          <w:szCs w:val="21"/>
        </w:rPr>
        <w:t>（2）总价合同进度付款申请单提交的约定：</w:t>
      </w:r>
      <w:r>
        <w:rPr>
          <w:rFonts w:ascii="宋体" w:hAnsi="宋体"/>
          <w:szCs w:val="21"/>
          <w:u w:val="single"/>
        </w:rPr>
        <w:t>按照投标单价编制。</w:t>
      </w:r>
    </w:p>
    <w:p w14:paraId="5EFCAC4F">
      <w:pPr>
        <w:spacing w:line="273" w:lineRule="auto"/>
        <w:ind w:firstLine="420" w:firstLineChars="200"/>
        <w:outlineLvl w:val="0"/>
        <w:rPr>
          <w:rFonts w:hint="eastAsia" w:ascii="宋体" w:hAnsi="宋体"/>
          <w:szCs w:val="21"/>
        </w:rPr>
      </w:pPr>
      <w:r>
        <w:rPr>
          <w:rFonts w:ascii="宋体" w:hAnsi="宋体"/>
          <w:szCs w:val="21"/>
        </w:rPr>
        <w:t>（3）其他价格形式合同进度付款申请单提交的约定：</w:t>
      </w:r>
      <w:r>
        <w:rPr>
          <w:rFonts w:ascii="宋体" w:hAnsi="宋体"/>
          <w:szCs w:val="21"/>
          <w:u w:val="single"/>
        </w:rPr>
        <w:t xml:space="preserve">    /    </w:t>
      </w:r>
      <w:r>
        <w:rPr>
          <w:rFonts w:ascii="宋体" w:hAnsi="宋体"/>
          <w:szCs w:val="21"/>
        </w:rPr>
        <w:t>。</w:t>
      </w:r>
    </w:p>
    <w:p w14:paraId="1E6B341C">
      <w:pPr>
        <w:spacing w:line="273" w:lineRule="auto"/>
        <w:ind w:firstLine="420" w:firstLineChars="200"/>
        <w:outlineLvl w:val="0"/>
        <w:rPr>
          <w:rFonts w:hint="eastAsia" w:ascii="宋体" w:hAnsi="宋体"/>
          <w:szCs w:val="21"/>
        </w:rPr>
      </w:pPr>
      <w:r>
        <w:rPr>
          <w:rFonts w:ascii="宋体" w:hAnsi="宋体"/>
          <w:szCs w:val="21"/>
        </w:rPr>
        <w:t>12.4.4 进度款审核和支付</w:t>
      </w:r>
    </w:p>
    <w:p w14:paraId="11BACEBF">
      <w:pPr>
        <w:spacing w:line="273" w:lineRule="auto"/>
        <w:ind w:firstLine="420" w:firstLineChars="200"/>
        <w:outlineLvl w:val="0"/>
        <w:rPr>
          <w:rFonts w:hint="eastAsia" w:ascii="宋体" w:hAnsi="宋体"/>
          <w:szCs w:val="21"/>
        </w:rPr>
      </w:pPr>
      <w:r>
        <w:rPr>
          <w:rFonts w:ascii="宋体" w:hAnsi="宋体"/>
          <w:szCs w:val="21"/>
        </w:rPr>
        <w:t>（1）监理人审查并报送发包人的期限：监理人应在收到承包人进度付款申请单以及相关资料后7天内完成审查并报送发包人。</w:t>
      </w:r>
    </w:p>
    <w:p w14:paraId="469A2E2F">
      <w:pPr>
        <w:spacing w:line="273" w:lineRule="auto"/>
        <w:ind w:firstLine="420" w:firstLineChars="200"/>
        <w:outlineLvl w:val="0"/>
        <w:rPr>
          <w:rFonts w:hint="eastAsia" w:ascii="宋体" w:hAnsi="宋体"/>
          <w:szCs w:val="21"/>
        </w:rPr>
      </w:pPr>
      <w:r>
        <w:rPr>
          <w:rFonts w:ascii="宋体" w:hAnsi="宋体"/>
          <w:szCs w:val="21"/>
        </w:rPr>
        <w:t>发包人完成审批并签发进度款支付证书的期限</w:t>
      </w:r>
      <w:r>
        <w:rPr>
          <w:rFonts w:ascii="宋体" w:hAnsi="宋体"/>
          <w:szCs w:val="21"/>
          <w:u w:val="single"/>
        </w:rPr>
        <w:t>：发包人完成审批后签发进度款支付证书。</w:t>
      </w:r>
    </w:p>
    <w:p w14:paraId="23EA8EC7">
      <w:pPr>
        <w:spacing w:line="273" w:lineRule="auto"/>
        <w:ind w:firstLine="420" w:firstLineChars="200"/>
        <w:outlineLvl w:val="0"/>
        <w:rPr>
          <w:rFonts w:hint="eastAsia" w:ascii="宋体" w:hAnsi="宋体"/>
          <w:szCs w:val="21"/>
        </w:rPr>
      </w:pPr>
      <w:r>
        <w:rPr>
          <w:rFonts w:ascii="宋体" w:hAnsi="宋体"/>
          <w:szCs w:val="21"/>
        </w:rPr>
        <w:t>（2）发包人支付进度款的期限：</w:t>
      </w:r>
      <w:r>
        <w:rPr>
          <w:rFonts w:ascii="宋体" w:hAnsi="宋体"/>
          <w:szCs w:val="21"/>
          <w:u w:val="single"/>
        </w:rPr>
        <w:t xml:space="preserve">  发包人应及时完成支付  </w:t>
      </w:r>
      <w:r>
        <w:rPr>
          <w:rFonts w:ascii="宋体" w:hAnsi="宋体"/>
          <w:szCs w:val="21"/>
        </w:rPr>
        <w:t>。</w:t>
      </w:r>
    </w:p>
    <w:p w14:paraId="787429A1">
      <w:pPr>
        <w:spacing w:line="273" w:lineRule="auto"/>
        <w:ind w:firstLine="420" w:firstLineChars="200"/>
        <w:outlineLvl w:val="0"/>
        <w:rPr>
          <w:rFonts w:hint="eastAsia" w:ascii="宋体" w:hAnsi="宋体"/>
          <w:szCs w:val="21"/>
        </w:rPr>
      </w:pPr>
      <w:r>
        <w:rPr>
          <w:rFonts w:ascii="宋体" w:hAnsi="宋体"/>
          <w:szCs w:val="21"/>
        </w:rPr>
        <w:t>发包人逾期支付进度款的违约金的计算方式：</w:t>
      </w:r>
      <w:r>
        <w:rPr>
          <w:rFonts w:ascii="宋体" w:hAnsi="宋体"/>
          <w:szCs w:val="21"/>
          <w:u w:val="single"/>
        </w:rPr>
        <w:t xml:space="preserve">       /    </w:t>
      </w:r>
      <w:r>
        <w:rPr>
          <w:rFonts w:ascii="宋体" w:hAnsi="宋体"/>
          <w:szCs w:val="21"/>
        </w:rPr>
        <w:t xml:space="preserve"> 。</w:t>
      </w:r>
    </w:p>
    <w:p w14:paraId="1B6DEE51">
      <w:pPr>
        <w:spacing w:line="273" w:lineRule="auto"/>
        <w:ind w:firstLine="420" w:firstLineChars="200"/>
        <w:outlineLvl w:val="0"/>
        <w:rPr>
          <w:rFonts w:hint="eastAsia" w:ascii="宋体" w:hAnsi="宋体"/>
          <w:szCs w:val="21"/>
        </w:rPr>
      </w:pPr>
      <w:r>
        <w:rPr>
          <w:rFonts w:ascii="宋体" w:hAnsi="宋体"/>
          <w:szCs w:val="21"/>
        </w:rPr>
        <w:t>12.4.5支付分解表的编制</w:t>
      </w:r>
    </w:p>
    <w:p w14:paraId="635C5165">
      <w:pPr>
        <w:spacing w:line="273" w:lineRule="auto"/>
        <w:ind w:firstLine="420" w:firstLineChars="200"/>
        <w:rPr>
          <w:rFonts w:ascii="Calibri" w:hAnsi="Calibri"/>
          <w:szCs w:val="21"/>
        </w:rPr>
      </w:pPr>
      <w:r>
        <w:rPr>
          <w:rFonts w:ascii="宋体" w:hAnsi="宋体"/>
          <w:szCs w:val="21"/>
        </w:rPr>
        <w:t>总价合同支付分解表的编制与审批</w:t>
      </w:r>
      <w:r>
        <w:rPr>
          <w:rFonts w:ascii="宋体" w:hAnsi="宋体"/>
          <w:b/>
          <w:bCs/>
          <w:szCs w:val="21"/>
        </w:rPr>
        <w:t>：</w:t>
      </w:r>
      <w:r>
        <w:rPr>
          <w:rFonts w:ascii="宋体" w:hAnsi="宋体"/>
          <w:b/>
          <w:bCs/>
          <w:szCs w:val="21"/>
          <w:u w:val="single"/>
        </w:rPr>
        <w:t xml:space="preserve"> </w:t>
      </w:r>
      <w:r>
        <w:rPr>
          <w:rFonts w:ascii="宋体" w:hAnsi="宋体"/>
          <w:szCs w:val="21"/>
          <w:u w:val="single"/>
        </w:rPr>
        <w:t xml:space="preserve"> 除合同另有约定外，承包人应根据通用条款第7.2款〔施工进度计划〕约定的施工进度计划、签约合同价和工程量等因素对总价合同按月进行分解，编制支付分解表。承包人应当在收到监理人和发包人批准的施工进度计划后7天内，将支付分解表及编制支付分解表的支持性资料报送监理人。监理人应在收到支付分解表后7天内完成审核并报送发包人。发包人应在收到经监理人审核的支付分解表及时完成审批，经发包人批准的支付分解表为有约束力的支付分解表。</w:t>
      </w:r>
    </w:p>
    <w:p w14:paraId="67AB83D4">
      <w:pPr>
        <w:spacing w:line="273" w:lineRule="auto"/>
        <w:ind w:firstLine="422" w:firstLineChars="200"/>
        <w:outlineLvl w:val="0"/>
        <w:rPr>
          <w:rFonts w:hint="eastAsia" w:ascii="黑体" w:hAnsi="宋体" w:eastAsia="黑体"/>
          <w:b/>
          <w:bCs/>
          <w:szCs w:val="21"/>
        </w:rPr>
      </w:pPr>
      <w:r>
        <w:rPr>
          <w:rFonts w:ascii="黑体" w:hAnsi="宋体" w:eastAsia="黑体"/>
          <w:b/>
          <w:bCs/>
          <w:szCs w:val="21"/>
        </w:rPr>
        <w:t xml:space="preserve">13. </w:t>
      </w:r>
      <w:r>
        <w:rPr>
          <w:rFonts w:ascii="黑体" w:hAnsi="黑体" w:eastAsia="黑体"/>
          <w:b/>
          <w:bCs/>
          <w:szCs w:val="21"/>
        </w:rPr>
        <w:t>验收和工程试车</w:t>
      </w:r>
    </w:p>
    <w:p w14:paraId="39ED4AAF">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13.1 分部分项工程验收</w:t>
      </w:r>
    </w:p>
    <w:p w14:paraId="5F570047">
      <w:pPr>
        <w:spacing w:line="273" w:lineRule="auto"/>
        <w:ind w:firstLine="420" w:firstLineChars="200"/>
        <w:rPr>
          <w:rFonts w:hint="eastAsia" w:ascii="宋体" w:hAnsi="宋体"/>
          <w:szCs w:val="21"/>
        </w:rPr>
      </w:pPr>
      <w:r>
        <w:rPr>
          <w:rFonts w:ascii="宋体" w:hAnsi="宋体"/>
          <w:szCs w:val="21"/>
        </w:rPr>
        <w:t>13.1.2监理人不能按时进行验收时，应提前</w:t>
      </w:r>
      <w:r>
        <w:rPr>
          <w:rFonts w:ascii="宋体" w:hAnsi="宋体"/>
          <w:b/>
          <w:bCs/>
          <w:szCs w:val="21"/>
          <w:u w:val="single"/>
        </w:rPr>
        <w:t xml:space="preserve">  6  </w:t>
      </w:r>
      <w:r>
        <w:rPr>
          <w:rFonts w:ascii="宋体" w:hAnsi="宋体"/>
          <w:szCs w:val="21"/>
        </w:rPr>
        <w:t>小时提交书面延期要求。</w:t>
      </w:r>
    </w:p>
    <w:p w14:paraId="27B2826E">
      <w:pPr>
        <w:spacing w:line="273" w:lineRule="auto"/>
        <w:ind w:firstLine="420" w:firstLineChars="200"/>
        <w:jc w:val="left"/>
        <w:rPr>
          <w:rFonts w:hint="eastAsia" w:ascii="宋体" w:hAnsi="宋体"/>
          <w:b/>
          <w:szCs w:val="21"/>
        </w:rPr>
      </w:pPr>
      <w:r>
        <w:rPr>
          <w:rFonts w:ascii="宋体" w:hAnsi="宋体"/>
          <w:szCs w:val="21"/>
        </w:rPr>
        <w:t>关于延期最长不得超过：</w:t>
      </w:r>
      <w:r>
        <w:rPr>
          <w:rFonts w:ascii="宋体" w:hAnsi="宋体"/>
          <w:szCs w:val="21"/>
          <w:u w:val="single"/>
        </w:rPr>
        <w:t xml:space="preserve">  24   </w:t>
      </w:r>
      <w:r>
        <w:rPr>
          <w:rFonts w:ascii="宋体" w:hAnsi="宋体"/>
          <w:szCs w:val="21"/>
        </w:rPr>
        <w:t>小时。</w:t>
      </w:r>
    </w:p>
    <w:p w14:paraId="06427940">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13.2 竣工验收</w:t>
      </w:r>
    </w:p>
    <w:p w14:paraId="3F324412">
      <w:pPr>
        <w:spacing w:line="273" w:lineRule="auto"/>
        <w:ind w:firstLine="420" w:firstLineChars="200"/>
        <w:outlineLvl w:val="2"/>
        <w:rPr>
          <w:rFonts w:hint="eastAsia" w:ascii="宋体" w:hAnsi="宋体"/>
          <w:szCs w:val="21"/>
        </w:rPr>
      </w:pPr>
      <w:r>
        <w:rPr>
          <w:rFonts w:ascii="宋体" w:hAnsi="宋体"/>
          <w:szCs w:val="21"/>
        </w:rPr>
        <w:t>13.2.2竣工验收程序</w:t>
      </w:r>
    </w:p>
    <w:p w14:paraId="066A4CBF">
      <w:pPr>
        <w:spacing w:line="273" w:lineRule="auto"/>
        <w:ind w:firstLine="420" w:firstLineChars="200"/>
        <w:rPr>
          <w:rFonts w:hint="eastAsia" w:ascii="宋体" w:hAnsi="宋体"/>
          <w:kern w:val="0"/>
          <w:szCs w:val="21"/>
        </w:rPr>
      </w:pPr>
      <w:r>
        <w:rPr>
          <w:rFonts w:ascii="宋体" w:hAnsi="宋体"/>
          <w:kern w:val="0"/>
          <w:szCs w:val="21"/>
        </w:rPr>
        <w:t xml:space="preserve">承包人提交的竣工资料的内容: </w:t>
      </w:r>
      <w:r>
        <w:rPr>
          <w:rFonts w:ascii="宋体" w:hAnsi="宋体"/>
          <w:kern w:val="0"/>
          <w:szCs w:val="21"/>
          <w:u w:val="single"/>
        </w:rPr>
        <w:t>符合城建档案和行政质检监督部门要求的竣工图及竣工资料，主要有工程总结、交工文件、合同管理文件(施工、廉政、安全等合同文件及协议)、文件及有关指示、工程决算表、工程交接表(竣工表)、竣工决算相关表格、竣工图表、施工质量控制相关文件等，以及施工全部资料。</w:t>
      </w:r>
    </w:p>
    <w:p w14:paraId="370EE592">
      <w:pPr>
        <w:spacing w:line="273" w:lineRule="auto"/>
        <w:ind w:firstLine="420" w:firstLineChars="200"/>
        <w:rPr>
          <w:rFonts w:hint="eastAsia" w:ascii="宋体" w:hAnsi="宋体"/>
          <w:kern w:val="0"/>
          <w:szCs w:val="21"/>
          <w:u w:val="single"/>
        </w:rPr>
      </w:pPr>
      <w:r>
        <w:rPr>
          <w:rFonts w:ascii="宋体" w:hAnsi="宋体"/>
          <w:kern w:val="0"/>
          <w:szCs w:val="21"/>
        </w:rPr>
        <w:t>承包人需要提交的竣工资料套数:</w:t>
      </w:r>
      <w:r>
        <w:rPr>
          <w:rFonts w:ascii="宋体" w:hAnsi="宋体"/>
          <w:kern w:val="0"/>
          <w:szCs w:val="21"/>
          <w:u w:val="single"/>
        </w:rPr>
        <w:t xml:space="preserve">            肆套       。</w:t>
      </w:r>
    </w:p>
    <w:p w14:paraId="5189F5FE">
      <w:pPr>
        <w:spacing w:line="273" w:lineRule="auto"/>
        <w:ind w:firstLine="420" w:firstLineChars="200"/>
        <w:rPr>
          <w:rFonts w:hint="eastAsia" w:ascii="宋体" w:hAnsi="宋体"/>
          <w:kern w:val="0"/>
          <w:szCs w:val="21"/>
        </w:rPr>
      </w:pPr>
      <w:r>
        <w:rPr>
          <w:rFonts w:ascii="宋体" w:hAnsi="宋体"/>
          <w:kern w:val="0"/>
          <w:szCs w:val="21"/>
        </w:rPr>
        <w:t>承包人提交的竣工资料的费用承担:</w:t>
      </w:r>
      <w:r>
        <w:rPr>
          <w:rFonts w:ascii="宋体" w:hAnsi="宋体"/>
          <w:kern w:val="0"/>
          <w:szCs w:val="21"/>
          <w:u w:val="single"/>
        </w:rPr>
        <w:t xml:space="preserve">        承包人承担   。</w:t>
      </w:r>
    </w:p>
    <w:p w14:paraId="34AEF6F4">
      <w:pPr>
        <w:spacing w:line="273" w:lineRule="auto"/>
        <w:ind w:firstLine="420" w:firstLineChars="200"/>
        <w:rPr>
          <w:rFonts w:hint="eastAsia" w:ascii="宋体" w:hAnsi="宋体"/>
          <w:kern w:val="0"/>
          <w:szCs w:val="21"/>
        </w:rPr>
      </w:pPr>
      <w:r>
        <w:rPr>
          <w:rFonts w:ascii="宋体" w:hAnsi="宋体"/>
          <w:kern w:val="0"/>
          <w:szCs w:val="21"/>
        </w:rPr>
        <w:t>承包人提交的竣工资料移交时间:</w:t>
      </w:r>
      <w:r>
        <w:rPr>
          <w:rFonts w:ascii="宋体" w:hAnsi="宋体"/>
          <w:kern w:val="0"/>
          <w:szCs w:val="21"/>
          <w:u w:val="single"/>
        </w:rPr>
        <w:t xml:space="preserve">        按照发包人要求  。</w:t>
      </w:r>
    </w:p>
    <w:p w14:paraId="3744B4C6">
      <w:pPr>
        <w:spacing w:line="273" w:lineRule="auto"/>
        <w:ind w:firstLine="420" w:firstLineChars="200"/>
        <w:rPr>
          <w:rFonts w:hint="eastAsia" w:ascii="宋体" w:hAnsi="宋体"/>
          <w:kern w:val="0"/>
          <w:szCs w:val="21"/>
        </w:rPr>
      </w:pPr>
      <w:r>
        <w:rPr>
          <w:rFonts w:ascii="宋体" w:hAnsi="宋体"/>
          <w:kern w:val="0"/>
          <w:szCs w:val="21"/>
        </w:rPr>
        <w:t>承包人提交的竣工资料形式要求:</w:t>
      </w:r>
      <w:r>
        <w:rPr>
          <w:rFonts w:ascii="宋体" w:hAnsi="宋体"/>
          <w:kern w:val="0"/>
          <w:szCs w:val="21"/>
          <w:u w:val="single"/>
        </w:rPr>
        <w:t xml:space="preserve">     电子文档和纸质版   。</w:t>
      </w:r>
    </w:p>
    <w:p w14:paraId="61D7EA5E">
      <w:pPr>
        <w:spacing w:line="273" w:lineRule="auto"/>
        <w:ind w:firstLine="420" w:firstLineChars="200"/>
        <w:rPr>
          <w:rFonts w:hint="eastAsia" w:ascii="宋体" w:hAnsi="宋体"/>
          <w:kern w:val="0"/>
          <w:szCs w:val="21"/>
        </w:rPr>
      </w:pPr>
      <w:r>
        <w:rPr>
          <w:rFonts w:ascii="宋体" w:hAnsi="宋体"/>
          <w:kern w:val="0"/>
          <w:szCs w:val="21"/>
        </w:rPr>
        <w:t>关于竣工验收程序的约定:</w:t>
      </w:r>
      <w:r>
        <w:rPr>
          <w:rFonts w:ascii="宋体" w:hAnsi="宋体"/>
          <w:kern w:val="0"/>
          <w:szCs w:val="21"/>
          <w:u w:val="single"/>
        </w:rPr>
        <w:t>承包人负责整理和提交的竣工验收资料应符合中国人民银行、工程所在地建设主管部门和城市建设档案管理机构有关施工资料的要求。</w:t>
      </w:r>
    </w:p>
    <w:p w14:paraId="3346FB34">
      <w:pPr>
        <w:spacing w:line="273" w:lineRule="auto"/>
        <w:ind w:firstLine="420" w:firstLineChars="200"/>
        <w:rPr>
          <w:rFonts w:hint="eastAsia" w:ascii="宋体" w:hAnsi="宋体"/>
          <w:kern w:val="0"/>
          <w:szCs w:val="21"/>
        </w:rPr>
      </w:pPr>
      <w:r>
        <w:rPr>
          <w:rFonts w:ascii="宋体" w:hAnsi="宋体"/>
          <w:kern w:val="0"/>
          <w:szCs w:val="21"/>
        </w:rPr>
        <w:t>发包人不按照本项约定组织竣工验收、颁发工程接收证书的违约金的计算方法:</w:t>
      </w:r>
      <w:r>
        <w:rPr>
          <w:rFonts w:ascii="宋体" w:hAnsi="宋体"/>
          <w:kern w:val="0"/>
          <w:szCs w:val="21"/>
          <w:u w:val="single"/>
        </w:rPr>
        <w:t>按照通用合同条款执行。</w:t>
      </w:r>
    </w:p>
    <w:p w14:paraId="451FD8AD">
      <w:pPr>
        <w:spacing w:line="273" w:lineRule="auto"/>
        <w:ind w:firstLine="420" w:firstLineChars="200"/>
        <w:rPr>
          <w:rFonts w:hint="eastAsia" w:ascii="宋体" w:hAnsi="宋体"/>
          <w:szCs w:val="21"/>
        </w:rPr>
      </w:pPr>
      <w:r>
        <w:rPr>
          <w:rFonts w:ascii="宋体" w:hAnsi="宋体"/>
          <w:kern w:val="0"/>
          <w:szCs w:val="21"/>
        </w:rPr>
        <w:t>关于竣工验收程序的约定：</w:t>
      </w:r>
      <w:r>
        <w:rPr>
          <w:rFonts w:ascii="宋体" w:hAnsi="宋体"/>
          <w:szCs w:val="21"/>
          <w:u w:val="single"/>
        </w:rPr>
        <w:t xml:space="preserve"> </w:t>
      </w:r>
      <w:r>
        <w:rPr>
          <w:rFonts w:ascii="宋体" w:hAnsi="宋体"/>
          <w:kern w:val="0"/>
          <w:szCs w:val="21"/>
          <w:u w:val="single"/>
        </w:rPr>
        <w:t>按通用合同条款第13.2.2条执行</w:t>
      </w:r>
      <w:r>
        <w:rPr>
          <w:rFonts w:ascii="宋体" w:hAnsi="宋体"/>
          <w:szCs w:val="21"/>
          <w:u w:val="single"/>
        </w:rPr>
        <w:t>。</w:t>
      </w:r>
    </w:p>
    <w:p w14:paraId="71C83611">
      <w:pPr>
        <w:spacing w:line="273" w:lineRule="auto"/>
        <w:ind w:firstLine="420" w:firstLineChars="200"/>
        <w:jc w:val="left"/>
        <w:outlineLvl w:val="2"/>
        <w:rPr>
          <w:rFonts w:hint="eastAsia" w:ascii="宋体" w:hAnsi="宋体"/>
          <w:szCs w:val="21"/>
        </w:rPr>
      </w:pPr>
      <w:r>
        <w:rPr>
          <w:rFonts w:ascii="宋体" w:hAnsi="宋体"/>
          <w:szCs w:val="21"/>
        </w:rPr>
        <w:t>13.2.5移交、接收全部与部分工程</w:t>
      </w:r>
    </w:p>
    <w:p w14:paraId="28CF267C">
      <w:pPr>
        <w:spacing w:line="273" w:lineRule="auto"/>
        <w:ind w:firstLine="420" w:firstLineChars="200"/>
        <w:jc w:val="left"/>
        <w:rPr>
          <w:rFonts w:hint="eastAsia" w:ascii="宋体" w:hAnsi="宋体"/>
          <w:kern w:val="0"/>
          <w:szCs w:val="21"/>
        </w:rPr>
      </w:pPr>
      <w:r>
        <w:rPr>
          <w:rFonts w:ascii="宋体" w:hAnsi="宋体"/>
          <w:kern w:val="0"/>
          <w:szCs w:val="21"/>
        </w:rPr>
        <w:t>承包人向发包人移交工程的期限：</w:t>
      </w:r>
      <w:r>
        <w:rPr>
          <w:rFonts w:ascii="宋体" w:hAnsi="宋体"/>
          <w:szCs w:val="21"/>
          <w:u w:val="single"/>
        </w:rPr>
        <w:t xml:space="preserve">  颁发工程接收证书后7个工作日内完成工作移交。</w:t>
      </w:r>
    </w:p>
    <w:p w14:paraId="2E0423B6">
      <w:pPr>
        <w:spacing w:line="273" w:lineRule="auto"/>
        <w:ind w:firstLine="420" w:firstLineChars="200"/>
        <w:rPr>
          <w:rFonts w:hint="eastAsia" w:ascii="宋体" w:hAnsi="宋体"/>
          <w:szCs w:val="21"/>
          <w:u w:val="single"/>
        </w:rPr>
      </w:pPr>
      <w:r>
        <w:rPr>
          <w:rFonts w:ascii="宋体" w:hAnsi="宋体"/>
          <w:kern w:val="0"/>
          <w:szCs w:val="21"/>
        </w:rPr>
        <w:t>发包人未按本合同约定接收全部或部分工程的，违约金的计算方法为：</w:t>
      </w:r>
      <w:r>
        <w:rPr>
          <w:rFonts w:ascii="宋体" w:hAnsi="宋体"/>
          <w:szCs w:val="21"/>
          <w:u w:val="single"/>
        </w:rPr>
        <w:t xml:space="preserve">   无。</w:t>
      </w:r>
    </w:p>
    <w:p w14:paraId="6FDACD96">
      <w:pPr>
        <w:spacing w:line="273" w:lineRule="auto"/>
        <w:ind w:firstLine="420" w:firstLineChars="200"/>
        <w:rPr>
          <w:rFonts w:hint="eastAsia" w:ascii="宋体" w:hAnsi="宋体"/>
          <w:szCs w:val="21"/>
          <w:u w:val="single"/>
        </w:rPr>
      </w:pPr>
      <w:r>
        <w:rPr>
          <w:rFonts w:ascii="宋体" w:hAnsi="宋体"/>
          <w:szCs w:val="21"/>
        </w:rPr>
        <w:t>承包人未按时移交工程的，违约金的计算方法为：</w:t>
      </w:r>
      <w:r>
        <w:rPr>
          <w:rFonts w:ascii="宋体" w:hAnsi="宋体"/>
          <w:szCs w:val="21"/>
          <w:u w:val="single"/>
        </w:rPr>
        <w:t xml:space="preserve">  每逾期一天，向发包人支付签约合同价万分之三的违约金。</w:t>
      </w:r>
    </w:p>
    <w:p w14:paraId="380DF6D8">
      <w:pPr>
        <w:spacing w:line="273" w:lineRule="auto"/>
        <w:ind w:firstLine="420" w:firstLineChars="200"/>
        <w:outlineLvl w:val="2"/>
        <w:rPr>
          <w:rFonts w:hint="eastAsia" w:ascii="宋体" w:hAnsi="宋体"/>
          <w:kern w:val="0"/>
          <w:szCs w:val="21"/>
        </w:rPr>
      </w:pPr>
      <w:r>
        <w:rPr>
          <w:rFonts w:ascii="宋体" w:hAnsi="宋体"/>
          <w:kern w:val="0"/>
          <w:szCs w:val="21"/>
        </w:rPr>
        <w:t>13.3.1 试车程序</w:t>
      </w:r>
    </w:p>
    <w:p w14:paraId="0AC37FFC">
      <w:pPr>
        <w:spacing w:line="273" w:lineRule="auto"/>
        <w:ind w:firstLine="420" w:firstLineChars="200"/>
        <w:rPr>
          <w:rFonts w:hint="eastAsia" w:ascii="宋体" w:hAnsi="宋体"/>
          <w:kern w:val="0"/>
          <w:szCs w:val="21"/>
        </w:rPr>
      </w:pPr>
      <w:r>
        <w:rPr>
          <w:rFonts w:ascii="宋体" w:hAnsi="宋体"/>
          <w:kern w:val="0"/>
          <w:szCs w:val="21"/>
        </w:rPr>
        <w:t>工程试车内容：</w:t>
      </w:r>
      <w:r>
        <w:rPr>
          <w:rFonts w:eastAsia="仿宋_GB2312"/>
          <w:color w:val="000000"/>
          <w:szCs w:val="21"/>
          <w:u w:val="single"/>
        </w:rPr>
        <w:t xml:space="preserve">  </w:t>
      </w:r>
      <w:r>
        <w:rPr>
          <w:rFonts w:ascii="宋体" w:hAnsi="宋体"/>
          <w:color w:val="000000"/>
          <w:szCs w:val="21"/>
          <w:u w:val="single"/>
        </w:rPr>
        <w:t>所有由承包人安装的设备设施、强弱电、给排水、暖通等系统均由承包人负责试车，费用由承包人承担。</w:t>
      </w:r>
    </w:p>
    <w:p w14:paraId="09118CEA">
      <w:pPr>
        <w:spacing w:line="273" w:lineRule="auto"/>
        <w:ind w:firstLine="420" w:firstLineChars="200"/>
        <w:rPr>
          <w:rFonts w:hint="eastAsia" w:ascii="宋体" w:hAnsi="宋体"/>
          <w:kern w:val="0"/>
          <w:szCs w:val="21"/>
        </w:rPr>
      </w:pPr>
      <w:r>
        <w:rPr>
          <w:rFonts w:ascii="宋体" w:hAnsi="宋体"/>
          <w:kern w:val="0"/>
          <w:szCs w:val="21"/>
        </w:rPr>
        <w:t xml:space="preserve">（1）单机无负荷试车费用由  </w:t>
      </w:r>
      <w:r>
        <w:rPr>
          <w:rFonts w:ascii="宋体" w:hAnsi="宋体"/>
          <w:kern w:val="0"/>
          <w:szCs w:val="21"/>
          <w:u w:val="single"/>
        </w:rPr>
        <w:t xml:space="preserve">     承包人           </w:t>
      </w:r>
      <w:r>
        <w:rPr>
          <w:rFonts w:ascii="宋体" w:hAnsi="宋体"/>
          <w:kern w:val="0"/>
          <w:szCs w:val="21"/>
        </w:rPr>
        <w:t>承担；</w:t>
      </w:r>
    </w:p>
    <w:p w14:paraId="0157A07D">
      <w:pPr>
        <w:spacing w:line="273" w:lineRule="auto"/>
        <w:ind w:firstLine="420" w:firstLineChars="200"/>
        <w:rPr>
          <w:rFonts w:hint="eastAsia" w:ascii="宋体" w:hAnsi="宋体"/>
          <w:kern w:val="0"/>
          <w:szCs w:val="21"/>
        </w:rPr>
      </w:pPr>
      <w:r>
        <w:rPr>
          <w:rFonts w:ascii="宋体" w:hAnsi="宋体"/>
          <w:kern w:val="0"/>
          <w:szCs w:val="21"/>
        </w:rPr>
        <w:t xml:space="preserve">（2）无负荷联动试车费用由   </w:t>
      </w:r>
      <w:r>
        <w:rPr>
          <w:rFonts w:ascii="宋体" w:hAnsi="宋体"/>
          <w:kern w:val="0"/>
          <w:szCs w:val="21"/>
          <w:u w:val="single"/>
        </w:rPr>
        <w:t xml:space="preserve">    发包人          </w:t>
      </w:r>
      <w:r>
        <w:rPr>
          <w:rFonts w:ascii="宋体" w:hAnsi="宋体"/>
          <w:kern w:val="0"/>
          <w:szCs w:val="21"/>
        </w:rPr>
        <w:t xml:space="preserve"> 承担。</w:t>
      </w:r>
    </w:p>
    <w:p w14:paraId="19B486B9">
      <w:pPr>
        <w:spacing w:line="273" w:lineRule="auto"/>
        <w:ind w:firstLine="420" w:firstLineChars="200"/>
        <w:outlineLvl w:val="2"/>
        <w:rPr>
          <w:rFonts w:hint="eastAsia" w:ascii="宋体" w:hAnsi="宋体"/>
          <w:kern w:val="0"/>
          <w:szCs w:val="21"/>
        </w:rPr>
      </w:pPr>
      <w:r>
        <w:rPr>
          <w:rFonts w:ascii="宋体" w:hAnsi="宋体"/>
          <w:kern w:val="0"/>
          <w:szCs w:val="21"/>
        </w:rPr>
        <w:t>13.3.2 投料试车</w:t>
      </w:r>
    </w:p>
    <w:p w14:paraId="3DA11A3C">
      <w:pPr>
        <w:spacing w:line="360" w:lineRule="auto"/>
        <w:ind w:firstLine="420" w:firstLineChars="200"/>
        <w:jc w:val="left"/>
        <w:rPr>
          <w:rFonts w:ascii="Calibri" w:hAnsi="Calibri"/>
          <w:szCs w:val="21"/>
        </w:rPr>
      </w:pPr>
      <w:r>
        <w:rPr>
          <w:rFonts w:ascii="宋体" w:hAnsi="宋体"/>
          <w:kern w:val="0"/>
          <w:szCs w:val="21"/>
        </w:rPr>
        <w:t>关于投料试车相关事项的约定：</w:t>
      </w:r>
      <w:r>
        <w:rPr>
          <w:rFonts w:eastAsia="仿宋_GB2312"/>
          <w:color w:val="000000"/>
          <w:szCs w:val="21"/>
          <w:u w:val="single"/>
        </w:rPr>
        <w:t xml:space="preserve">         </w:t>
      </w:r>
      <w:r>
        <w:rPr>
          <w:rFonts w:ascii="宋体" w:hAnsi="宋体"/>
          <w:szCs w:val="21"/>
          <w:u w:val="single"/>
        </w:rPr>
        <w:t>/</w:t>
      </w:r>
      <w:r>
        <w:rPr>
          <w:rFonts w:eastAsia="仿宋_GB2312"/>
          <w:color w:val="000000"/>
          <w:szCs w:val="21"/>
          <w:u w:val="single"/>
        </w:rPr>
        <w:t xml:space="preserve">                       </w:t>
      </w:r>
      <w:r>
        <w:rPr>
          <w:rFonts w:eastAsia="仿宋_GB2312"/>
          <w:color w:val="000000"/>
          <w:sz w:val="30"/>
          <w:szCs w:val="30"/>
          <w:u w:val="single"/>
        </w:rPr>
        <w:t xml:space="preserve"> </w:t>
      </w:r>
    </w:p>
    <w:p w14:paraId="68784985">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13.6 竣工退场</w:t>
      </w:r>
    </w:p>
    <w:p w14:paraId="69A9740A">
      <w:pPr>
        <w:spacing w:line="273" w:lineRule="auto"/>
        <w:ind w:firstLine="420" w:firstLineChars="200"/>
        <w:jc w:val="left"/>
        <w:outlineLvl w:val="2"/>
        <w:rPr>
          <w:rFonts w:hint="eastAsia" w:ascii="宋体" w:hAnsi="宋体"/>
          <w:kern w:val="0"/>
          <w:szCs w:val="21"/>
        </w:rPr>
      </w:pPr>
      <w:r>
        <w:rPr>
          <w:rFonts w:ascii="宋体" w:hAnsi="宋体"/>
          <w:kern w:val="0"/>
          <w:szCs w:val="21"/>
        </w:rPr>
        <w:t>13.6.1 竣工退场</w:t>
      </w:r>
    </w:p>
    <w:p w14:paraId="24D5A616">
      <w:pPr>
        <w:spacing w:line="273" w:lineRule="auto"/>
        <w:ind w:firstLine="420" w:firstLineChars="200"/>
        <w:jc w:val="left"/>
        <w:rPr>
          <w:rFonts w:hint="eastAsia" w:ascii="宋体" w:hAnsi="宋体"/>
          <w:szCs w:val="21"/>
          <w:u w:val="single"/>
        </w:rPr>
      </w:pPr>
      <w:r>
        <w:rPr>
          <w:rFonts w:ascii="宋体" w:hAnsi="宋体"/>
          <w:kern w:val="0"/>
          <w:szCs w:val="21"/>
        </w:rPr>
        <w:t>承包人完成竣工退场的期限：</w:t>
      </w:r>
      <w:r>
        <w:rPr>
          <w:rFonts w:ascii="宋体" w:hAnsi="宋体"/>
          <w:szCs w:val="21"/>
          <w:u w:val="single"/>
        </w:rPr>
        <w:t xml:space="preserve">   颁发工程接收证书后15日内。</w:t>
      </w:r>
    </w:p>
    <w:p w14:paraId="33515689">
      <w:pPr>
        <w:spacing w:line="273" w:lineRule="auto"/>
        <w:jc w:val="left"/>
        <w:outlineLvl w:val="0"/>
        <w:rPr>
          <w:rFonts w:hint="eastAsia" w:ascii="黑体" w:hAnsi="宋体" w:eastAsia="黑体"/>
          <w:b/>
          <w:bCs/>
          <w:szCs w:val="21"/>
        </w:rPr>
      </w:pPr>
      <w:r>
        <w:rPr>
          <w:rFonts w:ascii="黑体" w:hAnsi="宋体" w:eastAsia="黑体"/>
          <w:b/>
          <w:bCs/>
          <w:szCs w:val="21"/>
        </w:rPr>
        <w:t>14. 竣工结算</w:t>
      </w:r>
    </w:p>
    <w:p w14:paraId="5271969E">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14.1 竣工</w:t>
      </w:r>
      <w:r>
        <w:rPr>
          <w:rFonts w:ascii="黑体" w:hAnsi="黑体" w:eastAsia="黑体"/>
          <w:b/>
          <w:bCs/>
          <w:szCs w:val="21"/>
        </w:rPr>
        <w:t>结算申请</w:t>
      </w:r>
    </w:p>
    <w:p w14:paraId="6AAC04DC">
      <w:pPr>
        <w:spacing w:line="273" w:lineRule="auto"/>
        <w:ind w:firstLine="422" w:firstLineChars="200"/>
        <w:rPr>
          <w:rFonts w:hint="eastAsia" w:ascii="宋体" w:hAnsi="宋体"/>
          <w:b/>
          <w:bCs/>
          <w:szCs w:val="21"/>
          <w:u w:val="single"/>
        </w:rPr>
      </w:pPr>
      <w:r>
        <w:rPr>
          <w:rFonts w:ascii="宋体" w:hAnsi="宋体"/>
          <w:b/>
          <w:bCs/>
          <w:szCs w:val="21"/>
        </w:rPr>
        <w:t>承包人提交竣工结算申请单的期限：</w:t>
      </w:r>
      <w:r>
        <w:rPr>
          <w:rFonts w:ascii="宋体" w:hAnsi="宋体"/>
          <w:b/>
          <w:bCs/>
          <w:szCs w:val="21"/>
          <w:u w:val="single"/>
        </w:rPr>
        <w:t>工程竣工验收合格后14天内。</w:t>
      </w:r>
    </w:p>
    <w:p w14:paraId="6443677A">
      <w:pPr>
        <w:spacing w:line="273" w:lineRule="auto"/>
        <w:ind w:firstLine="420" w:firstLineChars="200"/>
        <w:rPr>
          <w:rFonts w:hint="eastAsia" w:ascii="宋体" w:hAnsi="宋体"/>
          <w:szCs w:val="21"/>
        </w:rPr>
      </w:pPr>
      <w:r>
        <w:rPr>
          <w:rFonts w:ascii="宋体" w:hAnsi="宋体"/>
          <w:szCs w:val="21"/>
        </w:rPr>
        <w:t>竣工结算申请单应包括的内容：</w:t>
      </w:r>
      <w:r>
        <w:rPr>
          <w:rFonts w:ascii="宋体" w:hAnsi="宋体"/>
          <w:szCs w:val="21"/>
          <w:u w:val="single"/>
        </w:rPr>
        <w:t>竣工图4套（竣工图纸的编制必须以发包人提供的经审查合格并盖有施工图审查合格专用章的施工图为蓝本，分类、编号、顺序应一致）、结算书2套以及与结算相关的施工过程资料1套（原件）。所有隐蔽工程必须提供影像资料。</w:t>
      </w:r>
    </w:p>
    <w:p w14:paraId="08E5A152">
      <w:pPr>
        <w:spacing w:line="273" w:lineRule="auto"/>
        <w:ind w:firstLine="422" w:firstLineChars="200"/>
        <w:outlineLvl w:val="1"/>
        <w:rPr>
          <w:rFonts w:hint="eastAsia" w:ascii="宋体" w:hAnsi="宋体"/>
          <w:b/>
          <w:bCs/>
          <w:szCs w:val="21"/>
        </w:rPr>
      </w:pPr>
      <w:r>
        <w:rPr>
          <w:rFonts w:ascii="宋体" w:hAnsi="宋体"/>
          <w:b/>
          <w:bCs/>
          <w:szCs w:val="21"/>
        </w:rPr>
        <w:t>14.2 竣工结算审核</w:t>
      </w:r>
    </w:p>
    <w:p w14:paraId="6C6A6CC6">
      <w:pPr>
        <w:spacing w:line="273" w:lineRule="auto"/>
        <w:ind w:firstLine="420" w:firstLineChars="200"/>
        <w:rPr>
          <w:rFonts w:hint="eastAsia" w:ascii="宋体" w:hAnsi="宋体"/>
          <w:szCs w:val="21"/>
          <w:u w:val="single"/>
        </w:rPr>
      </w:pPr>
      <w:r>
        <w:rPr>
          <w:rFonts w:ascii="宋体" w:hAnsi="宋体"/>
          <w:szCs w:val="21"/>
          <w:u w:val="single"/>
        </w:rPr>
        <w:t>发包人完成竣工付款的期限：完成竣工结算审计及收到付款申请后14个工作日内。审减金额超过送审金额10%，超过部分产生的审计费用由承包人承担，由发包人在工程款项中代为支付。</w:t>
      </w:r>
    </w:p>
    <w:p w14:paraId="49DBEBA7">
      <w:pPr>
        <w:spacing w:line="273" w:lineRule="auto"/>
        <w:ind w:firstLine="420" w:firstLineChars="200"/>
        <w:rPr>
          <w:rFonts w:hint="eastAsia" w:ascii="宋体" w:hAnsi="宋体"/>
          <w:szCs w:val="21"/>
          <w:u w:val="single"/>
        </w:rPr>
      </w:pPr>
      <w:r>
        <w:rPr>
          <w:rFonts w:ascii="宋体" w:hAnsi="宋体"/>
          <w:szCs w:val="21"/>
          <w:u w:val="single"/>
        </w:rPr>
        <w:t>发包人审批竣工付款申请单的期限: 发包人应在收到竣工结算申请单、决算审计及内部审批等流程结束后 28天内签发竣工付款证书。</w:t>
      </w:r>
    </w:p>
    <w:p w14:paraId="14EC4C19">
      <w:pPr>
        <w:spacing w:line="273" w:lineRule="auto"/>
        <w:ind w:firstLine="420" w:firstLineChars="200"/>
        <w:jc w:val="left"/>
        <w:rPr>
          <w:rFonts w:hint="eastAsia" w:ascii="宋体" w:hAnsi="宋体"/>
          <w:szCs w:val="21"/>
        </w:rPr>
      </w:pPr>
      <w:r>
        <w:rPr>
          <w:rFonts w:ascii="宋体" w:hAnsi="宋体"/>
          <w:szCs w:val="21"/>
        </w:rPr>
        <w:t>关于竣工付款证书异议部分复核的方式和程序：</w:t>
      </w:r>
      <w:r>
        <w:rPr>
          <w:rFonts w:ascii="宋体" w:hAnsi="宋体"/>
          <w:szCs w:val="21"/>
          <w:u w:val="single"/>
        </w:rPr>
        <w:t xml:space="preserve">       /     </w:t>
      </w:r>
      <w:r>
        <w:rPr>
          <w:rFonts w:ascii="宋体" w:hAnsi="宋体"/>
          <w:szCs w:val="21"/>
        </w:rPr>
        <w:t>。</w:t>
      </w:r>
    </w:p>
    <w:p w14:paraId="48301A2C">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14.4 最终结清</w:t>
      </w:r>
    </w:p>
    <w:p w14:paraId="7868E193">
      <w:pPr>
        <w:spacing w:line="273" w:lineRule="auto"/>
        <w:ind w:firstLine="420" w:firstLineChars="200"/>
        <w:outlineLvl w:val="2"/>
        <w:rPr>
          <w:rFonts w:hint="eastAsia" w:ascii="宋体" w:hAnsi="宋体"/>
          <w:kern w:val="0"/>
          <w:szCs w:val="21"/>
        </w:rPr>
      </w:pPr>
      <w:r>
        <w:rPr>
          <w:rFonts w:ascii="宋体" w:hAnsi="宋体"/>
          <w:kern w:val="0"/>
          <w:szCs w:val="21"/>
        </w:rPr>
        <w:t>14.4.1 最终结清申请单</w:t>
      </w:r>
    </w:p>
    <w:p w14:paraId="6AA2AB34">
      <w:pPr>
        <w:spacing w:line="273" w:lineRule="auto"/>
        <w:ind w:firstLine="420" w:firstLineChars="200"/>
        <w:jc w:val="left"/>
        <w:rPr>
          <w:rFonts w:hint="eastAsia" w:ascii="宋体" w:hAnsi="宋体"/>
          <w:kern w:val="0"/>
          <w:szCs w:val="21"/>
        </w:rPr>
      </w:pPr>
      <w:r>
        <w:rPr>
          <w:rFonts w:ascii="宋体" w:hAnsi="宋体"/>
          <w:kern w:val="0"/>
          <w:szCs w:val="21"/>
        </w:rPr>
        <w:t>承包人提交最终结清申请单的份数：</w:t>
      </w:r>
      <w:r>
        <w:rPr>
          <w:rFonts w:ascii="宋体" w:hAnsi="宋体"/>
          <w:szCs w:val="21"/>
          <w:u w:val="single"/>
        </w:rPr>
        <w:t xml:space="preserve"> </w:t>
      </w:r>
      <w:r>
        <w:rPr>
          <w:rFonts w:ascii="宋体" w:hAnsi="宋体"/>
          <w:b/>
          <w:bCs/>
          <w:szCs w:val="21"/>
          <w:u w:val="single"/>
        </w:rPr>
        <w:t xml:space="preserve">  4份。  </w:t>
      </w:r>
    </w:p>
    <w:p w14:paraId="7D8ECBD2">
      <w:pPr>
        <w:spacing w:line="273" w:lineRule="auto"/>
        <w:ind w:firstLine="420" w:firstLineChars="200"/>
        <w:jc w:val="left"/>
        <w:rPr>
          <w:rFonts w:hint="eastAsia" w:ascii="宋体" w:hAnsi="宋体"/>
          <w:szCs w:val="21"/>
        </w:rPr>
      </w:pPr>
      <w:r>
        <w:rPr>
          <w:rFonts w:ascii="宋体" w:hAnsi="宋体"/>
          <w:kern w:val="0"/>
          <w:szCs w:val="21"/>
        </w:rPr>
        <w:t>承包人提交最终结算申请单的期限：</w:t>
      </w:r>
      <w:r>
        <w:rPr>
          <w:rFonts w:ascii="宋体" w:hAnsi="宋体"/>
          <w:szCs w:val="21"/>
          <w:u w:val="single"/>
        </w:rPr>
        <w:t xml:space="preserve">  在缺陷责任期终止证书颁发后7天内。 </w:t>
      </w:r>
    </w:p>
    <w:p w14:paraId="6A2E20A3">
      <w:pPr>
        <w:spacing w:line="273" w:lineRule="auto"/>
        <w:ind w:firstLine="420" w:firstLineChars="200"/>
        <w:jc w:val="left"/>
        <w:outlineLvl w:val="2"/>
        <w:rPr>
          <w:rFonts w:hint="eastAsia" w:ascii="宋体" w:hAnsi="宋体"/>
          <w:szCs w:val="21"/>
        </w:rPr>
      </w:pPr>
      <w:r>
        <w:rPr>
          <w:rFonts w:ascii="宋体" w:hAnsi="宋体"/>
          <w:szCs w:val="21"/>
        </w:rPr>
        <w:t>14.4.2 最终结清证书和支付</w:t>
      </w:r>
    </w:p>
    <w:p w14:paraId="06A6F60B">
      <w:pPr>
        <w:spacing w:line="273" w:lineRule="auto"/>
        <w:ind w:firstLine="420" w:firstLineChars="200"/>
        <w:rPr>
          <w:rFonts w:hint="eastAsia" w:ascii="宋体" w:hAnsi="宋体"/>
          <w:szCs w:val="21"/>
        </w:rPr>
      </w:pPr>
      <w:r>
        <w:rPr>
          <w:rFonts w:ascii="宋体" w:hAnsi="宋体"/>
          <w:szCs w:val="21"/>
        </w:rPr>
        <w:t>（1）发包人完成最终结清申请单的审批并颁发最终结清证书的期限：</w:t>
      </w:r>
      <w:r>
        <w:rPr>
          <w:rFonts w:ascii="宋体" w:hAnsi="宋体"/>
          <w:szCs w:val="21"/>
          <w:u w:val="single"/>
        </w:rPr>
        <w:t xml:space="preserve">   承包人提交最终结算申请单后14天内。</w:t>
      </w:r>
    </w:p>
    <w:p w14:paraId="4E39BBE4">
      <w:pPr>
        <w:spacing w:line="273" w:lineRule="auto"/>
        <w:ind w:firstLine="420" w:firstLineChars="200"/>
        <w:jc w:val="left"/>
        <w:rPr>
          <w:rFonts w:hint="eastAsia" w:ascii="宋体" w:hAnsi="宋体"/>
          <w:szCs w:val="21"/>
        </w:rPr>
      </w:pPr>
      <w:r>
        <w:rPr>
          <w:rFonts w:ascii="宋体" w:hAnsi="宋体"/>
          <w:szCs w:val="21"/>
        </w:rPr>
        <w:t>（2）发包人完成支付的期限：</w:t>
      </w:r>
      <w:r>
        <w:rPr>
          <w:rFonts w:ascii="宋体" w:hAnsi="宋体"/>
          <w:szCs w:val="21"/>
          <w:u w:val="single"/>
        </w:rPr>
        <w:t>发包人完成最终结清申请单的审批并颁发最终结清证书后7天内。</w:t>
      </w:r>
    </w:p>
    <w:p w14:paraId="17EA0700">
      <w:pPr>
        <w:spacing w:line="273" w:lineRule="auto"/>
        <w:outlineLvl w:val="0"/>
        <w:rPr>
          <w:rFonts w:hint="eastAsia" w:ascii="黑体" w:hAnsi="宋体" w:eastAsia="黑体"/>
          <w:b/>
          <w:bCs/>
          <w:szCs w:val="21"/>
        </w:rPr>
      </w:pPr>
      <w:r>
        <w:rPr>
          <w:rFonts w:ascii="黑体" w:hAnsi="宋体" w:eastAsia="黑体"/>
          <w:b/>
          <w:bCs/>
          <w:szCs w:val="21"/>
        </w:rPr>
        <w:t>15. 缺陷责任期与保修</w:t>
      </w:r>
    </w:p>
    <w:p w14:paraId="081B576E">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15.</w:t>
      </w:r>
      <w:r>
        <w:rPr>
          <w:rFonts w:ascii="黑体" w:hAnsi="黑体" w:eastAsia="黑体"/>
          <w:b/>
          <w:bCs/>
          <w:szCs w:val="21"/>
        </w:rPr>
        <w:t>2缺陷责任期</w:t>
      </w:r>
    </w:p>
    <w:p w14:paraId="1BF5D4EE">
      <w:pPr>
        <w:spacing w:line="273" w:lineRule="auto"/>
        <w:ind w:firstLine="420" w:firstLineChars="200"/>
        <w:rPr>
          <w:rFonts w:hint="eastAsia" w:ascii="宋体" w:hAnsi="宋体"/>
          <w:szCs w:val="21"/>
        </w:rPr>
      </w:pPr>
      <w:r>
        <w:rPr>
          <w:rFonts w:ascii="宋体" w:hAnsi="宋体"/>
          <w:szCs w:val="21"/>
        </w:rPr>
        <w:t>缺陷责任期的具体期限：</w:t>
      </w:r>
      <w:r>
        <w:rPr>
          <w:rFonts w:ascii="宋体" w:hAnsi="宋体"/>
          <w:b/>
          <w:bCs/>
          <w:szCs w:val="21"/>
          <w:u w:val="single"/>
        </w:rPr>
        <w:t xml:space="preserve">  从工程通过竣工验收之日起24个月</w:t>
      </w:r>
      <w:r>
        <w:rPr>
          <w:rFonts w:ascii="宋体" w:hAnsi="宋体"/>
          <w:szCs w:val="21"/>
          <w:u w:val="single"/>
        </w:rPr>
        <w:t>。</w:t>
      </w:r>
    </w:p>
    <w:p w14:paraId="40F66A41">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 xml:space="preserve">15.3 质量保证金 </w:t>
      </w:r>
    </w:p>
    <w:p w14:paraId="48571781">
      <w:pPr>
        <w:spacing w:line="273" w:lineRule="auto"/>
        <w:ind w:firstLine="420" w:firstLineChars="200"/>
        <w:rPr>
          <w:rFonts w:hint="eastAsia" w:ascii="宋体" w:hAnsi="宋体"/>
          <w:szCs w:val="21"/>
        </w:rPr>
      </w:pPr>
      <w:r>
        <w:rPr>
          <w:rFonts w:ascii="宋体" w:hAnsi="宋体"/>
          <w:szCs w:val="21"/>
        </w:rPr>
        <w:t>关于是否扣留质量保证金的约定：</w:t>
      </w:r>
      <w:r>
        <w:rPr>
          <w:rFonts w:ascii="宋体" w:hAnsi="宋体"/>
          <w:szCs w:val="21"/>
          <w:u w:val="single"/>
        </w:rPr>
        <w:t>是。</w:t>
      </w:r>
    </w:p>
    <w:p w14:paraId="502D8C2D">
      <w:pPr>
        <w:spacing w:line="273" w:lineRule="auto"/>
        <w:ind w:firstLine="420" w:firstLineChars="200"/>
        <w:outlineLvl w:val="2"/>
        <w:rPr>
          <w:rFonts w:hint="eastAsia" w:ascii="宋体" w:hAnsi="宋体"/>
          <w:szCs w:val="21"/>
        </w:rPr>
      </w:pPr>
      <w:r>
        <w:rPr>
          <w:rFonts w:ascii="宋体" w:hAnsi="宋体"/>
          <w:szCs w:val="21"/>
        </w:rPr>
        <w:t>15.3.1 承包人提供质量保证金的方式</w:t>
      </w:r>
    </w:p>
    <w:p w14:paraId="7E676BCB">
      <w:pPr>
        <w:spacing w:line="273" w:lineRule="auto"/>
        <w:ind w:firstLine="420" w:firstLineChars="200"/>
        <w:rPr>
          <w:rFonts w:hint="eastAsia" w:ascii="宋体" w:hAnsi="宋体"/>
          <w:szCs w:val="21"/>
        </w:rPr>
      </w:pPr>
      <w:r>
        <w:rPr>
          <w:rFonts w:ascii="宋体" w:hAnsi="宋体"/>
          <w:szCs w:val="21"/>
        </w:rPr>
        <w:t>质量保证金采用以下第</w:t>
      </w:r>
      <w:r>
        <w:rPr>
          <w:rFonts w:ascii="宋体" w:hAnsi="宋体"/>
          <w:szCs w:val="21"/>
          <w:u w:val="single"/>
        </w:rPr>
        <w:t xml:space="preserve">  （2）  </w:t>
      </w:r>
      <w:r>
        <w:rPr>
          <w:rFonts w:ascii="宋体" w:hAnsi="宋体"/>
          <w:szCs w:val="21"/>
        </w:rPr>
        <w:t>种方式：</w:t>
      </w:r>
    </w:p>
    <w:p w14:paraId="609F3598">
      <w:pPr>
        <w:autoSpaceDE w:val="0"/>
        <w:autoSpaceDN w:val="0"/>
        <w:adjustRightInd w:val="0"/>
        <w:spacing w:line="273" w:lineRule="auto"/>
        <w:ind w:firstLine="420" w:firstLineChars="200"/>
        <w:jc w:val="left"/>
        <w:rPr>
          <w:rFonts w:hint="eastAsia" w:ascii="宋体" w:hAnsi="宋体"/>
          <w:kern w:val="0"/>
          <w:szCs w:val="21"/>
        </w:rPr>
      </w:pPr>
      <w:r>
        <w:rPr>
          <w:rFonts w:ascii="宋体" w:hAnsi="宋体"/>
          <w:kern w:val="0"/>
          <w:szCs w:val="21"/>
        </w:rPr>
        <w:t>（1）质量保证金保函，保证金额为：</w:t>
      </w:r>
      <w:r>
        <w:rPr>
          <w:rFonts w:ascii="宋体" w:hAnsi="宋体"/>
          <w:kern w:val="0"/>
          <w:szCs w:val="21"/>
          <w:u w:val="single"/>
        </w:rPr>
        <w:t xml:space="preserve">      ／             </w:t>
      </w:r>
      <w:r>
        <w:rPr>
          <w:rFonts w:ascii="宋体" w:hAnsi="宋体"/>
          <w:kern w:val="0"/>
          <w:szCs w:val="21"/>
        </w:rPr>
        <w:t xml:space="preserve">； </w:t>
      </w:r>
    </w:p>
    <w:p w14:paraId="56D7E2F5">
      <w:pPr>
        <w:autoSpaceDE w:val="0"/>
        <w:autoSpaceDN w:val="0"/>
        <w:adjustRightInd w:val="0"/>
        <w:spacing w:line="273" w:lineRule="auto"/>
        <w:ind w:firstLine="420" w:firstLineChars="200"/>
        <w:jc w:val="left"/>
        <w:rPr>
          <w:rFonts w:hint="eastAsia" w:ascii="宋体" w:hAnsi="宋体"/>
          <w:kern w:val="0"/>
          <w:szCs w:val="21"/>
        </w:rPr>
      </w:pPr>
      <w:r>
        <w:rPr>
          <w:rFonts w:ascii="宋体" w:hAnsi="宋体"/>
          <w:kern w:val="0"/>
          <w:szCs w:val="21"/>
        </w:rPr>
        <w:t>（2）工程结算审定金额的</w:t>
      </w:r>
      <w:r>
        <w:rPr>
          <w:rFonts w:ascii="宋体" w:hAnsi="宋体"/>
          <w:kern w:val="0"/>
          <w:szCs w:val="21"/>
          <w:u w:val="single"/>
        </w:rPr>
        <w:t xml:space="preserve">   3  </w:t>
      </w:r>
      <w:r>
        <w:rPr>
          <w:rFonts w:ascii="宋体" w:hAnsi="宋体"/>
          <w:kern w:val="0"/>
          <w:szCs w:val="21"/>
        </w:rPr>
        <w:t>%的工程款；</w:t>
      </w:r>
    </w:p>
    <w:p w14:paraId="332AA992">
      <w:pPr>
        <w:autoSpaceDE w:val="0"/>
        <w:autoSpaceDN w:val="0"/>
        <w:adjustRightInd w:val="0"/>
        <w:spacing w:line="273" w:lineRule="auto"/>
        <w:ind w:firstLine="420" w:firstLineChars="200"/>
        <w:jc w:val="left"/>
        <w:rPr>
          <w:rFonts w:hint="eastAsia" w:ascii="宋体" w:hAnsi="宋体"/>
          <w:kern w:val="0"/>
          <w:szCs w:val="21"/>
        </w:rPr>
      </w:pPr>
      <w:r>
        <w:rPr>
          <w:rFonts w:ascii="宋体" w:hAnsi="宋体"/>
          <w:kern w:val="0"/>
          <w:szCs w:val="21"/>
        </w:rPr>
        <w:t>（3）其他方式:</w:t>
      </w:r>
      <w:r>
        <w:rPr>
          <w:rFonts w:ascii="宋体" w:hAnsi="宋体"/>
          <w:kern w:val="0"/>
          <w:szCs w:val="21"/>
          <w:u w:val="single"/>
        </w:rPr>
        <w:t xml:space="preserve">                    ／                   </w:t>
      </w:r>
      <w:r>
        <w:rPr>
          <w:rFonts w:ascii="宋体" w:hAnsi="宋体"/>
          <w:kern w:val="0"/>
          <w:szCs w:val="21"/>
        </w:rPr>
        <w:t>。</w:t>
      </w:r>
    </w:p>
    <w:p w14:paraId="06B81458">
      <w:pPr>
        <w:spacing w:line="273" w:lineRule="auto"/>
        <w:ind w:firstLine="420" w:firstLineChars="200"/>
        <w:outlineLvl w:val="2"/>
        <w:rPr>
          <w:rFonts w:hint="eastAsia" w:ascii="宋体" w:hAnsi="宋体"/>
          <w:szCs w:val="21"/>
        </w:rPr>
      </w:pPr>
      <w:r>
        <w:rPr>
          <w:rFonts w:ascii="宋体" w:hAnsi="宋体"/>
          <w:szCs w:val="21"/>
        </w:rPr>
        <w:t xml:space="preserve">15.3.2 质量保证金的扣留 </w:t>
      </w:r>
    </w:p>
    <w:p w14:paraId="5EF12053">
      <w:pPr>
        <w:spacing w:line="273" w:lineRule="auto"/>
        <w:ind w:firstLine="420" w:firstLineChars="200"/>
        <w:jc w:val="left"/>
        <w:rPr>
          <w:rFonts w:hint="eastAsia" w:ascii="宋体" w:hAnsi="宋体"/>
          <w:szCs w:val="21"/>
        </w:rPr>
      </w:pPr>
      <w:r>
        <w:rPr>
          <w:rFonts w:ascii="宋体" w:hAnsi="宋体"/>
          <w:szCs w:val="21"/>
        </w:rPr>
        <w:t>质量保证金的扣留采取以下第</w:t>
      </w:r>
      <w:r>
        <w:rPr>
          <w:rFonts w:ascii="宋体" w:hAnsi="宋体"/>
          <w:szCs w:val="21"/>
          <w:u w:val="single"/>
        </w:rPr>
        <w:t xml:space="preserve">  （2）  </w:t>
      </w:r>
      <w:r>
        <w:rPr>
          <w:rFonts w:ascii="宋体" w:hAnsi="宋体"/>
          <w:szCs w:val="21"/>
        </w:rPr>
        <w:t>种方式：</w:t>
      </w:r>
    </w:p>
    <w:p w14:paraId="6371FE5F">
      <w:pPr>
        <w:autoSpaceDE w:val="0"/>
        <w:autoSpaceDN w:val="0"/>
        <w:adjustRightInd w:val="0"/>
        <w:spacing w:line="273" w:lineRule="auto"/>
        <w:ind w:firstLine="420" w:firstLineChars="200"/>
        <w:jc w:val="left"/>
        <w:rPr>
          <w:rFonts w:hint="eastAsia" w:ascii="宋体" w:hAnsi="宋体"/>
          <w:kern w:val="0"/>
          <w:szCs w:val="21"/>
        </w:rPr>
      </w:pPr>
      <w:r>
        <w:rPr>
          <w:rFonts w:ascii="宋体" w:hAnsi="宋体"/>
          <w:kern w:val="0"/>
          <w:szCs w:val="21"/>
        </w:rPr>
        <w:t>（1）在支付工程进度款时逐次扣留，在此情形下，质量保证金的计算基数不包括预付款的支付、扣回以及价格调整的金额；</w:t>
      </w:r>
    </w:p>
    <w:p w14:paraId="273863C5">
      <w:pPr>
        <w:spacing w:line="273" w:lineRule="auto"/>
        <w:ind w:firstLine="420" w:firstLineChars="200"/>
        <w:rPr>
          <w:rFonts w:hint="eastAsia" w:ascii="宋体" w:hAnsi="宋体"/>
          <w:szCs w:val="21"/>
        </w:rPr>
      </w:pPr>
      <w:r>
        <w:rPr>
          <w:rFonts w:ascii="宋体" w:hAnsi="宋体"/>
          <w:szCs w:val="21"/>
        </w:rPr>
        <w:t xml:space="preserve">（2）工程竣工结算时一次性扣留质量保证金； </w:t>
      </w:r>
    </w:p>
    <w:p w14:paraId="39584D91">
      <w:pPr>
        <w:autoSpaceDE w:val="0"/>
        <w:autoSpaceDN w:val="0"/>
        <w:adjustRightInd w:val="0"/>
        <w:spacing w:line="273" w:lineRule="auto"/>
        <w:ind w:firstLine="420" w:firstLineChars="200"/>
        <w:jc w:val="left"/>
        <w:rPr>
          <w:rFonts w:hint="eastAsia" w:ascii="宋体" w:hAnsi="宋体"/>
          <w:kern w:val="0"/>
          <w:szCs w:val="21"/>
        </w:rPr>
      </w:pPr>
      <w:r>
        <w:rPr>
          <w:rFonts w:ascii="宋体" w:hAnsi="宋体"/>
          <w:kern w:val="0"/>
          <w:szCs w:val="21"/>
        </w:rPr>
        <w:t xml:space="preserve">（3）其他扣留方式: </w:t>
      </w:r>
      <w:r>
        <w:rPr>
          <w:rFonts w:ascii="宋体" w:hAnsi="宋体"/>
          <w:kern w:val="0"/>
          <w:szCs w:val="21"/>
          <w:u w:val="single"/>
        </w:rPr>
        <w:t xml:space="preserve">  /  </w:t>
      </w:r>
      <w:r>
        <w:rPr>
          <w:rFonts w:ascii="宋体" w:hAnsi="宋体"/>
          <w:kern w:val="0"/>
          <w:szCs w:val="21"/>
        </w:rPr>
        <w:t xml:space="preserve"> </w:t>
      </w:r>
      <w:r>
        <w:rPr>
          <w:rFonts w:ascii="宋体" w:hAnsi="宋体"/>
          <w:szCs w:val="21"/>
        </w:rPr>
        <w:t>。</w:t>
      </w:r>
    </w:p>
    <w:p w14:paraId="0BA474B8">
      <w:pPr>
        <w:spacing w:line="273" w:lineRule="auto"/>
        <w:ind w:firstLine="420" w:firstLineChars="200"/>
        <w:jc w:val="left"/>
        <w:rPr>
          <w:rFonts w:hint="eastAsia" w:ascii="宋体" w:hAnsi="宋体"/>
          <w:szCs w:val="21"/>
        </w:rPr>
      </w:pPr>
      <w:r>
        <w:rPr>
          <w:rFonts w:ascii="宋体" w:hAnsi="宋体"/>
          <w:szCs w:val="21"/>
        </w:rPr>
        <w:t>关于质量保证金的补充约定：</w:t>
      </w:r>
      <w:r>
        <w:rPr>
          <w:rFonts w:ascii="宋体" w:hAnsi="宋体"/>
          <w:kern w:val="0"/>
          <w:szCs w:val="21"/>
          <w:u w:val="single"/>
        </w:rPr>
        <w:t xml:space="preserve">缺陷责任期满后扣除已发生的维修费+未履行保修责任的违约金（5000元/次），剩余质量保证金在缺陷责任期终止后无息退还 </w:t>
      </w:r>
      <w:r>
        <w:rPr>
          <w:rFonts w:ascii="宋体" w:hAnsi="宋体"/>
          <w:kern w:val="0"/>
          <w:szCs w:val="21"/>
        </w:rPr>
        <w:t>。</w:t>
      </w:r>
    </w:p>
    <w:p w14:paraId="3F1E5D6F">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15.4保修</w:t>
      </w:r>
    </w:p>
    <w:p w14:paraId="0AF333B5">
      <w:pPr>
        <w:spacing w:line="273" w:lineRule="auto"/>
        <w:ind w:firstLine="420" w:firstLineChars="200"/>
        <w:outlineLvl w:val="2"/>
        <w:rPr>
          <w:rFonts w:hint="eastAsia" w:ascii="宋体" w:hAnsi="宋体"/>
          <w:szCs w:val="21"/>
        </w:rPr>
      </w:pPr>
      <w:r>
        <w:rPr>
          <w:rFonts w:ascii="宋体" w:hAnsi="宋体"/>
          <w:szCs w:val="21"/>
        </w:rPr>
        <w:t>15.4.1 保修责任</w:t>
      </w:r>
    </w:p>
    <w:p w14:paraId="2F136C10">
      <w:pPr>
        <w:spacing w:line="273" w:lineRule="auto"/>
        <w:ind w:firstLine="420" w:firstLineChars="200"/>
        <w:rPr>
          <w:rFonts w:hint="eastAsia" w:ascii="宋体" w:hAnsi="宋体"/>
          <w:kern w:val="0"/>
          <w:szCs w:val="21"/>
        </w:rPr>
      </w:pPr>
      <w:r>
        <w:rPr>
          <w:rFonts w:ascii="宋体" w:hAnsi="宋体"/>
          <w:szCs w:val="21"/>
        </w:rPr>
        <w:t>工程保修期为：</w:t>
      </w:r>
      <w:r>
        <w:rPr>
          <w:rFonts w:ascii="宋体" w:hAnsi="宋体"/>
          <w:kern w:val="0"/>
          <w:szCs w:val="21"/>
          <w:u w:val="single"/>
        </w:rPr>
        <w:t xml:space="preserve">    竣工验收合格并移交之日起24个月。</w:t>
      </w:r>
    </w:p>
    <w:p w14:paraId="17257C54">
      <w:pPr>
        <w:spacing w:line="273" w:lineRule="auto"/>
        <w:ind w:firstLine="420" w:firstLineChars="200"/>
        <w:outlineLvl w:val="2"/>
        <w:rPr>
          <w:rFonts w:hint="eastAsia" w:ascii="宋体" w:hAnsi="宋体"/>
          <w:szCs w:val="21"/>
        </w:rPr>
      </w:pPr>
      <w:r>
        <w:rPr>
          <w:rFonts w:ascii="宋体" w:hAnsi="宋体"/>
          <w:szCs w:val="21"/>
        </w:rPr>
        <w:t>15.4.3 修复通知</w:t>
      </w:r>
    </w:p>
    <w:p w14:paraId="141F662E">
      <w:pPr>
        <w:spacing w:line="273" w:lineRule="auto"/>
        <w:ind w:firstLine="420" w:firstLineChars="200"/>
        <w:rPr>
          <w:rFonts w:hint="eastAsia" w:ascii="宋体" w:hAnsi="宋体"/>
          <w:szCs w:val="21"/>
          <w:u w:val="single"/>
        </w:rPr>
      </w:pPr>
      <w:r>
        <w:rPr>
          <w:rFonts w:ascii="宋体" w:hAnsi="宋体"/>
          <w:kern w:val="0"/>
          <w:szCs w:val="21"/>
        </w:rPr>
        <w:t>承包人收到保修通知并到达工程现场的合理时间：</w:t>
      </w:r>
      <w:r>
        <w:rPr>
          <w:rFonts w:ascii="宋体" w:hAnsi="宋体"/>
          <w:szCs w:val="21"/>
          <w:u w:val="single"/>
        </w:rPr>
        <w:t>(1)保修期内，承包人应负责未移交的工程和工程设备的全部日常维护和质量保修工作，对已移交发包人使用的工程和工程设备，则应由发包人负责日常维护工作，但承包人应按《房屋建筑工程质量保修书》中所列的保修范围和内容进行维修，直至经监理人和发包人管理单位检验合格为止</w:t>
      </w:r>
      <w:r>
        <w:rPr>
          <w:rFonts w:ascii="宋体" w:hAnsi="宋体"/>
          <w:szCs w:val="21"/>
        </w:rPr>
        <w:t>。</w:t>
      </w:r>
    </w:p>
    <w:p w14:paraId="139FA704">
      <w:pPr>
        <w:spacing w:line="273" w:lineRule="auto"/>
        <w:ind w:firstLine="420" w:firstLineChars="200"/>
        <w:rPr>
          <w:rFonts w:hint="eastAsia" w:ascii="宋体" w:hAnsi="宋体"/>
          <w:szCs w:val="21"/>
          <w:u w:val="single"/>
        </w:rPr>
      </w:pPr>
      <w:r>
        <w:rPr>
          <w:rFonts w:ascii="宋体" w:hAnsi="宋体"/>
          <w:szCs w:val="21"/>
        </w:rPr>
        <w:t>(2)</w:t>
      </w:r>
      <w:r>
        <w:rPr>
          <w:rFonts w:ascii="宋体" w:hAnsi="宋体"/>
          <w:szCs w:val="21"/>
          <w:u w:val="single"/>
        </w:rPr>
        <w:t>承包人在接到发包人的保修通知</w:t>
      </w:r>
      <w:r>
        <w:rPr>
          <w:rFonts w:ascii="宋体" w:hAnsi="宋体"/>
          <w:b/>
          <w:bCs/>
          <w:szCs w:val="21"/>
          <w:u w:val="single"/>
        </w:rPr>
        <w:t>12小时内</w:t>
      </w:r>
      <w:r>
        <w:rPr>
          <w:rFonts w:ascii="宋体" w:hAnsi="宋体"/>
          <w:szCs w:val="21"/>
          <w:u w:val="single"/>
        </w:rPr>
        <w:t>必须及时派人到现场处理质量保修问题，如承包人不及时派人到现场处理或处理保修问题不及时，发包人有权直接委托相关单位实施维修，发生的费用按实从承包人的质量保修金中扣留，承包人不得以费用过高或其他理由拒绝。如维修费用超过质量保证金的，发包人有权向承包人追偿。</w:t>
      </w:r>
    </w:p>
    <w:p w14:paraId="6ED6EFAF">
      <w:pPr>
        <w:spacing w:line="273" w:lineRule="auto"/>
        <w:ind w:firstLine="420" w:firstLineChars="200"/>
        <w:rPr>
          <w:rFonts w:hint="eastAsia" w:ascii="宋体" w:hAnsi="宋体"/>
          <w:szCs w:val="21"/>
        </w:rPr>
      </w:pPr>
      <w:r>
        <w:rPr>
          <w:rFonts w:ascii="宋体" w:hAnsi="宋体"/>
          <w:szCs w:val="21"/>
          <w:u w:val="single"/>
        </w:rPr>
        <w:t>(3)发包人在保修期内使用工程和工程设备过程中，发现新的缺陷和损坏或原修复的缺陷部位或部件又遭损坏，则承包人应按发包人的指示负责修复直至经发包人检验合格为止。发包人管理单位和承包人共同进行查验，若经查验确属由于承包人施工中隐存的或其他由于承包人责任造成的缺陷或损坏，应由承包人负责修复费用；若经查验确属发包人使用不当或其他由发包人责任造成的缺陷或损坏，则应由发包人承担修复费用 。若双方查验不能判定属于哪一方责任造成的，则双方同意委托有检测质资的第三方机构验测判定。</w:t>
      </w:r>
    </w:p>
    <w:p w14:paraId="46B6055C">
      <w:pPr>
        <w:spacing w:line="273" w:lineRule="auto"/>
        <w:outlineLvl w:val="0"/>
        <w:rPr>
          <w:rFonts w:hint="eastAsia" w:ascii="黑体" w:hAnsi="宋体" w:eastAsia="黑体"/>
          <w:b/>
          <w:bCs/>
          <w:szCs w:val="21"/>
        </w:rPr>
      </w:pPr>
      <w:r>
        <w:rPr>
          <w:rFonts w:ascii="黑体" w:hAnsi="宋体" w:eastAsia="黑体"/>
          <w:b/>
          <w:bCs/>
          <w:szCs w:val="21"/>
        </w:rPr>
        <w:t>16. 违约</w:t>
      </w:r>
    </w:p>
    <w:p w14:paraId="4FF86CC4">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16.1 发包人违约</w:t>
      </w:r>
    </w:p>
    <w:p w14:paraId="08718CF3">
      <w:pPr>
        <w:spacing w:line="273" w:lineRule="auto"/>
        <w:ind w:firstLine="420" w:firstLineChars="200"/>
        <w:outlineLvl w:val="2"/>
        <w:rPr>
          <w:rFonts w:hint="eastAsia" w:ascii="宋体" w:hAnsi="宋体"/>
          <w:szCs w:val="21"/>
        </w:rPr>
      </w:pPr>
      <w:r>
        <w:rPr>
          <w:rFonts w:ascii="宋体" w:hAnsi="宋体"/>
          <w:szCs w:val="21"/>
        </w:rPr>
        <w:t>16.1.1发包人违约的情形</w:t>
      </w:r>
    </w:p>
    <w:p w14:paraId="0738EF6B">
      <w:pPr>
        <w:spacing w:line="273" w:lineRule="auto"/>
        <w:ind w:firstLine="420" w:firstLineChars="200"/>
        <w:jc w:val="left"/>
        <w:rPr>
          <w:rFonts w:hint="eastAsia" w:ascii="宋体" w:hAnsi="宋体"/>
          <w:kern w:val="0"/>
          <w:szCs w:val="21"/>
        </w:rPr>
      </w:pPr>
      <w:r>
        <w:rPr>
          <w:rFonts w:ascii="宋体" w:hAnsi="宋体"/>
          <w:kern w:val="0"/>
          <w:szCs w:val="21"/>
        </w:rPr>
        <w:t>发包人违约的其他情形：</w:t>
      </w:r>
      <w:r>
        <w:rPr>
          <w:rFonts w:ascii="宋体" w:hAnsi="宋体"/>
          <w:kern w:val="0"/>
          <w:szCs w:val="21"/>
          <w:u w:val="single"/>
        </w:rPr>
        <w:t xml:space="preserve">  /</w:t>
      </w:r>
      <w:r>
        <w:rPr>
          <w:rFonts w:ascii="宋体" w:hAnsi="宋体"/>
          <w:szCs w:val="21"/>
        </w:rPr>
        <w:t>。</w:t>
      </w:r>
      <w:r>
        <w:rPr>
          <w:rFonts w:ascii="宋体" w:hAnsi="宋体"/>
          <w:kern w:val="0"/>
          <w:szCs w:val="21"/>
        </w:rPr>
        <w:t xml:space="preserve">   </w:t>
      </w:r>
    </w:p>
    <w:p w14:paraId="2E4584A2">
      <w:pPr>
        <w:spacing w:line="273" w:lineRule="auto"/>
        <w:ind w:firstLine="420" w:firstLineChars="200"/>
        <w:jc w:val="left"/>
        <w:outlineLvl w:val="2"/>
        <w:rPr>
          <w:rFonts w:hint="eastAsia" w:ascii="宋体" w:hAnsi="宋体"/>
          <w:kern w:val="0"/>
          <w:szCs w:val="21"/>
        </w:rPr>
      </w:pPr>
      <w:r>
        <w:rPr>
          <w:rFonts w:ascii="宋体" w:hAnsi="宋体"/>
          <w:kern w:val="0"/>
          <w:szCs w:val="21"/>
        </w:rPr>
        <w:t>16.1.2 发包人违约的责任</w:t>
      </w:r>
    </w:p>
    <w:p w14:paraId="3BFE0D7F">
      <w:pPr>
        <w:spacing w:line="273" w:lineRule="auto"/>
        <w:ind w:firstLine="420" w:firstLineChars="200"/>
        <w:jc w:val="left"/>
        <w:rPr>
          <w:rFonts w:hint="eastAsia" w:ascii="宋体" w:hAnsi="宋体"/>
          <w:kern w:val="0"/>
          <w:szCs w:val="21"/>
        </w:rPr>
      </w:pPr>
      <w:r>
        <w:rPr>
          <w:rFonts w:ascii="宋体" w:hAnsi="宋体"/>
          <w:kern w:val="0"/>
          <w:szCs w:val="21"/>
        </w:rPr>
        <w:t>发包人违约责任的承担方式和计算方法：</w:t>
      </w:r>
    </w:p>
    <w:p w14:paraId="1C58A864">
      <w:pPr>
        <w:spacing w:line="273" w:lineRule="auto"/>
        <w:ind w:firstLine="420" w:firstLineChars="200"/>
        <w:rPr>
          <w:rFonts w:hint="eastAsia" w:ascii="宋体" w:hAnsi="宋体"/>
          <w:kern w:val="0"/>
          <w:szCs w:val="21"/>
          <w:u w:val="single"/>
        </w:rPr>
      </w:pPr>
      <w:r>
        <w:rPr>
          <w:rFonts w:ascii="宋体" w:hAnsi="宋体"/>
          <w:kern w:val="0"/>
          <w:szCs w:val="21"/>
        </w:rPr>
        <w:t>（1）因发包人原因未能在计划开工日期前7天内下达开工通知的违约责任：</w:t>
      </w:r>
      <w:r>
        <w:rPr>
          <w:rFonts w:ascii="宋体" w:hAnsi="宋体"/>
          <w:szCs w:val="21"/>
          <w:u w:val="single"/>
        </w:rPr>
        <w:t>按通用合同条款16.1.2条执行。</w:t>
      </w:r>
    </w:p>
    <w:p w14:paraId="1040C359">
      <w:pPr>
        <w:spacing w:line="273" w:lineRule="auto"/>
        <w:ind w:firstLine="420" w:firstLineChars="200"/>
        <w:jc w:val="left"/>
        <w:rPr>
          <w:rFonts w:hint="eastAsia" w:ascii="宋体" w:hAnsi="宋体"/>
          <w:szCs w:val="21"/>
          <w:u w:val="single"/>
        </w:rPr>
      </w:pPr>
      <w:r>
        <w:rPr>
          <w:rFonts w:ascii="宋体" w:hAnsi="宋体"/>
          <w:kern w:val="0"/>
          <w:szCs w:val="21"/>
        </w:rPr>
        <w:t>（2）因发包人原因未能按合同约定支付合同价款的违约责任：</w:t>
      </w:r>
      <w:r>
        <w:rPr>
          <w:rFonts w:ascii="宋体" w:hAnsi="宋体"/>
          <w:kern w:val="0"/>
          <w:szCs w:val="21"/>
          <w:u w:val="single"/>
        </w:rPr>
        <w:t xml:space="preserve"> 每逾期一天，按签约合同价万分之三支付违约金 </w:t>
      </w:r>
      <w:r>
        <w:rPr>
          <w:rFonts w:ascii="宋体" w:hAnsi="宋体"/>
          <w:szCs w:val="21"/>
        </w:rPr>
        <w:t>。</w:t>
      </w:r>
    </w:p>
    <w:p w14:paraId="1F92D798">
      <w:pPr>
        <w:spacing w:line="273" w:lineRule="auto"/>
        <w:ind w:firstLine="420" w:firstLineChars="200"/>
        <w:jc w:val="left"/>
        <w:rPr>
          <w:rFonts w:hint="eastAsia" w:ascii="宋体" w:hAnsi="宋体"/>
          <w:kern w:val="0"/>
          <w:szCs w:val="21"/>
        </w:rPr>
      </w:pPr>
      <w:r>
        <w:rPr>
          <w:rFonts w:ascii="宋体" w:hAnsi="宋体"/>
          <w:kern w:val="0"/>
          <w:szCs w:val="21"/>
        </w:rPr>
        <w:t>（3）发包人违反第10.1款〔变更的范围〕第（2）项约定，自行实施被取消的工作或转由他人实施的违约责任：</w:t>
      </w:r>
      <w:r>
        <w:rPr>
          <w:rFonts w:ascii="宋体" w:hAnsi="宋体"/>
          <w:b/>
          <w:bCs/>
          <w:szCs w:val="21"/>
          <w:u w:val="single"/>
        </w:rPr>
        <w:t>发包人不承担违约责任，且承包人不得就此提出任何经济索赔，但若因发包人将合同中的任何工作取消或转由他人实施而导致工期延误的，发包人不应追究承包人工期延误的违约责任</w:t>
      </w:r>
      <w:r>
        <w:rPr>
          <w:rFonts w:ascii="宋体" w:hAnsi="宋体"/>
          <w:b/>
          <w:bCs/>
          <w:kern w:val="0"/>
          <w:szCs w:val="21"/>
        </w:rPr>
        <w:t>。</w:t>
      </w:r>
    </w:p>
    <w:p w14:paraId="5F65A6C7">
      <w:pPr>
        <w:spacing w:line="273" w:lineRule="auto"/>
        <w:ind w:firstLine="420" w:firstLineChars="200"/>
        <w:jc w:val="left"/>
        <w:rPr>
          <w:rFonts w:hint="eastAsia" w:ascii="宋体" w:hAnsi="宋体"/>
          <w:kern w:val="0"/>
          <w:szCs w:val="21"/>
        </w:rPr>
      </w:pPr>
      <w:r>
        <w:rPr>
          <w:rFonts w:ascii="宋体" w:hAnsi="宋体"/>
          <w:kern w:val="0"/>
          <w:szCs w:val="21"/>
        </w:rPr>
        <w:t>（4）发包人提供的材料、工程设备的规格、数量或质量不符合合同约定，或因发包人原因导致交货日期延误或交货地点变更等情况的违约责任：</w:t>
      </w:r>
      <w:r>
        <w:rPr>
          <w:rFonts w:ascii="宋体" w:hAnsi="宋体"/>
          <w:kern w:val="0"/>
          <w:szCs w:val="21"/>
          <w:u w:val="single"/>
        </w:rPr>
        <w:t xml:space="preserve">     /   </w:t>
      </w:r>
      <w:r>
        <w:rPr>
          <w:rFonts w:ascii="宋体" w:hAnsi="宋体"/>
          <w:kern w:val="0"/>
          <w:szCs w:val="21"/>
        </w:rPr>
        <w:t>。</w:t>
      </w:r>
    </w:p>
    <w:p w14:paraId="59BC01D9">
      <w:pPr>
        <w:spacing w:line="273" w:lineRule="auto"/>
        <w:ind w:firstLine="420" w:firstLineChars="200"/>
        <w:jc w:val="left"/>
        <w:rPr>
          <w:rFonts w:hint="eastAsia" w:ascii="宋体" w:hAnsi="宋体"/>
          <w:kern w:val="0"/>
          <w:szCs w:val="21"/>
          <w:u w:val="single"/>
        </w:rPr>
      </w:pPr>
      <w:r>
        <w:rPr>
          <w:rFonts w:ascii="宋体" w:hAnsi="宋体"/>
          <w:kern w:val="0"/>
          <w:szCs w:val="21"/>
        </w:rPr>
        <w:t>（5）因发包人违反合同约定造成暂停施工的违约责任：</w:t>
      </w:r>
      <w:r>
        <w:rPr>
          <w:rFonts w:ascii="宋体" w:hAnsi="宋体"/>
          <w:szCs w:val="21"/>
          <w:u w:val="single"/>
        </w:rPr>
        <w:t>因发包人原因引起的工期延误，仅考虑工期顺延，承包人不得提出经济索赔</w:t>
      </w:r>
      <w:r>
        <w:rPr>
          <w:rFonts w:ascii="宋体" w:hAnsi="宋体"/>
          <w:kern w:val="0"/>
          <w:szCs w:val="21"/>
          <w:u w:val="single"/>
        </w:rPr>
        <w:t xml:space="preserve"> </w:t>
      </w:r>
      <w:r>
        <w:rPr>
          <w:rFonts w:ascii="宋体" w:hAnsi="宋体"/>
          <w:kern w:val="0"/>
          <w:szCs w:val="21"/>
        </w:rPr>
        <w:t>。</w:t>
      </w:r>
    </w:p>
    <w:p w14:paraId="1C9FCEB5">
      <w:pPr>
        <w:spacing w:line="273" w:lineRule="auto"/>
        <w:ind w:firstLine="420" w:firstLineChars="200"/>
        <w:jc w:val="left"/>
        <w:rPr>
          <w:rFonts w:hint="eastAsia" w:ascii="宋体" w:hAnsi="宋体"/>
          <w:kern w:val="0"/>
          <w:szCs w:val="21"/>
          <w:u w:val="single"/>
        </w:rPr>
      </w:pPr>
      <w:r>
        <w:rPr>
          <w:rFonts w:ascii="宋体" w:hAnsi="宋体"/>
          <w:kern w:val="0"/>
          <w:szCs w:val="21"/>
        </w:rPr>
        <w:t>（6）发包人无正当理由没有在约定期限内发出复工指示，导致承包人无法复工的违约责任：</w:t>
      </w:r>
      <w:r>
        <w:rPr>
          <w:rFonts w:ascii="宋体" w:hAnsi="宋体"/>
          <w:kern w:val="0"/>
          <w:szCs w:val="21"/>
          <w:u w:val="single"/>
        </w:rPr>
        <w:t xml:space="preserve">  </w:t>
      </w:r>
      <w:r>
        <w:rPr>
          <w:rFonts w:ascii="宋体" w:hAnsi="宋体"/>
          <w:szCs w:val="21"/>
          <w:u w:val="single"/>
        </w:rPr>
        <w:t>因发包人原因引起的工期延误，仅考虑工期顺延，承包人不得提出经济索赔</w:t>
      </w:r>
      <w:r>
        <w:rPr>
          <w:rFonts w:ascii="宋体" w:hAnsi="宋体"/>
          <w:kern w:val="0"/>
          <w:szCs w:val="21"/>
          <w:u w:val="single"/>
        </w:rPr>
        <w:t xml:space="preserve"> </w:t>
      </w:r>
      <w:r>
        <w:rPr>
          <w:rFonts w:ascii="宋体" w:hAnsi="宋体"/>
          <w:szCs w:val="21"/>
          <w:u w:val="single"/>
        </w:rPr>
        <w:t>。</w:t>
      </w:r>
    </w:p>
    <w:p w14:paraId="39C9A64F">
      <w:pPr>
        <w:spacing w:line="273" w:lineRule="auto"/>
        <w:ind w:firstLine="420" w:firstLineChars="200"/>
        <w:jc w:val="left"/>
        <w:rPr>
          <w:rFonts w:hint="eastAsia" w:ascii="宋体" w:hAnsi="宋体"/>
          <w:kern w:val="0"/>
          <w:szCs w:val="21"/>
        </w:rPr>
      </w:pPr>
      <w:r>
        <w:rPr>
          <w:rFonts w:ascii="宋体" w:hAnsi="宋体"/>
          <w:kern w:val="0"/>
          <w:szCs w:val="21"/>
        </w:rPr>
        <w:t>（7）其他：</w:t>
      </w:r>
      <w:r>
        <w:rPr>
          <w:rFonts w:ascii="宋体" w:hAnsi="宋体"/>
          <w:kern w:val="0"/>
          <w:szCs w:val="21"/>
          <w:u w:val="single"/>
        </w:rPr>
        <w:t xml:space="preserve">    /           </w:t>
      </w:r>
      <w:r>
        <w:rPr>
          <w:rFonts w:ascii="宋体" w:hAnsi="宋体"/>
          <w:kern w:val="0"/>
          <w:szCs w:val="21"/>
        </w:rPr>
        <w:t>。</w:t>
      </w:r>
    </w:p>
    <w:p w14:paraId="07FDF327">
      <w:pPr>
        <w:spacing w:line="273" w:lineRule="auto"/>
        <w:ind w:firstLine="420" w:firstLineChars="200"/>
        <w:jc w:val="left"/>
        <w:outlineLvl w:val="2"/>
        <w:rPr>
          <w:rFonts w:hint="eastAsia" w:ascii="宋体" w:hAnsi="宋体"/>
          <w:szCs w:val="21"/>
        </w:rPr>
      </w:pPr>
      <w:r>
        <w:rPr>
          <w:rFonts w:ascii="宋体" w:hAnsi="宋体"/>
          <w:szCs w:val="21"/>
        </w:rPr>
        <w:t>16.1.3 因发包人违约解除合同</w:t>
      </w:r>
    </w:p>
    <w:p w14:paraId="3465D977">
      <w:pPr>
        <w:autoSpaceDE w:val="0"/>
        <w:autoSpaceDN w:val="0"/>
        <w:adjustRightInd w:val="0"/>
        <w:spacing w:line="273" w:lineRule="auto"/>
        <w:ind w:firstLine="420" w:firstLineChars="200"/>
        <w:jc w:val="left"/>
        <w:rPr>
          <w:rFonts w:hint="eastAsia" w:ascii="宋体" w:hAnsi="宋体"/>
          <w:kern w:val="0"/>
          <w:szCs w:val="21"/>
        </w:rPr>
      </w:pPr>
      <w:r>
        <w:rPr>
          <w:rFonts w:ascii="宋体" w:hAnsi="宋体"/>
          <w:kern w:val="0"/>
          <w:szCs w:val="21"/>
        </w:rPr>
        <w:t>承包人按16.1.1项〔发包人违约的情形〕约定暂停施工满</w:t>
      </w:r>
      <w:r>
        <w:rPr>
          <w:rFonts w:ascii="宋体" w:hAnsi="宋体"/>
          <w:kern w:val="0"/>
          <w:szCs w:val="21"/>
          <w:u w:val="single"/>
        </w:rPr>
        <w:t xml:space="preserve">  30  </w:t>
      </w:r>
      <w:r>
        <w:rPr>
          <w:rFonts w:ascii="宋体" w:hAnsi="宋体"/>
          <w:kern w:val="0"/>
          <w:szCs w:val="21"/>
        </w:rPr>
        <w:t>天后发包人仍不纠正其违约行为并致使合同目的不能实现的，承包人有权解除合同。</w:t>
      </w:r>
    </w:p>
    <w:p w14:paraId="425469D8">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16.2 承包人违约</w:t>
      </w:r>
    </w:p>
    <w:p w14:paraId="3B6D657A">
      <w:pPr>
        <w:spacing w:line="273" w:lineRule="auto"/>
        <w:ind w:firstLine="420" w:firstLineChars="200"/>
        <w:jc w:val="left"/>
        <w:outlineLvl w:val="2"/>
        <w:rPr>
          <w:rFonts w:hint="eastAsia" w:ascii="宋体" w:hAnsi="宋体"/>
          <w:kern w:val="0"/>
          <w:szCs w:val="21"/>
        </w:rPr>
      </w:pPr>
      <w:r>
        <w:rPr>
          <w:rFonts w:ascii="宋体" w:hAnsi="宋体"/>
          <w:kern w:val="0"/>
          <w:szCs w:val="21"/>
        </w:rPr>
        <w:t>16.2.1 承包人违约的情形</w:t>
      </w:r>
    </w:p>
    <w:p w14:paraId="6EDAC346">
      <w:pPr>
        <w:spacing w:line="273" w:lineRule="auto"/>
        <w:ind w:firstLine="420" w:firstLineChars="200"/>
        <w:jc w:val="left"/>
        <w:rPr>
          <w:rFonts w:hint="eastAsia" w:ascii="宋体" w:hAnsi="宋体"/>
          <w:szCs w:val="21"/>
          <w:u w:val="single"/>
        </w:rPr>
      </w:pPr>
      <w:r>
        <w:rPr>
          <w:rFonts w:ascii="宋体" w:hAnsi="宋体"/>
          <w:szCs w:val="21"/>
          <w:u w:val="single"/>
        </w:rPr>
        <w:t>承包人违约的其他情形：1）无瑕疵履行：承包人提供的服务、产品或者实施的工程数量、质量等不符合要求的，承包人应承担改进、更换、返工等责任；2）支付违约金、罚金、罚款：按照合同条款的约定执行；3）赔偿损失：赔偿发包人的实际损失（含合同履行后发包人可以获得的利益）；4）其他。</w:t>
      </w:r>
    </w:p>
    <w:p w14:paraId="598238FB">
      <w:pPr>
        <w:spacing w:line="273" w:lineRule="auto"/>
        <w:ind w:firstLine="420" w:firstLineChars="200"/>
        <w:jc w:val="left"/>
        <w:rPr>
          <w:rFonts w:hint="eastAsia" w:ascii="宋体" w:hAnsi="宋体"/>
          <w:szCs w:val="21"/>
          <w:u w:val="single"/>
        </w:rPr>
      </w:pPr>
      <w:r>
        <w:rPr>
          <w:rFonts w:ascii="宋体" w:hAnsi="宋体"/>
          <w:szCs w:val="21"/>
          <w:u w:val="single"/>
        </w:rPr>
        <w:t>其中：</w:t>
      </w:r>
    </w:p>
    <w:p w14:paraId="73D0EC64">
      <w:pPr>
        <w:numPr>
          <w:ilvl w:val="0"/>
          <w:numId w:val="2"/>
        </w:numPr>
        <w:spacing w:line="273" w:lineRule="auto"/>
        <w:jc w:val="left"/>
        <w:rPr>
          <w:rFonts w:hint="eastAsia" w:ascii="宋体" w:hAnsi="宋体"/>
          <w:szCs w:val="21"/>
          <w:u w:val="single"/>
        </w:rPr>
      </w:pPr>
      <w:r>
        <w:rPr>
          <w:rFonts w:ascii="宋体" w:hAnsi="宋体"/>
          <w:szCs w:val="21"/>
          <w:u w:val="single"/>
        </w:rPr>
        <w:t>承包人违反约定采购或使用不合格材料和工程设备的，由承包人负责更换和返工，因此而误期或出现质量事故或隐患的，责任及费用由承包人承担，发包人并有权要求其承担本合同总金额5%的违约金。</w:t>
      </w:r>
    </w:p>
    <w:p w14:paraId="3109B828">
      <w:pPr>
        <w:numPr>
          <w:ilvl w:val="0"/>
          <w:numId w:val="2"/>
        </w:numPr>
        <w:spacing w:line="273" w:lineRule="auto"/>
        <w:jc w:val="left"/>
        <w:rPr>
          <w:rFonts w:hint="eastAsia" w:ascii="宋体" w:hAnsi="宋体"/>
          <w:szCs w:val="21"/>
          <w:u w:val="single"/>
        </w:rPr>
      </w:pPr>
      <w:r>
        <w:rPr>
          <w:rFonts w:ascii="宋体" w:hAnsi="宋体"/>
          <w:szCs w:val="21"/>
          <w:u w:val="single"/>
        </w:rPr>
        <w:t>承包人必须按合同约定质量标准完成本工程（包括分部分项及单位工程）施工。如第一次验收不合格，承包人就不符合质量标准的部分进行重建或修复至符合标准，费用由承包人承担，发包人并有权要求其承担本合同总金额10%的违约金。</w:t>
      </w:r>
    </w:p>
    <w:p w14:paraId="5CEAABE0">
      <w:pPr>
        <w:numPr>
          <w:ilvl w:val="0"/>
          <w:numId w:val="2"/>
        </w:numPr>
        <w:spacing w:line="273" w:lineRule="auto"/>
        <w:jc w:val="left"/>
        <w:rPr>
          <w:rFonts w:hint="eastAsia" w:ascii="宋体" w:hAnsi="宋体"/>
          <w:szCs w:val="21"/>
          <w:u w:val="single"/>
        </w:rPr>
      </w:pPr>
      <w:r>
        <w:rPr>
          <w:rFonts w:ascii="宋体" w:hAnsi="宋体"/>
          <w:szCs w:val="21"/>
          <w:u w:val="single"/>
        </w:rPr>
        <w:t>承包人未经批准，私自将已经按照合同约定进入施工现场的材料或设备及临时设施等撤离施工现场的，承包人应按照监理人的要求立即改正，工期不予顺延。</w:t>
      </w:r>
    </w:p>
    <w:p w14:paraId="31D085F2">
      <w:pPr>
        <w:numPr>
          <w:ilvl w:val="0"/>
          <w:numId w:val="2"/>
        </w:numPr>
        <w:spacing w:line="273" w:lineRule="auto"/>
        <w:jc w:val="left"/>
        <w:rPr>
          <w:rFonts w:hint="eastAsia" w:ascii="宋体" w:hAnsi="宋体"/>
          <w:szCs w:val="21"/>
          <w:u w:val="single"/>
        </w:rPr>
      </w:pPr>
      <w:r>
        <w:rPr>
          <w:rFonts w:ascii="宋体" w:hAnsi="宋体"/>
          <w:szCs w:val="21"/>
          <w:u w:val="single"/>
        </w:rPr>
        <w:t>承包人未履行缺陷修复和保修责任的，由发包人自行或委托他人修复，费用由承包人承担，因此而造成其他损失的责任全部由承包人承担。</w:t>
      </w:r>
    </w:p>
    <w:p w14:paraId="27AF5907">
      <w:pPr>
        <w:numPr>
          <w:ilvl w:val="0"/>
          <w:numId w:val="2"/>
        </w:numPr>
        <w:spacing w:line="273" w:lineRule="auto"/>
        <w:jc w:val="left"/>
        <w:rPr>
          <w:rFonts w:hint="eastAsia" w:ascii="宋体" w:hAnsi="宋体"/>
          <w:szCs w:val="21"/>
          <w:u w:val="single"/>
        </w:rPr>
      </w:pPr>
      <w:r>
        <w:rPr>
          <w:rFonts w:ascii="宋体" w:hAnsi="宋体"/>
          <w:szCs w:val="21"/>
          <w:u w:val="single"/>
        </w:rPr>
        <w:t>本工程具体分项工程完成时间应服从发包人的总体要求，如果因承包人原因导致进度与发包人要求进度不符，承包人无措施或无法保障按期按质完工，发包人有权对部分分项工程指定第三方施工，由承包方配合，相应款项从承包人的工程款中扣除。</w:t>
      </w:r>
    </w:p>
    <w:p w14:paraId="0CF7194B">
      <w:pPr>
        <w:numPr>
          <w:ilvl w:val="0"/>
          <w:numId w:val="2"/>
        </w:numPr>
        <w:spacing w:line="273" w:lineRule="auto"/>
        <w:jc w:val="left"/>
        <w:rPr>
          <w:rFonts w:hint="eastAsia" w:ascii="宋体" w:hAnsi="宋体"/>
          <w:szCs w:val="21"/>
          <w:u w:val="single"/>
        </w:rPr>
      </w:pPr>
      <w:r>
        <w:rPr>
          <w:rFonts w:ascii="宋体" w:hAnsi="宋体"/>
          <w:szCs w:val="21"/>
          <w:u w:val="single"/>
        </w:rPr>
        <w:t>承包人未按照程序报验的，应当向发包人支付【2000】元的违约金。</w:t>
      </w:r>
    </w:p>
    <w:p w14:paraId="7E920B1D">
      <w:pPr>
        <w:numPr>
          <w:ilvl w:val="0"/>
          <w:numId w:val="2"/>
        </w:numPr>
        <w:spacing w:line="273" w:lineRule="auto"/>
        <w:jc w:val="left"/>
        <w:rPr>
          <w:rFonts w:hint="eastAsia" w:ascii="宋体" w:hAnsi="宋体"/>
          <w:szCs w:val="21"/>
          <w:u w:val="single"/>
        </w:rPr>
      </w:pPr>
      <w:r>
        <w:rPr>
          <w:rFonts w:ascii="宋体" w:hAnsi="宋体"/>
          <w:szCs w:val="21"/>
          <w:u w:val="single"/>
        </w:rPr>
        <w:t>承包人应确保其所有现场施工人员严格遵守国家规范、设计文件、监理指令及发包人依法发出的现场管理指令和调度安排进行施工。若现场施工人员违反上述要求，每发生一次，应向发包人支付违约金人民币【500-5000】元，具体金额由发包人根据违规情节的严重程度确定。发包人有权从未付工程款中直接扣除。承包人应对违规施工人员及相关管理人员进行追责处理，并将处理结果书面报发包人备案。屡教不改者，或单次不服从管理行为情节严重，发包人有权单方解除本合同，并由承包人支付10%违约金，且赔偿发包人因此遭受的全部损失，同时承包人应立即退场。</w:t>
      </w:r>
    </w:p>
    <w:p w14:paraId="43C15291">
      <w:pPr>
        <w:numPr>
          <w:ilvl w:val="0"/>
          <w:numId w:val="2"/>
        </w:numPr>
        <w:spacing w:line="273" w:lineRule="auto"/>
        <w:jc w:val="left"/>
        <w:rPr>
          <w:rFonts w:hint="eastAsia" w:ascii="宋体" w:hAnsi="宋体"/>
          <w:szCs w:val="21"/>
          <w:u w:val="single"/>
        </w:rPr>
      </w:pPr>
      <w:r>
        <w:rPr>
          <w:rFonts w:ascii="宋体" w:hAnsi="宋体"/>
          <w:szCs w:val="21"/>
          <w:u w:val="single"/>
        </w:rPr>
        <w:t>承包人未按照合同约定时间，将符合要求的竣工结算资料等上报给发包人，每逾期一天，应支付发包人签约合同价万分之三的违约金。</w:t>
      </w:r>
    </w:p>
    <w:p w14:paraId="6A896867">
      <w:pPr>
        <w:numPr>
          <w:ilvl w:val="0"/>
          <w:numId w:val="2"/>
        </w:numPr>
        <w:spacing w:line="273" w:lineRule="auto"/>
        <w:jc w:val="left"/>
        <w:rPr>
          <w:rFonts w:hint="eastAsia" w:ascii="宋体" w:hAnsi="宋体"/>
          <w:szCs w:val="21"/>
          <w:u w:val="single"/>
        </w:rPr>
      </w:pPr>
      <w:r>
        <w:rPr>
          <w:rFonts w:ascii="宋体" w:hAnsi="宋体"/>
          <w:szCs w:val="21"/>
          <w:u w:val="single"/>
        </w:rPr>
        <w:t>承包人应当确保施工工人的工资发放，不得拖欠，由此导致的发包人的一切损失，承包人应当承担赔偿责任。若承包人违反工程款（包括各项措施费用、安全文明使用费等）专款专用约定的，除支付因此而导致的误期等赔偿责任外，还应按挪用款金额的10%向发包人支付违约金，且工期不予顺延，发包人并因此有权解除合同。</w:t>
      </w:r>
    </w:p>
    <w:p w14:paraId="34772E8E">
      <w:pPr>
        <w:numPr>
          <w:ilvl w:val="0"/>
          <w:numId w:val="2"/>
        </w:numPr>
        <w:spacing w:line="273" w:lineRule="auto"/>
        <w:jc w:val="left"/>
        <w:rPr>
          <w:rFonts w:hint="eastAsia" w:ascii="宋体" w:hAnsi="宋体"/>
          <w:szCs w:val="21"/>
          <w:u w:val="single"/>
        </w:rPr>
      </w:pPr>
      <w:r>
        <w:rPr>
          <w:rFonts w:ascii="宋体" w:hAnsi="宋体"/>
          <w:szCs w:val="21"/>
          <w:u w:val="single"/>
        </w:rPr>
        <w:t>施工过程中，承包人应当执行发包人确认的设计变更，除非该变更属于结构性重大变动且符合价款调整之规定，否则所有变更均不得作为延长工期的理由。经发包人通知拒不纠正的，发包人有权解除合同；因承包人擅自变更设计所发生的费用及给发包人造成的损失由承包人承担，且工期不予顺延，发包人并有权要求其承担本合同总金额5%的违约金。</w:t>
      </w:r>
    </w:p>
    <w:p w14:paraId="5B41D015">
      <w:pPr>
        <w:numPr>
          <w:ilvl w:val="0"/>
          <w:numId w:val="2"/>
        </w:numPr>
        <w:spacing w:line="273" w:lineRule="auto"/>
        <w:jc w:val="left"/>
        <w:rPr>
          <w:rFonts w:hint="eastAsia" w:ascii="宋体" w:hAnsi="宋体"/>
          <w:szCs w:val="21"/>
          <w:u w:val="single"/>
        </w:rPr>
      </w:pPr>
      <w:r>
        <w:rPr>
          <w:rFonts w:ascii="宋体" w:hAnsi="宋体"/>
          <w:szCs w:val="21"/>
          <w:u w:val="single"/>
        </w:rPr>
        <w:t>私自停工超过7天的构成根本违约，发包人有权解除合同，并要求承包方承担由此产生的全部损失。无论何方原因导致暂停施工，在暂停期间，承包人均应负责保护、保管并保证相应部分工程或者全部工程不致产生任何变质、损失或损害，并对施工现场提供安全保障，否则承担赔偿责任；承包人因此发生的照管费用由责任方承担。承包人不得随意暂停施工，或者以暂停施工向发包人或者监理人施加压力获取不当利益。承包人暂停施工没有法律和合同依据的，应承担因此而造成的损失，且工期不予延长，复工及赶工等费用由承包人承担；若承包人的行为已经构成根本违约，发包人有权解除合同。</w:t>
      </w:r>
    </w:p>
    <w:p w14:paraId="06D88EF2">
      <w:pPr>
        <w:numPr>
          <w:ilvl w:val="0"/>
          <w:numId w:val="2"/>
        </w:numPr>
        <w:spacing w:line="273" w:lineRule="auto"/>
        <w:jc w:val="left"/>
        <w:rPr>
          <w:rFonts w:hint="eastAsia" w:ascii="宋体" w:hAnsi="宋体"/>
          <w:szCs w:val="21"/>
          <w:u w:val="single"/>
        </w:rPr>
      </w:pPr>
      <w:r>
        <w:rPr>
          <w:rFonts w:ascii="宋体" w:hAnsi="宋体"/>
          <w:szCs w:val="21"/>
          <w:u w:val="single"/>
        </w:rPr>
        <w:t>未按照采购文件中要求进行施工或未按照响应文件中约定进行施工，造成实际效果与发包人需求偏离的。</w:t>
      </w:r>
    </w:p>
    <w:p w14:paraId="3CF0A12C">
      <w:pPr>
        <w:numPr>
          <w:ilvl w:val="0"/>
          <w:numId w:val="2"/>
        </w:numPr>
        <w:spacing w:line="273" w:lineRule="auto"/>
        <w:jc w:val="left"/>
        <w:rPr>
          <w:rFonts w:hint="eastAsia" w:ascii="宋体" w:hAnsi="宋体"/>
          <w:szCs w:val="21"/>
          <w:u w:val="single"/>
        </w:rPr>
      </w:pPr>
      <w:r>
        <w:rPr>
          <w:rFonts w:ascii="宋体" w:hAnsi="宋体"/>
          <w:szCs w:val="21"/>
          <w:u w:val="single"/>
        </w:rPr>
        <w:t>合同履约过程中，承包人在任何时候均不得向发包人、监理人或其他相关部门提报虚假资料，经发包人、监理人或其他相关部门确定为虚假资料的，承包人应按照10万元/次的标准承担违约责任，同时还应承担因此给发包人造成的其他损失。</w:t>
      </w:r>
    </w:p>
    <w:p w14:paraId="7663E4DB">
      <w:pPr>
        <w:numPr>
          <w:ilvl w:val="0"/>
          <w:numId w:val="2"/>
        </w:numPr>
        <w:spacing w:line="273" w:lineRule="auto"/>
        <w:jc w:val="left"/>
        <w:rPr>
          <w:rFonts w:hint="eastAsia" w:ascii="宋体" w:hAnsi="宋体"/>
          <w:szCs w:val="21"/>
          <w:u w:val="single"/>
        </w:rPr>
      </w:pPr>
      <w:r>
        <w:rPr>
          <w:rFonts w:ascii="宋体" w:hAnsi="宋体"/>
          <w:b/>
          <w:bCs/>
          <w:szCs w:val="21"/>
          <w:u w:val="single"/>
        </w:rPr>
        <w:t>本合同禁止分包及转包，如承包人将工程转包或分包的，视为严重违约，承包人应限期整改，并视情节严重程度向发包人支付10万元到50万元的违约金；</w:t>
      </w:r>
      <w:r>
        <w:rPr>
          <w:rFonts w:ascii="宋体" w:hAnsi="宋体"/>
          <w:szCs w:val="21"/>
          <w:u w:val="single"/>
        </w:rPr>
        <w:t>承包人未限期整改的，发包人有权没收全额履约保证金并解除合同，承包人向发包人支付签约合同价30%的违约金，并承担由此造成的全部损失。</w:t>
      </w:r>
    </w:p>
    <w:p w14:paraId="714F9786">
      <w:pPr>
        <w:numPr>
          <w:ilvl w:val="0"/>
          <w:numId w:val="2"/>
        </w:numPr>
        <w:spacing w:line="273" w:lineRule="auto"/>
        <w:jc w:val="left"/>
        <w:rPr>
          <w:rFonts w:hint="eastAsia" w:ascii="宋体" w:hAnsi="宋体"/>
          <w:szCs w:val="21"/>
          <w:u w:val="single"/>
        </w:rPr>
      </w:pPr>
      <w:r>
        <w:rPr>
          <w:rFonts w:ascii="宋体" w:hAnsi="宋体"/>
          <w:szCs w:val="21"/>
          <w:u w:val="single"/>
        </w:rPr>
        <w:t>因承包人原因造成的安全事故，由承包人负责处理善后工作并承担由此引起的全部费用。若承包人不能及时解决，发包人有权从应付款项中扣除相应的赔、补偿款项并直接支付给事故受害方，承包人不得持任何异议。发生一般安全事故罚款10万元/次，重大安全事故发包人有权解除合同并追偿损失。</w:t>
      </w:r>
    </w:p>
    <w:p w14:paraId="1574D429">
      <w:pPr>
        <w:numPr>
          <w:ilvl w:val="0"/>
          <w:numId w:val="2"/>
        </w:numPr>
        <w:spacing w:line="273" w:lineRule="auto"/>
        <w:jc w:val="left"/>
        <w:rPr>
          <w:rFonts w:hint="eastAsia" w:ascii="宋体" w:hAnsi="宋体"/>
          <w:szCs w:val="21"/>
          <w:u w:val="single"/>
        </w:rPr>
      </w:pPr>
      <w:r>
        <w:rPr>
          <w:rFonts w:ascii="宋体" w:hAnsi="宋体"/>
          <w:szCs w:val="21"/>
          <w:u w:val="single"/>
        </w:rPr>
        <w:t>承包人在工程竣工验收后10日内未能将所有的工程设备、多余材料、垃圾、临时设施拆除并清运完毕，则每逾期一天按1000元向发包人支付违约金。</w:t>
      </w:r>
    </w:p>
    <w:p w14:paraId="3DFBF2B3">
      <w:pPr>
        <w:numPr>
          <w:ilvl w:val="0"/>
          <w:numId w:val="2"/>
        </w:numPr>
        <w:spacing w:line="273" w:lineRule="auto"/>
        <w:jc w:val="left"/>
        <w:rPr>
          <w:rFonts w:hint="eastAsia" w:ascii="宋体" w:hAnsi="宋体"/>
          <w:szCs w:val="21"/>
          <w:u w:val="single"/>
        </w:rPr>
      </w:pPr>
      <w:r>
        <w:rPr>
          <w:rFonts w:ascii="宋体" w:hAnsi="宋体"/>
          <w:szCs w:val="21"/>
          <w:u w:val="single"/>
        </w:rPr>
        <w:t>承包人不得因与发包人的索赔问题、工程款结算问题，以及承包人与其他单位或个人的纠纷，或者其他任何理由拒绝按照本合同约定退场，影响发包人对工程的接受和运营。</w:t>
      </w:r>
    </w:p>
    <w:p w14:paraId="059A93A6">
      <w:pPr>
        <w:numPr>
          <w:ilvl w:val="0"/>
          <w:numId w:val="2"/>
        </w:numPr>
        <w:spacing w:line="273" w:lineRule="auto"/>
        <w:jc w:val="left"/>
        <w:rPr>
          <w:rFonts w:hint="eastAsia" w:ascii="宋体" w:hAnsi="宋体"/>
          <w:szCs w:val="21"/>
          <w:u w:val="single"/>
        </w:rPr>
      </w:pPr>
      <w:r>
        <w:rPr>
          <w:rFonts w:ascii="宋体" w:hAnsi="宋体"/>
          <w:szCs w:val="21"/>
          <w:u w:val="single"/>
        </w:rPr>
        <w:t>承包人因安全生产、文明施工、劳动保护、环境保护、廉政责任等而受到行政处罚的，责任和损失由承包人承担，工期不予顺延，发包人有权按上述罚款、罚金等额对承包人课以违约金，性质及情节严重时发包人有权解除合同。</w:t>
      </w:r>
    </w:p>
    <w:p w14:paraId="161EF9E2">
      <w:pPr>
        <w:numPr>
          <w:ilvl w:val="0"/>
          <w:numId w:val="2"/>
        </w:numPr>
        <w:spacing w:line="273" w:lineRule="auto"/>
        <w:jc w:val="left"/>
        <w:rPr>
          <w:rFonts w:hint="eastAsia" w:ascii="宋体" w:hAnsi="宋体"/>
          <w:szCs w:val="21"/>
          <w:u w:val="single"/>
        </w:rPr>
      </w:pPr>
      <w:r>
        <w:rPr>
          <w:rFonts w:ascii="宋体" w:hAnsi="宋体"/>
          <w:szCs w:val="21"/>
          <w:u w:val="single"/>
        </w:rPr>
        <w:t>按照《河南省安全文明工地评审办法》标准组织施工，并且须符合甲方有关要求。</w:t>
      </w:r>
    </w:p>
    <w:p w14:paraId="3D651DE1">
      <w:pPr>
        <w:numPr>
          <w:ilvl w:val="0"/>
          <w:numId w:val="2"/>
        </w:numPr>
        <w:spacing w:line="273" w:lineRule="auto"/>
        <w:jc w:val="left"/>
        <w:rPr>
          <w:rFonts w:hint="eastAsia" w:ascii="宋体" w:hAnsi="宋体"/>
          <w:szCs w:val="21"/>
          <w:u w:val="single"/>
        </w:rPr>
      </w:pPr>
      <w:r>
        <w:rPr>
          <w:rFonts w:ascii="宋体" w:hAnsi="宋体"/>
          <w:szCs w:val="21"/>
          <w:u w:val="single"/>
        </w:rPr>
        <w:t>在合同履行中，如发生农民工堵门、严重治安案件等不稳定事件，承包人按照事件涉及金额及发包人相关损失金额的两倍向发包人支付违约金，该违约金承包人可直接从维稳保证金中扣除，不足部分从应付的工程款中扣除。</w:t>
      </w:r>
    </w:p>
    <w:p w14:paraId="6B382537">
      <w:pPr>
        <w:numPr>
          <w:ilvl w:val="0"/>
          <w:numId w:val="2"/>
        </w:numPr>
        <w:spacing w:line="273" w:lineRule="auto"/>
        <w:jc w:val="left"/>
        <w:rPr>
          <w:rFonts w:hint="eastAsia" w:ascii="宋体" w:hAnsi="宋体"/>
          <w:szCs w:val="21"/>
          <w:u w:val="single"/>
        </w:rPr>
      </w:pPr>
      <w:r>
        <w:rPr>
          <w:rFonts w:ascii="宋体" w:hAnsi="宋体"/>
          <w:szCs w:val="21"/>
          <w:u w:val="single"/>
        </w:rPr>
        <w:t>因承包人原因未能按期竣工，承包人每延误一天，发包人先行扣除承包人5000元的工期违约金；如超过10个日历天仍不能竣工的，发包人有权随时与承包人解除本合同，有权拒绝支付剩余工程款，并勒令其退场，同时扣除全部履约保证金，且有权要求承包人按照本合同总金额30%承担违约金，并赔偿由此对发包人造成的全部损失。发包人并有权另行委托其他承包人完成本承包人未完成的工程。另行委托所需要的费用以及发包人由此而增加的开支经发包人确认后全部由本承包人承担。延期的工期计算以发包人和监理人书面确认的工期时间为准。</w:t>
      </w:r>
    </w:p>
    <w:p w14:paraId="63F89F12">
      <w:pPr>
        <w:numPr>
          <w:ilvl w:val="0"/>
          <w:numId w:val="2"/>
        </w:numPr>
        <w:spacing w:line="273" w:lineRule="auto"/>
        <w:jc w:val="left"/>
        <w:rPr>
          <w:rFonts w:hint="eastAsia" w:ascii="宋体" w:hAnsi="宋体"/>
          <w:szCs w:val="21"/>
          <w:u w:val="single"/>
        </w:rPr>
      </w:pPr>
      <w:r>
        <w:rPr>
          <w:rFonts w:ascii="宋体" w:hAnsi="宋体"/>
          <w:szCs w:val="21"/>
          <w:u w:val="single"/>
        </w:rPr>
        <w:t>发包人根据本合同约定或法律规定终止或解除本合同的，除本合同另有约定外，还有权要求承包人承担合同总金额</w:t>
      </w:r>
      <w:r>
        <w:rPr>
          <w:rFonts w:ascii="Calibri" w:hAnsi="Calibri" w:cs="Calibri"/>
          <w:szCs w:val="21"/>
          <w:u w:val="single"/>
        </w:rPr>
        <w:t>10%</w:t>
      </w:r>
      <w:r>
        <w:rPr>
          <w:rFonts w:ascii="宋体" w:hAnsi="宋体"/>
          <w:szCs w:val="21"/>
          <w:u w:val="single"/>
        </w:rPr>
        <w:t>的违约金，同时应立即退场，并赔偿由此对发包人造成的全部损失，承包人应无条件立即退场。</w:t>
      </w:r>
    </w:p>
    <w:p w14:paraId="53FB6B8D">
      <w:pPr>
        <w:numPr>
          <w:ilvl w:val="0"/>
          <w:numId w:val="2"/>
        </w:numPr>
        <w:spacing w:line="273" w:lineRule="auto"/>
        <w:jc w:val="left"/>
        <w:rPr>
          <w:rFonts w:ascii="Calibri" w:hAnsi="Calibri"/>
          <w:szCs w:val="21"/>
        </w:rPr>
      </w:pPr>
      <w:r>
        <w:rPr>
          <w:rFonts w:ascii="宋体" w:hAnsi="宋体"/>
          <w:szCs w:val="21"/>
          <w:u w:val="single"/>
        </w:rPr>
        <w:t>承包人因违反本合同约定应当向发包人支付违约金或罚款等款项的，发包人有权从应当支付给承包人的工程款等款项中直接扣除。违约金不足以弥补发包人损失（包括但不限于诉讼费、保全费、保全保险费、律师费等）的，承包人还应进行赔偿。</w:t>
      </w:r>
    </w:p>
    <w:p w14:paraId="6F59DD48">
      <w:pPr>
        <w:spacing w:line="273" w:lineRule="auto"/>
        <w:ind w:firstLine="420" w:firstLineChars="200"/>
        <w:jc w:val="left"/>
        <w:outlineLvl w:val="2"/>
        <w:rPr>
          <w:rFonts w:hint="eastAsia" w:ascii="宋体" w:hAnsi="宋体"/>
          <w:kern w:val="0"/>
          <w:szCs w:val="21"/>
        </w:rPr>
      </w:pPr>
      <w:r>
        <w:rPr>
          <w:rFonts w:ascii="宋体" w:hAnsi="宋体"/>
          <w:kern w:val="0"/>
          <w:szCs w:val="21"/>
        </w:rPr>
        <w:t>16.2.2承包人违约的责任</w:t>
      </w:r>
    </w:p>
    <w:p w14:paraId="658B03EC">
      <w:pPr>
        <w:spacing w:line="273" w:lineRule="auto"/>
        <w:ind w:firstLine="420" w:firstLineChars="200"/>
        <w:jc w:val="left"/>
        <w:rPr>
          <w:rFonts w:hint="eastAsia" w:ascii="宋体" w:hAnsi="宋体"/>
          <w:kern w:val="0"/>
          <w:szCs w:val="21"/>
          <w:u w:val="single"/>
        </w:rPr>
      </w:pPr>
      <w:r>
        <w:rPr>
          <w:rFonts w:ascii="宋体" w:hAnsi="宋体"/>
          <w:kern w:val="0"/>
          <w:szCs w:val="21"/>
        </w:rPr>
        <w:t>承包人违约责任的承担方式和计算方法：</w:t>
      </w:r>
      <w:r>
        <w:rPr>
          <w:rFonts w:ascii="宋体" w:hAnsi="宋体"/>
          <w:kern w:val="0"/>
          <w:szCs w:val="21"/>
          <w:u w:val="single"/>
        </w:rPr>
        <w:t xml:space="preserve">  </w:t>
      </w:r>
      <w:r>
        <w:rPr>
          <w:rFonts w:ascii="宋体" w:hAnsi="宋体"/>
          <w:szCs w:val="21"/>
          <w:u w:val="single"/>
        </w:rPr>
        <w:t xml:space="preserve">按通用合同条款16.2.2条执行，如本合同专用合同条款中有专门约定的，按约定执行。   </w:t>
      </w:r>
      <w:r>
        <w:rPr>
          <w:rFonts w:ascii="宋体" w:hAnsi="宋体"/>
          <w:szCs w:val="21"/>
        </w:rPr>
        <w:t xml:space="preserve"> </w:t>
      </w:r>
    </w:p>
    <w:p w14:paraId="21225CD0">
      <w:pPr>
        <w:spacing w:line="273" w:lineRule="auto"/>
        <w:ind w:firstLine="420" w:firstLineChars="200"/>
        <w:jc w:val="left"/>
        <w:outlineLvl w:val="2"/>
        <w:rPr>
          <w:rFonts w:hint="eastAsia" w:ascii="宋体" w:hAnsi="宋体"/>
          <w:szCs w:val="21"/>
        </w:rPr>
      </w:pPr>
      <w:r>
        <w:rPr>
          <w:rFonts w:ascii="宋体" w:hAnsi="宋体"/>
          <w:szCs w:val="21"/>
        </w:rPr>
        <w:t>16.2.3 因承包人违约解除合同</w:t>
      </w:r>
    </w:p>
    <w:p w14:paraId="3E4F5681">
      <w:pPr>
        <w:spacing w:line="273" w:lineRule="auto"/>
        <w:ind w:firstLine="420" w:firstLineChars="200"/>
        <w:rPr>
          <w:rFonts w:hint="eastAsia" w:ascii="宋体" w:hAnsi="宋体"/>
          <w:kern w:val="0"/>
          <w:szCs w:val="21"/>
        </w:rPr>
      </w:pPr>
      <w:r>
        <w:rPr>
          <w:rFonts w:ascii="宋体" w:hAnsi="宋体"/>
          <w:kern w:val="0"/>
          <w:szCs w:val="21"/>
        </w:rPr>
        <w:t xml:space="preserve">关于承包人违约解除合同的特别约定： </w:t>
      </w:r>
      <w:r>
        <w:rPr>
          <w:rFonts w:ascii="宋体" w:hAnsi="宋体"/>
          <w:kern w:val="0"/>
          <w:szCs w:val="21"/>
          <w:u w:val="single"/>
        </w:rPr>
        <w:t>按通用合同条款16.2.3条执行。</w:t>
      </w:r>
    </w:p>
    <w:p w14:paraId="04B65C86">
      <w:pPr>
        <w:spacing w:line="273" w:lineRule="auto"/>
        <w:ind w:firstLine="420" w:firstLineChars="200"/>
        <w:rPr>
          <w:rFonts w:hint="eastAsia" w:ascii="宋体" w:hAnsi="宋体"/>
          <w:kern w:val="0"/>
          <w:szCs w:val="21"/>
        </w:rPr>
      </w:pPr>
      <w:r>
        <w:rPr>
          <w:rFonts w:ascii="宋体" w:hAnsi="宋体"/>
          <w:kern w:val="0"/>
          <w:szCs w:val="21"/>
        </w:rPr>
        <w:t>发包人继续使用承包人在施工现场的材料、设备、临时工程、承包人文件和由承包人或以其名义编制的其他文件的费用承担方式：</w:t>
      </w:r>
      <w:r>
        <w:rPr>
          <w:rFonts w:ascii="宋体" w:hAnsi="宋体"/>
          <w:kern w:val="0"/>
          <w:szCs w:val="21"/>
          <w:u w:val="single"/>
        </w:rPr>
        <w:t xml:space="preserve">  免费。</w:t>
      </w:r>
    </w:p>
    <w:p w14:paraId="630822FF">
      <w:pPr>
        <w:spacing w:line="273" w:lineRule="auto"/>
        <w:outlineLvl w:val="0"/>
        <w:rPr>
          <w:rFonts w:hint="eastAsia" w:ascii="黑体" w:hAnsi="宋体" w:eastAsia="黑体"/>
          <w:b/>
          <w:bCs/>
          <w:szCs w:val="21"/>
        </w:rPr>
      </w:pPr>
      <w:r>
        <w:rPr>
          <w:rFonts w:ascii="黑体" w:hAnsi="宋体" w:eastAsia="黑体"/>
          <w:b/>
          <w:bCs/>
          <w:szCs w:val="21"/>
        </w:rPr>
        <w:t xml:space="preserve">17. 不可抗力 </w:t>
      </w:r>
    </w:p>
    <w:p w14:paraId="4A3371D2">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17.1 不可抗力的确认</w:t>
      </w:r>
    </w:p>
    <w:p w14:paraId="32A24F52">
      <w:pPr>
        <w:spacing w:line="273" w:lineRule="auto"/>
        <w:ind w:firstLine="420" w:firstLineChars="200"/>
        <w:rPr>
          <w:rFonts w:hint="eastAsia" w:ascii="宋体" w:hAnsi="宋体"/>
          <w:kern w:val="0"/>
          <w:szCs w:val="21"/>
          <w:u w:val="single"/>
        </w:rPr>
      </w:pPr>
      <w:r>
        <w:rPr>
          <w:rFonts w:ascii="宋体" w:hAnsi="宋体"/>
          <w:szCs w:val="21"/>
        </w:rPr>
        <w:t>除通用合同条款约定的不可抗力事件之外，视为不可抗力的其他情形</w:t>
      </w:r>
      <w:r>
        <w:rPr>
          <w:rFonts w:ascii="宋体" w:hAnsi="宋体"/>
          <w:szCs w:val="21"/>
          <w:u w:val="single"/>
        </w:rPr>
        <w:t>/。</w:t>
      </w:r>
    </w:p>
    <w:p w14:paraId="17C9C1F3">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17.4 因不可抗力解除合同</w:t>
      </w:r>
    </w:p>
    <w:p w14:paraId="322253DB">
      <w:pPr>
        <w:spacing w:line="273" w:lineRule="auto"/>
        <w:ind w:firstLine="420" w:firstLineChars="200"/>
        <w:jc w:val="left"/>
        <w:rPr>
          <w:rFonts w:hint="eastAsia" w:ascii="宋体" w:hAnsi="宋体"/>
          <w:szCs w:val="21"/>
        </w:rPr>
      </w:pPr>
      <w:r>
        <w:rPr>
          <w:rFonts w:ascii="宋体" w:hAnsi="宋体"/>
          <w:szCs w:val="21"/>
        </w:rPr>
        <w:t>合同解除后，发包人应在商定或确定发包人应支付款项后</w:t>
      </w:r>
      <w:r>
        <w:rPr>
          <w:rFonts w:ascii="宋体" w:hAnsi="宋体"/>
          <w:b/>
          <w:bCs/>
          <w:szCs w:val="21"/>
          <w:u w:val="single"/>
        </w:rPr>
        <w:t xml:space="preserve"> 30 </w:t>
      </w:r>
      <w:r>
        <w:rPr>
          <w:rFonts w:ascii="宋体" w:hAnsi="宋体"/>
          <w:szCs w:val="21"/>
        </w:rPr>
        <w:t>天内完成款项的支付。</w:t>
      </w:r>
    </w:p>
    <w:p w14:paraId="69F7C475">
      <w:pPr>
        <w:spacing w:line="273" w:lineRule="auto"/>
        <w:outlineLvl w:val="0"/>
        <w:rPr>
          <w:rFonts w:hint="eastAsia" w:ascii="黑体" w:hAnsi="宋体" w:eastAsia="黑体"/>
          <w:b/>
          <w:bCs/>
          <w:szCs w:val="21"/>
        </w:rPr>
      </w:pPr>
      <w:r>
        <w:rPr>
          <w:rFonts w:ascii="黑体" w:hAnsi="宋体" w:eastAsia="黑体"/>
          <w:b/>
          <w:bCs/>
          <w:szCs w:val="21"/>
        </w:rPr>
        <w:t>18. 保险</w:t>
      </w:r>
    </w:p>
    <w:p w14:paraId="6138BCC8">
      <w:pPr>
        <w:spacing w:after="120" w:line="273" w:lineRule="auto"/>
        <w:ind w:firstLine="422" w:firstLineChars="200"/>
        <w:outlineLvl w:val="1"/>
        <w:rPr>
          <w:rFonts w:hint="eastAsia" w:ascii="黑体" w:hAnsi="宋体" w:eastAsia="黑体"/>
          <w:b/>
          <w:bCs/>
          <w:szCs w:val="21"/>
        </w:rPr>
      </w:pPr>
      <w:r>
        <w:rPr>
          <w:rFonts w:ascii="黑体" w:hAnsi="宋体" w:eastAsia="黑体"/>
          <w:b/>
          <w:bCs/>
          <w:szCs w:val="21"/>
        </w:rPr>
        <w:t>18.1 工程保险</w:t>
      </w:r>
    </w:p>
    <w:p w14:paraId="58AF1D4C">
      <w:pPr>
        <w:spacing w:line="273" w:lineRule="auto"/>
        <w:ind w:firstLine="420" w:firstLineChars="200"/>
        <w:jc w:val="left"/>
        <w:rPr>
          <w:rFonts w:hint="eastAsia" w:ascii="宋体" w:hAnsi="宋体"/>
          <w:szCs w:val="21"/>
        </w:rPr>
      </w:pPr>
      <w:r>
        <w:rPr>
          <w:rFonts w:ascii="宋体" w:hAnsi="宋体"/>
          <w:szCs w:val="21"/>
        </w:rPr>
        <w:t xml:space="preserve">关于工程保险的特别约定：    </w:t>
      </w:r>
    </w:p>
    <w:p w14:paraId="5103C1E1">
      <w:pPr>
        <w:numPr>
          <w:ilvl w:val="0"/>
          <w:numId w:val="3"/>
        </w:numPr>
        <w:spacing w:line="273" w:lineRule="auto"/>
        <w:ind w:firstLine="384" w:firstLineChars="200"/>
        <w:jc w:val="left"/>
        <w:outlineLvl w:val="1"/>
        <w:rPr>
          <w:rFonts w:hint="eastAsia" w:ascii="宋体" w:hAnsi="宋体"/>
          <w:spacing w:val="-9"/>
          <w:szCs w:val="21"/>
          <w:u w:val="single"/>
        </w:rPr>
      </w:pPr>
      <w:r>
        <w:rPr>
          <w:rFonts w:ascii="宋体" w:hAnsi="宋体"/>
          <w:spacing w:val="-9"/>
          <w:szCs w:val="21"/>
          <w:u w:val="single"/>
        </w:rPr>
        <w:t>承包人应以发包人和承包人的共同名义向双方同意的保险人投保建筑工程一切险、安装工程等一切险，保险费由承包人全部承担并支付，其具体的投保内容、保险金额、保险费率、保险期限等有关内容按国家及河南省相关规定执行。 （2)承包人应依照有关法律规定参加工伤保险，为其履行合同所雇佣的全部人员，缴纳工伤保险。(3)承包人应在整个施工期间为其现场机构雇佣的全部人员，投保人身意外伤害险，缴纳保险费。(4)在缺陷责任期终止证书颁发前，承包人应以承包人和发包人的共同名义投保第三者责任险，保险费由承包人全部承担并支付，其保险费率、保险金额等有关内容按国家规定执行。(5)由于负有本合同约定投保义务的一方当事人未按合同约定办理某项保险，导致受益人未能得到保险人的赔偿，原应从该项保险得到的保险金应由本合同约定负有投保义务的一方当事人支付。(6)因施工引起的各类安全事故的全部责任和费用由承包人承担。</w:t>
      </w:r>
    </w:p>
    <w:p w14:paraId="1831A357">
      <w:pPr>
        <w:numPr>
          <w:ilvl w:val="0"/>
          <w:numId w:val="3"/>
        </w:numPr>
        <w:spacing w:line="273" w:lineRule="auto"/>
        <w:ind w:firstLine="422" w:firstLineChars="200"/>
        <w:jc w:val="left"/>
        <w:outlineLvl w:val="1"/>
        <w:rPr>
          <w:rFonts w:hint="eastAsia" w:ascii="黑体" w:hAnsi="宋体" w:eastAsia="黑体"/>
          <w:b/>
          <w:bCs/>
          <w:szCs w:val="21"/>
        </w:rPr>
      </w:pPr>
      <w:r>
        <w:rPr>
          <w:rFonts w:ascii="黑体" w:hAnsi="宋体" w:eastAsia="黑体"/>
          <w:b/>
          <w:bCs/>
          <w:szCs w:val="21"/>
        </w:rPr>
        <w:t>18.3 其他保险</w:t>
      </w:r>
    </w:p>
    <w:p w14:paraId="435408D6">
      <w:pPr>
        <w:spacing w:line="273" w:lineRule="auto"/>
        <w:ind w:firstLine="420" w:firstLineChars="200"/>
        <w:jc w:val="left"/>
        <w:rPr>
          <w:rFonts w:hint="eastAsia" w:ascii="宋体" w:hAnsi="宋体"/>
          <w:kern w:val="0"/>
          <w:szCs w:val="21"/>
        </w:rPr>
      </w:pPr>
      <w:r>
        <w:rPr>
          <w:rFonts w:ascii="宋体" w:hAnsi="宋体"/>
          <w:szCs w:val="21"/>
        </w:rPr>
        <w:t>关于其他保险的约定：</w:t>
      </w:r>
      <w:r>
        <w:rPr>
          <w:rFonts w:ascii="宋体" w:hAnsi="宋体"/>
          <w:kern w:val="0"/>
          <w:szCs w:val="21"/>
          <w:u w:val="single"/>
        </w:rPr>
        <w:t>承包人应为其施工现场的全部人员办理意外伤害保险并支付保险费，包括其员工及为履行合同聘请的第三方的人员。自身的财产及施工现场内的自身员工的人员伤害及财产，从事危险作业员工的意外伤害，均由承包人负责其费用</w:t>
      </w:r>
      <w:r>
        <w:rPr>
          <w:rFonts w:ascii="宋体" w:hAnsi="宋体"/>
          <w:szCs w:val="21"/>
          <w:u w:val="single"/>
        </w:rPr>
        <w:t>。</w:t>
      </w:r>
    </w:p>
    <w:p w14:paraId="09E3D77B">
      <w:pPr>
        <w:spacing w:line="273" w:lineRule="auto"/>
        <w:ind w:firstLine="420" w:firstLineChars="200"/>
        <w:jc w:val="left"/>
        <w:rPr>
          <w:rFonts w:hint="eastAsia" w:ascii="宋体" w:hAnsi="宋体"/>
          <w:szCs w:val="21"/>
          <w:u w:val="single"/>
        </w:rPr>
      </w:pPr>
      <w:r>
        <w:rPr>
          <w:rFonts w:ascii="宋体" w:hAnsi="宋体"/>
          <w:szCs w:val="21"/>
        </w:rPr>
        <w:t>承包人是否应为其施工设备等办理财产保险：</w:t>
      </w:r>
      <w:r>
        <w:rPr>
          <w:rFonts w:ascii="宋体" w:hAnsi="宋体"/>
          <w:szCs w:val="21"/>
          <w:u w:val="single"/>
        </w:rPr>
        <w:t>是。</w:t>
      </w:r>
    </w:p>
    <w:p w14:paraId="04CE4614">
      <w:pPr>
        <w:spacing w:line="273" w:lineRule="auto"/>
        <w:ind w:firstLine="422" w:firstLineChars="200"/>
        <w:jc w:val="left"/>
        <w:outlineLvl w:val="1"/>
        <w:rPr>
          <w:rFonts w:hint="eastAsia" w:ascii="黑体" w:hAnsi="宋体" w:eastAsia="黑体"/>
          <w:b/>
          <w:bCs/>
          <w:szCs w:val="21"/>
        </w:rPr>
      </w:pPr>
      <w:r>
        <w:rPr>
          <w:rFonts w:ascii="黑体" w:hAnsi="宋体" w:eastAsia="黑体"/>
          <w:b/>
          <w:bCs/>
          <w:szCs w:val="21"/>
        </w:rPr>
        <w:t>18.7 通知义务</w:t>
      </w:r>
    </w:p>
    <w:p w14:paraId="7863302C">
      <w:pPr>
        <w:spacing w:line="273" w:lineRule="auto"/>
        <w:ind w:firstLine="420" w:firstLineChars="200"/>
        <w:jc w:val="left"/>
        <w:rPr>
          <w:rFonts w:hint="eastAsia" w:ascii="宋体" w:hAnsi="宋体"/>
          <w:szCs w:val="21"/>
        </w:rPr>
      </w:pPr>
      <w:r>
        <w:rPr>
          <w:rFonts w:ascii="宋体" w:hAnsi="宋体"/>
          <w:kern w:val="0"/>
          <w:szCs w:val="21"/>
        </w:rPr>
        <w:t>关于变更保险合同时的通知义务的约定：</w:t>
      </w:r>
      <w:r>
        <w:rPr>
          <w:rFonts w:ascii="宋体" w:hAnsi="宋体"/>
          <w:szCs w:val="21"/>
          <w:u w:val="single"/>
        </w:rPr>
        <w:t xml:space="preserve">  承包人变更除工伤保险之外的保险合同时，应事先征得发包人同意，并通知监理人</w:t>
      </w:r>
      <w:r>
        <w:rPr>
          <w:rFonts w:ascii="宋体" w:hAnsi="宋体"/>
          <w:szCs w:val="21"/>
        </w:rPr>
        <w:t>。</w:t>
      </w:r>
    </w:p>
    <w:p w14:paraId="103C100F">
      <w:pPr>
        <w:spacing w:line="273" w:lineRule="auto"/>
        <w:outlineLvl w:val="0"/>
        <w:rPr>
          <w:rFonts w:hint="eastAsia" w:ascii="黑体" w:hAnsi="宋体" w:eastAsia="黑体"/>
          <w:b/>
          <w:bCs/>
          <w:szCs w:val="21"/>
        </w:rPr>
      </w:pPr>
      <w:r>
        <w:rPr>
          <w:rFonts w:ascii="黑体" w:hAnsi="宋体" w:eastAsia="黑体"/>
          <w:b/>
          <w:bCs/>
          <w:szCs w:val="21"/>
        </w:rPr>
        <w:t>20. 争议解决</w:t>
      </w:r>
    </w:p>
    <w:p w14:paraId="6B40BD87">
      <w:pPr>
        <w:spacing w:line="273" w:lineRule="auto"/>
        <w:ind w:firstLine="422" w:firstLineChars="200"/>
        <w:jc w:val="left"/>
        <w:outlineLvl w:val="1"/>
        <w:rPr>
          <w:rFonts w:hint="eastAsia" w:ascii="黑体" w:hAnsi="宋体" w:eastAsia="黑体"/>
          <w:b/>
          <w:bCs/>
          <w:kern w:val="0"/>
          <w:szCs w:val="21"/>
        </w:rPr>
      </w:pPr>
      <w:r>
        <w:rPr>
          <w:rFonts w:ascii="黑体" w:hAnsi="宋体" w:eastAsia="黑体"/>
          <w:b/>
          <w:bCs/>
          <w:kern w:val="0"/>
          <w:szCs w:val="21"/>
        </w:rPr>
        <w:t>20.</w:t>
      </w:r>
      <w:r>
        <w:rPr>
          <w:rFonts w:ascii="黑体" w:hAnsi="黑体" w:eastAsia="黑体"/>
          <w:b/>
          <w:bCs/>
          <w:kern w:val="0"/>
          <w:szCs w:val="21"/>
        </w:rPr>
        <w:t>3</w:t>
      </w:r>
      <w:r>
        <w:rPr>
          <w:rFonts w:ascii="黑体" w:hAnsi="宋体" w:eastAsia="黑体"/>
          <w:b/>
          <w:bCs/>
          <w:kern w:val="0"/>
          <w:szCs w:val="21"/>
        </w:rPr>
        <w:t xml:space="preserve"> </w:t>
      </w:r>
      <w:r>
        <w:rPr>
          <w:rFonts w:ascii="黑体" w:hAnsi="黑体" w:eastAsia="黑体"/>
          <w:b/>
          <w:bCs/>
          <w:kern w:val="0"/>
          <w:szCs w:val="21"/>
        </w:rPr>
        <w:t>争议评审</w:t>
      </w:r>
    </w:p>
    <w:p w14:paraId="2DB3D915">
      <w:pPr>
        <w:spacing w:line="273" w:lineRule="auto"/>
        <w:ind w:firstLine="420" w:firstLineChars="200"/>
        <w:jc w:val="left"/>
        <w:rPr>
          <w:rFonts w:ascii="Calibri" w:hAnsi="Calibri"/>
          <w:szCs w:val="21"/>
        </w:rPr>
      </w:pPr>
      <w:r>
        <w:rPr>
          <w:rFonts w:ascii="宋体" w:hAnsi="宋体"/>
          <w:kern w:val="0"/>
          <w:szCs w:val="21"/>
        </w:rPr>
        <w:t>合同当事人是否同意将工程争议提交争议评审小组决定：</w:t>
      </w:r>
      <w:r>
        <w:rPr>
          <w:rFonts w:ascii="Calibri" w:hAnsi="Calibri"/>
          <w:kern w:val="0"/>
          <w:szCs w:val="21"/>
          <w:u w:val="single"/>
        </w:rPr>
        <w:t xml:space="preserve"> </w:t>
      </w:r>
      <w:r>
        <w:rPr>
          <w:rFonts w:ascii="宋体" w:hAnsi="宋体"/>
          <w:kern w:val="0"/>
          <w:szCs w:val="21"/>
          <w:u w:val="single"/>
        </w:rPr>
        <w:t>不同意</w:t>
      </w:r>
      <w:r>
        <w:rPr>
          <w:rFonts w:ascii="Calibri" w:hAnsi="Calibri"/>
          <w:kern w:val="0"/>
          <w:szCs w:val="21"/>
          <w:u w:val="single"/>
        </w:rPr>
        <w:t xml:space="preserve">   </w:t>
      </w:r>
      <w:r>
        <w:rPr>
          <w:rFonts w:ascii="Calibri" w:hAnsi="Calibri"/>
          <w:kern w:val="0"/>
          <w:szCs w:val="21"/>
        </w:rPr>
        <w:t xml:space="preserve"> </w:t>
      </w:r>
    </w:p>
    <w:p w14:paraId="679BC9FA">
      <w:pPr>
        <w:spacing w:line="273" w:lineRule="auto"/>
        <w:ind w:firstLine="422" w:firstLineChars="200"/>
        <w:outlineLvl w:val="1"/>
        <w:rPr>
          <w:rFonts w:hint="eastAsia" w:ascii="黑体" w:hAnsi="宋体" w:eastAsia="黑体"/>
          <w:b/>
          <w:bCs/>
          <w:szCs w:val="21"/>
        </w:rPr>
      </w:pPr>
      <w:r>
        <w:rPr>
          <w:rFonts w:ascii="黑体" w:hAnsi="宋体" w:eastAsia="黑体"/>
          <w:b/>
          <w:bCs/>
          <w:szCs w:val="21"/>
        </w:rPr>
        <w:t>20.4仲裁或诉讼</w:t>
      </w:r>
    </w:p>
    <w:p w14:paraId="5EA0635F">
      <w:pPr>
        <w:spacing w:after="120" w:line="273" w:lineRule="auto"/>
        <w:ind w:firstLine="420" w:firstLineChars="200"/>
        <w:rPr>
          <w:rFonts w:hint="eastAsia" w:ascii="宋体" w:hAnsi="宋体"/>
          <w:szCs w:val="21"/>
        </w:rPr>
      </w:pPr>
      <w:r>
        <w:rPr>
          <w:rFonts w:ascii="宋体" w:hAnsi="宋体"/>
          <w:szCs w:val="21"/>
        </w:rPr>
        <w:t>因合同及合同有关事项发生的争议，按下列第</w:t>
      </w:r>
      <w:r>
        <w:rPr>
          <w:rFonts w:ascii="宋体" w:hAnsi="宋体"/>
          <w:szCs w:val="21"/>
          <w:u w:val="single"/>
        </w:rPr>
        <w:t xml:space="preserve">  2   </w:t>
      </w:r>
      <w:r>
        <w:rPr>
          <w:rFonts w:ascii="宋体" w:hAnsi="宋体"/>
          <w:szCs w:val="21"/>
        </w:rPr>
        <w:t>种方式解决：</w:t>
      </w:r>
    </w:p>
    <w:p w14:paraId="4A110E66">
      <w:pPr>
        <w:spacing w:line="273" w:lineRule="auto"/>
        <w:ind w:firstLine="420" w:firstLineChars="200"/>
        <w:jc w:val="left"/>
        <w:rPr>
          <w:rFonts w:hint="eastAsia" w:ascii="宋体" w:hAnsi="宋体"/>
          <w:szCs w:val="21"/>
        </w:rPr>
      </w:pPr>
      <w:r>
        <w:rPr>
          <w:rFonts w:ascii="宋体" w:hAnsi="宋体"/>
          <w:szCs w:val="21"/>
        </w:rPr>
        <w:t>（1）向</w:t>
      </w:r>
      <w:r>
        <w:rPr>
          <w:rFonts w:ascii="宋体" w:hAnsi="宋体"/>
          <w:szCs w:val="21"/>
          <w:u w:val="single"/>
        </w:rPr>
        <w:t xml:space="preserve">  项目所在地   </w:t>
      </w:r>
      <w:r>
        <w:rPr>
          <w:rFonts w:ascii="宋体" w:hAnsi="宋体"/>
          <w:szCs w:val="21"/>
        </w:rPr>
        <w:t>仲裁委员会申请仲裁；</w:t>
      </w:r>
    </w:p>
    <w:p w14:paraId="0B62458F">
      <w:pPr>
        <w:spacing w:line="273" w:lineRule="auto"/>
        <w:ind w:firstLine="420" w:firstLineChars="200"/>
        <w:jc w:val="left"/>
        <w:rPr>
          <w:rFonts w:hint="eastAsia" w:ascii="宋体" w:hAnsi="宋体"/>
          <w:szCs w:val="21"/>
        </w:rPr>
      </w:pPr>
      <w:r>
        <w:rPr>
          <w:rFonts w:ascii="宋体" w:hAnsi="宋体"/>
          <w:szCs w:val="21"/>
        </w:rPr>
        <w:t>（2）向</w:t>
      </w:r>
      <w:r>
        <w:rPr>
          <w:rFonts w:ascii="宋体" w:hAnsi="宋体"/>
          <w:szCs w:val="21"/>
          <w:u w:val="single"/>
        </w:rPr>
        <w:t xml:space="preserve">  项目所在地     </w:t>
      </w:r>
      <w:r>
        <w:rPr>
          <w:rFonts w:ascii="宋体" w:hAnsi="宋体"/>
          <w:szCs w:val="21"/>
        </w:rPr>
        <w:t>人民法院起诉。</w:t>
      </w:r>
    </w:p>
    <w:p w14:paraId="54134502">
      <w:pPr>
        <w:spacing w:line="273" w:lineRule="auto"/>
        <w:outlineLvl w:val="0"/>
        <w:rPr>
          <w:rFonts w:hint="eastAsia" w:ascii="黑体" w:hAnsi="宋体" w:eastAsia="黑体"/>
          <w:b/>
          <w:bCs/>
          <w:szCs w:val="21"/>
        </w:rPr>
      </w:pPr>
      <w:r>
        <w:rPr>
          <w:rFonts w:ascii="黑体" w:hAnsi="黑体" w:eastAsia="黑体"/>
          <w:b/>
          <w:bCs/>
          <w:szCs w:val="21"/>
        </w:rPr>
        <w:t>21.其他补充条款</w:t>
      </w:r>
    </w:p>
    <w:p w14:paraId="024B3133">
      <w:pPr>
        <w:spacing w:line="273" w:lineRule="auto"/>
        <w:ind w:firstLine="420" w:firstLineChars="200"/>
        <w:rPr>
          <w:rFonts w:hint="eastAsia" w:ascii="宋体" w:hAnsi="宋体"/>
          <w:szCs w:val="21"/>
        </w:rPr>
      </w:pPr>
      <w:r>
        <w:rPr>
          <w:rFonts w:ascii="宋体" w:hAnsi="宋体"/>
          <w:szCs w:val="21"/>
        </w:rPr>
        <w:t>①承包人应对本工程施工制定出相应安全措施，还要对职工进行安全教育；凡因违反安全措施而造成的罚款、人身伤亡事故或伤害他人事故，均由承包人负责。承包人施工期间应设置必要的安全警示措施，包括但不限于</w:t>
      </w:r>
      <w:r>
        <w:rPr>
          <w:rFonts w:ascii="宋体" w:hAnsi="宋体"/>
          <w:b/>
          <w:bCs/>
          <w:szCs w:val="21"/>
        </w:rPr>
        <w:t>安全警示牌、警戒线、安全提醒标语</w:t>
      </w:r>
      <w:r>
        <w:rPr>
          <w:rFonts w:ascii="宋体" w:hAnsi="宋体"/>
          <w:szCs w:val="21"/>
        </w:rPr>
        <w:t>等，防止人员踩踏摔伤等情况。</w:t>
      </w:r>
    </w:p>
    <w:p w14:paraId="19AB3258">
      <w:pPr>
        <w:spacing w:line="273" w:lineRule="auto"/>
        <w:ind w:firstLine="420" w:firstLineChars="200"/>
        <w:rPr>
          <w:rFonts w:hint="eastAsia" w:ascii="宋体" w:hAnsi="宋体"/>
          <w:szCs w:val="21"/>
        </w:rPr>
      </w:pPr>
      <w:r>
        <w:rPr>
          <w:rFonts w:ascii="宋体" w:hAnsi="宋体"/>
          <w:szCs w:val="21"/>
        </w:rPr>
        <w:t>②承包人施工期间应设置</w:t>
      </w:r>
      <w:r>
        <w:rPr>
          <w:rFonts w:ascii="宋体" w:hAnsi="宋体"/>
          <w:b/>
          <w:bCs/>
          <w:szCs w:val="21"/>
        </w:rPr>
        <w:t>信息公示牌</w:t>
      </w:r>
      <w:r>
        <w:rPr>
          <w:rFonts w:ascii="宋体" w:hAnsi="宋体"/>
          <w:szCs w:val="21"/>
        </w:rPr>
        <w:t>，信息公示牌内容至少包含</w:t>
      </w:r>
      <w:r>
        <w:rPr>
          <w:rFonts w:ascii="宋体" w:hAnsi="宋体"/>
          <w:b/>
          <w:bCs/>
          <w:szCs w:val="21"/>
        </w:rPr>
        <w:t>工程基本信息、各项制度、管理人员名单及监督电话、施工计划、施工进度</w:t>
      </w:r>
      <w:r>
        <w:rPr>
          <w:rFonts w:ascii="宋体" w:hAnsi="宋体"/>
          <w:szCs w:val="21"/>
        </w:rPr>
        <w:t>等内容。</w:t>
      </w:r>
    </w:p>
    <w:p w14:paraId="57B71204">
      <w:pPr>
        <w:spacing w:line="273" w:lineRule="auto"/>
        <w:ind w:firstLine="420" w:firstLineChars="200"/>
        <w:rPr>
          <w:rFonts w:hint="eastAsia" w:ascii="宋体" w:hAnsi="宋体"/>
          <w:szCs w:val="21"/>
        </w:rPr>
      </w:pPr>
      <w:r>
        <w:rPr>
          <w:rFonts w:ascii="宋体" w:hAnsi="宋体"/>
          <w:szCs w:val="21"/>
        </w:rPr>
        <w:t>③承包人有义务负责对发包人后期设备使用管理人员进行专业技能的培训，直至达到正常使用管理的水平。</w:t>
      </w:r>
    </w:p>
    <w:p w14:paraId="253B0F34">
      <w:pPr>
        <w:spacing w:line="273" w:lineRule="auto"/>
        <w:ind w:firstLine="420" w:firstLineChars="200"/>
        <w:rPr>
          <w:rFonts w:hint="eastAsia" w:ascii="宋体" w:hAnsi="宋体"/>
          <w:szCs w:val="21"/>
        </w:rPr>
      </w:pPr>
      <w:r>
        <w:rPr>
          <w:rFonts w:ascii="宋体" w:hAnsi="宋体"/>
          <w:szCs w:val="21"/>
        </w:rPr>
        <w:t>④在材料、设备采购、试验、检验过程中发包方有权进行现场监督。</w:t>
      </w:r>
    </w:p>
    <w:p w14:paraId="65C2F902">
      <w:pPr>
        <w:spacing w:line="273" w:lineRule="auto"/>
        <w:ind w:firstLine="420" w:firstLineChars="200"/>
        <w:rPr>
          <w:rFonts w:hint="eastAsia" w:ascii="宋体" w:hAnsi="宋体"/>
          <w:b/>
          <w:bCs/>
          <w:szCs w:val="21"/>
        </w:rPr>
      </w:pPr>
      <w:r>
        <w:rPr>
          <w:rFonts w:ascii="宋体" w:hAnsi="宋体"/>
          <w:szCs w:val="21"/>
        </w:rPr>
        <w:t>⑤发包人已告知承包人场地现有管道系统复杂。承包人应在收到设计图纸、造价清单及其他相关文件后，进行仔细审核和校对，并在项目开工前组织的图纸会审中提出所有疑问。若在施工过程中，因承包人未履行前述审核义务（包括但不限于未能在图纸会审中提出基于发包人提供资料的合理疑问），导致发现设计文件或造价清单存在缺项或漏项问题，则承包人应自行承担因此产生的相关费用。</w:t>
      </w:r>
    </w:p>
    <w:p w14:paraId="03D7A7A2">
      <w:pPr>
        <w:spacing w:line="273" w:lineRule="auto"/>
        <w:ind w:firstLine="420" w:firstLineChars="200"/>
        <w:rPr>
          <w:rFonts w:hint="eastAsia" w:ascii="宋体" w:hAnsi="宋体"/>
          <w:szCs w:val="21"/>
        </w:rPr>
      </w:pPr>
      <w:r>
        <w:rPr>
          <w:rFonts w:ascii="宋体" w:hAnsi="宋体"/>
          <w:szCs w:val="21"/>
        </w:rPr>
        <w:t>⑥发包人委托的审计机构出具结果为最终结算依据，承包人不得异议。</w:t>
      </w:r>
    </w:p>
    <w:p w14:paraId="0346A688">
      <w:pPr>
        <w:spacing w:line="273" w:lineRule="auto"/>
        <w:ind w:firstLine="420" w:firstLineChars="200"/>
        <w:rPr>
          <w:rFonts w:hint="eastAsia" w:ascii="宋体" w:hAnsi="宋体"/>
          <w:szCs w:val="21"/>
        </w:rPr>
      </w:pPr>
      <w:r>
        <w:rPr>
          <w:rFonts w:ascii="宋体" w:hAnsi="宋体"/>
          <w:szCs w:val="21"/>
        </w:rPr>
        <w:t>⑦本合同及相关文件对同一事项约定不一致时，以对发包人更有利的条款为准。</w:t>
      </w:r>
    </w:p>
    <w:p w14:paraId="486F571E">
      <w:pPr>
        <w:spacing w:line="273" w:lineRule="auto"/>
        <w:ind w:firstLine="420" w:firstLineChars="200"/>
        <w:rPr>
          <w:rFonts w:hint="eastAsia" w:ascii="宋体" w:hAnsi="宋体"/>
          <w:szCs w:val="21"/>
        </w:rPr>
      </w:pPr>
      <w:r>
        <w:rPr>
          <w:rFonts w:ascii="宋体" w:hAnsi="宋体"/>
          <w:szCs w:val="21"/>
        </w:rPr>
        <w:t>⑧双方确认本合同载的联系方式（联系电话、电子信箱、传真号码及通信地址）准确无误，如有变更应以书面方式及时通知另一方。由于一方联系方式错误、不详或者无法识别等导致无法送达，或者联系方式变更未及时通知另一方，以及其他不可归责于送达方原因造成相关通知或者文件无法送达、拒绝签收，则相关通知或文件自寄送或发送后第5日视为送达之日。以电子邮件形式发送的，邮件一经成功发送即视为有效送达。司法机关法律文书的送达同此规则。</w:t>
      </w:r>
    </w:p>
    <w:p w14:paraId="726DFE14">
      <w:pPr>
        <w:spacing w:line="460" w:lineRule="exact"/>
        <w:rPr>
          <w:rFonts w:hint="eastAsia" w:ascii="汉鼎简楷体" w:hAnsi="宋体"/>
          <w:b/>
          <w:bCs/>
          <w:spacing w:val="4"/>
          <w:sz w:val="24"/>
        </w:rPr>
      </w:pPr>
      <w:r>
        <w:rPr>
          <w:rFonts w:ascii="汉鼎简楷体" w:hAnsi="宋体"/>
          <w:b/>
          <w:bCs/>
          <w:spacing w:val="4"/>
          <w:sz w:val="24"/>
        </w:rPr>
        <w:t xml:space="preserve"> </w:t>
      </w:r>
    </w:p>
    <w:p w14:paraId="00B9307E">
      <w:pPr>
        <w:spacing w:line="273" w:lineRule="auto"/>
        <w:outlineLvl w:val="0"/>
        <w:rPr>
          <w:rFonts w:hint="eastAsia" w:ascii="黑体" w:hAnsi="宋体" w:eastAsia="黑体"/>
          <w:kern w:val="0"/>
          <w:szCs w:val="21"/>
        </w:rPr>
      </w:pPr>
    </w:p>
    <w:p w14:paraId="5B86028D">
      <w:pPr>
        <w:spacing w:line="273" w:lineRule="auto"/>
        <w:rPr>
          <w:rFonts w:hint="eastAsia" w:ascii="宋体" w:hAnsi="宋体"/>
          <w:b/>
          <w:bCs/>
          <w:kern w:val="0"/>
          <w:szCs w:val="21"/>
        </w:rPr>
      </w:pPr>
      <w:r>
        <w:rPr>
          <w:rFonts w:ascii="宋体" w:hAnsi="宋体"/>
          <w:b/>
          <w:bCs/>
          <w:kern w:val="0"/>
          <w:szCs w:val="21"/>
        </w:rPr>
        <w:t>附件1</w:t>
      </w:r>
    </w:p>
    <w:p w14:paraId="3F1CBE94">
      <w:pPr>
        <w:spacing w:line="273" w:lineRule="auto"/>
        <w:ind w:firstLine="422" w:firstLineChars="200"/>
        <w:jc w:val="center"/>
        <w:rPr>
          <w:rFonts w:hint="eastAsia" w:ascii="宋体" w:hAnsi="宋体"/>
          <w:b/>
          <w:bCs/>
          <w:szCs w:val="21"/>
        </w:rPr>
      </w:pPr>
      <w:r>
        <w:rPr>
          <w:rFonts w:ascii="宋体" w:hAnsi="宋体"/>
          <w:b/>
          <w:bCs/>
          <w:szCs w:val="21"/>
        </w:rPr>
        <w:t>《材料、设备品牌（厂家）选择范围》</w:t>
      </w:r>
    </w:p>
    <w:tbl>
      <w:tblPr>
        <w:tblStyle w:val="47"/>
        <w:tblW w:w="5000" w:type="pct"/>
        <w:tblInd w:w="0" w:type="dxa"/>
        <w:tblLayout w:type="fixed"/>
        <w:tblCellMar>
          <w:top w:w="0" w:type="dxa"/>
          <w:left w:w="108" w:type="dxa"/>
          <w:bottom w:w="0" w:type="dxa"/>
          <w:right w:w="108" w:type="dxa"/>
        </w:tblCellMar>
      </w:tblPr>
      <w:tblGrid>
        <w:gridCol w:w="862"/>
        <w:gridCol w:w="2141"/>
        <w:gridCol w:w="5519"/>
      </w:tblGrid>
      <w:tr w14:paraId="200457A6">
        <w:tblPrEx>
          <w:tblCellMar>
            <w:top w:w="0" w:type="dxa"/>
            <w:left w:w="108" w:type="dxa"/>
            <w:bottom w:w="0" w:type="dxa"/>
            <w:right w:w="108" w:type="dxa"/>
          </w:tblCellMar>
        </w:tblPrEx>
        <w:trPr>
          <w:trHeight w:val="680" w:hRule="atLeast"/>
        </w:trPr>
        <w:tc>
          <w:tcPr>
            <w:tcW w:w="857" w:type="dxa"/>
            <w:tcBorders>
              <w:top w:val="single" w:color="000000" w:sz="4" w:space="0"/>
              <w:left w:val="single" w:color="000000" w:sz="4" w:space="0"/>
              <w:bottom w:val="single" w:color="000000" w:sz="4" w:space="0"/>
              <w:right w:val="single" w:color="000000" w:sz="4" w:space="0"/>
            </w:tcBorders>
            <w:noWrap/>
            <w:vAlign w:val="center"/>
          </w:tcPr>
          <w:p w14:paraId="4CC81386">
            <w:pPr>
              <w:widowControl/>
              <w:spacing w:line="240" w:lineRule="atLeast"/>
              <w:jc w:val="center"/>
              <w:textAlignment w:val="center"/>
              <w:rPr>
                <w:rFonts w:hint="eastAsia" w:ascii="宋体" w:hAnsi="宋体"/>
                <w:color w:val="000000"/>
                <w:szCs w:val="21"/>
              </w:rPr>
            </w:pPr>
            <w:r>
              <w:rPr>
                <w:rFonts w:ascii="宋体" w:hAnsi="宋体"/>
                <w:color w:val="000000"/>
                <w:kern w:val="0"/>
                <w:szCs w:val="21"/>
              </w:rPr>
              <w:t>序号</w:t>
            </w:r>
          </w:p>
        </w:tc>
        <w:tc>
          <w:tcPr>
            <w:tcW w:w="2139" w:type="dxa"/>
            <w:tcBorders>
              <w:top w:val="single" w:color="000000" w:sz="4" w:space="0"/>
              <w:left w:val="nil"/>
              <w:bottom w:val="single" w:color="000000" w:sz="4" w:space="0"/>
              <w:right w:val="single" w:color="000000" w:sz="4" w:space="0"/>
            </w:tcBorders>
            <w:noWrap/>
            <w:vAlign w:val="center"/>
          </w:tcPr>
          <w:p w14:paraId="32A1DAC4">
            <w:pPr>
              <w:widowControl/>
              <w:spacing w:line="240" w:lineRule="atLeast"/>
              <w:jc w:val="center"/>
              <w:textAlignment w:val="center"/>
              <w:rPr>
                <w:rFonts w:hint="eastAsia" w:ascii="宋体" w:hAnsi="宋体"/>
                <w:color w:val="000000"/>
                <w:szCs w:val="21"/>
              </w:rPr>
            </w:pPr>
            <w:r>
              <w:rPr>
                <w:rFonts w:ascii="宋体" w:hAnsi="宋体"/>
                <w:color w:val="000000"/>
                <w:kern w:val="0"/>
                <w:szCs w:val="21"/>
              </w:rPr>
              <w:t>材料名称</w:t>
            </w:r>
          </w:p>
        </w:tc>
        <w:tc>
          <w:tcPr>
            <w:tcW w:w="5526" w:type="dxa"/>
            <w:tcBorders>
              <w:top w:val="single" w:color="000000" w:sz="4" w:space="0"/>
              <w:left w:val="nil"/>
              <w:bottom w:val="single" w:color="000000" w:sz="4" w:space="0"/>
              <w:right w:val="single" w:color="000000" w:sz="4" w:space="0"/>
            </w:tcBorders>
            <w:noWrap/>
            <w:vAlign w:val="center"/>
          </w:tcPr>
          <w:p w14:paraId="065257F0">
            <w:pPr>
              <w:widowControl/>
              <w:spacing w:line="240" w:lineRule="atLeast"/>
              <w:jc w:val="center"/>
              <w:textAlignment w:val="center"/>
              <w:rPr>
                <w:rFonts w:hint="eastAsia" w:ascii="宋体" w:hAnsi="宋体"/>
                <w:color w:val="000000"/>
                <w:szCs w:val="21"/>
              </w:rPr>
            </w:pPr>
            <w:r>
              <w:rPr>
                <w:rFonts w:ascii="宋体" w:hAnsi="宋体"/>
                <w:color w:val="000000"/>
                <w:kern w:val="0"/>
                <w:szCs w:val="21"/>
              </w:rPr>
              <w:t>推荐（或相当于）厂家及品牌</w:t>
            </w:r>
          </w:p>
        </w:tc>
      </w:tr>
      <w:tr w14:paraId="2CE27D0C">
        <w:tblPrEx>
          <w:tblCellMar>
            <w:top w:w="0" w:type="dxa"/>
            <w:left w:w="108" w:type="dxa"/>
            <w:bottom w:w="0" w:type="dxa"/>
            <w:right w:w="108" w:type="dxa"/>
          </w:tblCellMar>
        </w:tblPrEx>
        <w:trPr>
          <w:trHeight w:val="680" w:hRule="atLeast"/>
        </w:trPr>
        <w:tc>
          <w:tcPr>
            <w:tcW w:w="857" w:type="dxa"/>
            <w:tcBorders>
              <w:top w:val="single" w:color="000000" w:sz="4" w:space="0"/>
              <w:left w:val="single" w:color="000000" w:sz="4" w:space="0"/>
              <w:bottom w:val="single" w:color="000000" w:sz="4" w:space="0"/>
              <w:right w:val="single" w:color="000000" w:sz="4" w:space="0"/>
            </w:tcBorders>
            <w:noWrap/>
            <w:vAlign w:val="center"/>
          </w:tcPr>
          <w:p w14:paraId="61A33D64">
            <w:pPr>
              <w:widowControl/>
              <w:spacing w:line="240" w:lineRule="atLeast"/>
              <w:jc w:val="center"/>
              <w:textAlignment w:val="center"/>
              <w:rPr>
                <w:rFonts w:hint="eastAsia" w:ascii="宋体" w:hAnsi="宋体"/>
                <w:color w:val="000000"/>
                <w:szCs w:val="21"/>
              </w:rPr>
            </w:pPr>
            <w:r>
              <w:rPr>
                <w:rFonts w:ascii="宋体" w:hAnsi="宋体"/>
                <w:color w:val="000000"/>
                <w:kern w:val="0"/>
                <w:szCs w:val="21"/>
              </w:rPr>
              <w:t>1</w:t>
            </w:r>
          </w:p>
        </w:tc>
        <w:tc>
          <w:tcPr>
            <w:tcW w:w="2139" w:type="dxa"/>
            <w:tcBorders>
              <w:top w:val="single" w:color="000000" w:sz="4" w:space="0"/>
              <w:left w:val="nil"/>
              <w:bottom w:val="single" w:color="000000" w:sz="4" w:space="0"/>
              <w:right w:val="single" w:color="000000" w:sz="4" w:space="0"/>
            </w:tcBorders>
            <w:noWrap/>
            <w:vAlign w:val="center"/>
          </w:tcPr>
          <w:p w14:paraId="4E77071C">
            <w:pPr>
              <w:widowControl/>
              <w:spacing w:line="240" w:lineRule="atLeast"/>
              <w:jc w:val="center"/>
              <w:textAlignment w:val="center"/>
              <w:rPr>
                <w:rFonts w:hint="eastAsia" w:ascii="宋体" w:hAnsi="宋体"/>
                <w:color w:val="000000"/>
                <w:szCs w:val="21"/>
              </w:rPr>
            </w:pPr>
            <w:r>
              <w:rPr>
                <w:rFonts w:ascii="宋体" w:hAnsi="宋体"/>
                <w:color w:val="000000"/>
                <w:kern w:val="0"/>
                <w:szCs w:val="21"/>
              </w:rPr>
              <w:t>水泥</w:t>
            </w:r>
          </w:p>
        </w:tc>
        <w:tc>
          <w:tcPr>
            <w:tcW w:w="5526" w:type="dxa"/>
            <w:tcBorders>
              <w:top w:val="single" w:color="000000" w:sz="4" w:space="0"/>
              <w:left w:val="nil"/>
              <w:bottom w:val="single" w:color="000000" w:sz="4" w:space="0"/>
              <w:right w:val="single" w:color="000000" w:sz="4" w:space="0"/>
            </w:tcBorders>
            <w:noWrap/>
            <w:vAlign w:val="center"/>
          </w:tcPr>
          <w:p w14:paraId="47589896">
            <w:pPr>
              <w:widowControl/>
              <w:spacing w:line="240" w:lineRule="atLeast"/>
              <w:jc w:val="center"/>
              <w:textAlignment w:val="center"/>
              <w:rPr>
                <w:rFonts w:hint="eastAsia" w:ascii="宋体" w:hAnsi="宋体"/>
                <w:color w:val="000000"/>
                <w:szCs w:val="21"/>
              </w:rPr>
            </w:pPr>
            <w:r>
              <w:rPr>
                <w:rFonts w:ascii="宋体" w:hAnsi="宋体"/>
                <w:color w:val="000000"/>
                <w:kern w:val="0"/>
                <w:szCs w:val="21"/>
              </w:rPr>
              <w:t>中联、海螺、天瑞、孟电、同力</w:t>
            </w:r>
          </w:p>
        </w:tc>
      </w:tr>
      <w:tr w14:paraId="50B373D1">
        <w:tblPrEx>
          <w:tblCellMar>
            <w:top w:w="0" w:type="dxa"/>
            <w:left w:w="108" w:type="dxa"/>
            <w:bottom w:w="0" w:type="dxa"/>
            <w:right w:w="108" w:type="dxa"/>
          </w:tblCellMar>
        </w:tblPrEx>
        <w:trPr>
          <w:trHeight w:val="680" w:hRule="atLeast"/>
        </w:trPr>
        <w:tc>
          <w:tcPr>
            <w:tcW w:w="857" w:type="dxa"/>
            <w:tcBorders>
              <w:top w:val="single" w:color="000000" w:sz="4" w:space="0"/>
              <w:left w:val="single" w:color="000000" w:sz="4" w:space="0"/>
              <w:bottom w:val="single" w:color="000000" w:sz="4" w:space="0"/>
              <w:right w:val="single" w:color="000000" w:sz="4" w:space="0"/>
            </w:tcBorders>
            <w:noWrap/>
            <w:vAlign w:val="center"/>
          </w:tcPr>
          <w:p w14:paraId="07E404F0">
            <w:pPr>
              <w:widowControl/>
              <w:spacing w:line="240" w:lineRule="atLeast"/>
              <w:jc w:val="center"/>
              <w:textAlignment w:val="center"/>
              <w:rPr>
                <w:rFonts w:hint="eastAsia" w:ascii="宋体" w:hAnsi="宋体"/>
                <w:color w:val="000000"/>
                <w:szCs w:val="21"/>
              </w:rPr>
            </w:pPr>
            <w:r>
              <w:rPr>
                <w:rFonts w:ascii="宋体" w:hAnsi="宋体"/>
                <w:color w:val="000000"/>
                <w:kern w:val="0"/>
                <w:szCs w:val="21"/>
              </w:rPr>
              <w:t>2</w:t>
            </w:r>
          </w:p>
        </w:tc>
        <w:tc>
          <w:tcPr>
            <w:tcW w:w="2139" w:type="dxa"/>
            <w:tcBorders>
              <w:top w:val="single" w:color="000000" w:sz="4" w:space="0"/>
              <w:left w:val="nil"/>
              <w:bottom w:val="single" w:color="000000" w:sz="4" w:space="0"/>
              <w:right w:val="single" w:color="000000" w:sz="4" w:space="0"/>
            </w:tcBorders>
            <w:noWrap/>
            <w:vAlign w:val="center"/>
          </w:tcPr>
          <w:p w14:paraId="519E1AEB">
            <w:pPr>
              <w:widowControl/>
              <w:spacing w:line="240" w:lineRule="atLeast"/>
              <w:jc w:val="center"/>
              <w:textAlignment w:val="center"/>
              <w:rPr>
                <w:rFonts w:hint="eastAsia" w:ascii="宋体" w:hAnsi="宋体"/>
                <w:color w:val="000000"/>
                <w:szCs w:val="21"/>
              </w:rPr>
            </w:pPr>
            <w:r>
              <w:rPr>
                <w:rFonts w:ascii="宋体" w:hAnsi="宋体"/>
                <w:color w:val="000000"/>
                <w:kern w:val="0"/>
                <w:szCs w:val="21"/>
              </w:rPr>
              <w:t>电线、电缆</w:t>
            </w:r>
          </w:p>
        </w:tc>
        <w:tc>
          <w:tcPr>
            <w:tcW w:w="5526" w:type="dxa"/>
            <w:tcBorders>
              <w:top w:val="single" w:color="000000" w:sz="4" w:space="0"/>
              <w:left w:val="nil"/>
              <w:bottom w:val="single" w:color="000000" w:sz="4" w:space="0"/>
              <w:right w:val="single" w:color="000000" w:sz="4" w:space="0"/>
            </w:tcBorders>
            <w:noWrap/>
            <w:vAlign w:val="center"/>
          </w:tcPr>
          <w:p w14:paraId="397B77E6">
            <w:pPr>
              <w:widowControl/>
              <w:spacing w:line="240" w:lineRule="atLeast"/>
              <w:jc w:val="center"/>
              <w:textAlignment w:val="center"/>
              <w:rPr>
                <w:rFonts w:hint="eastAsia" w:ascii="宋体" w:hAnsi="宋体"/>
                <w:color w:val="000000"/>
                <w:szCs w:val="21"/>
              </w:rPr>
            </w:pPr>
            <w:r>
              <w:rPr>
                <w:rFonts w:ascii="宋体" w:hAnsi="宋体"/>
                <w:color w:val="000000"/>
                <w:kern w:val="0"/>
                <w:szCs w:val="21"/>
              </w:rPr>
              <w:t>江南、金水、明超、郑州市第三电缆</w:t>
            </w:r>
          </w:p>
        </w:tc>
      </w:tr>
      <w:tr w14:paraId="79729F1F">
        <w:tblPrEx>
          <w:tblCellMar>
            <w:top w:w="0" w:type="dxa"/>
            <w:left w:w="108" w:type="dxa"/>
            <w:bottom w:w="0" w:type="dxa"/>
            <w:right w:w="108" w:type="dxa"/>
          </w:tblCellMar>
        </w:tblPrEx>
        <w:trPr>
          <w:trHeight w:val="680" w:hRule="atLeast"/>
        </w:trPr>
        <w:tc>
          <w:tcPr>
            <w:tcW w:w="857" w:type="dxa"/>
            <w:tcBorders>
              <w:top w:val="single" w:color="000000" w:sz="4" w:space="0"/>
              <w:left w:val="single" w:color="000000" w:sz="4" w:space="0"/>
              <w:bottom w:val="single" w:color="000000" w:sz="4" w:space="0"/>
              <w:right w:val="single" w:color="000000" w:sz="4" w:space="0"/>
            </w:tcBorders>
            <w:noWrap/>
            <w:vAlign w:val="center"/>
          </w:tcPr>
          <w:p w14:paraId="0F6EFAC9">
            <w:pPr>
              <w:widowControl/>
              <w:spacing w:line="240" w:lineRule="atLeast"/>
              <w:jc w:val="center"/>
              <w:textAlignment w:val="center"/>
              <w:rPr>
                <w:rFonts w:hint="eastAsia" w:ascii="宋体" w:hAnsi="宋体"/>
                <w:color w:val="000000"/>
                <w:szCs w:val="21"/>
              </w:rPr>
            </w:pPr>
            <w:r>
              <w:rPr>
                <w:rFonts w:ascii="宋体" w:hAnsi="宋体"/>
                <w:color w:val="000000"/>
                <w:kern w:val="0"/>
                <w:szCs w:val="21"/>
              </w:rPr>
              <w:t>3</w:t>
            </w:r>
          </w:p>
        </w:tc>
        <w:tc>
          <w:tcPr>
            <w:tcW w:w="2139" w:type="dxa"/>
            <w:tcBorders>
              <w:top w:val="single" w:color="000000" w:sz="4" w:space="0"/>
              <w:left w:val="nil"/>
              <w:bottom w:val="single" w:color="000000" w:sz="4" w:space="0"/>
              <w:right w:val="single" w:color="000000" w:sz="4" w:space="0"/>
            </w:tcBorders>
            <w:noWrap/>
            <w:vAlign w:val="center"/>
          </w:tcPr>
          <w:p w14:paraId="2F97AD0A">
            <w:pPr>
              <w:widowControl/>
              <w:spacing w:line="240" w:lineRule="atLeast"/>
              <w:jc w:val="center"/>
              <w:textAlignment w:val="center"/>
              <w:rPr>
                <w:rFonts w:hint="eastAsia" w:ascii="宋体" w:hAnsi="宋体"/>
                <w:color w:val="000000"/>
                <w:szCs w:val="21"/>
              </w:rPr>
            </w:pPr>
            <w:r>
              <w:rPr>
                <w:rFonts w:ascii="宋体" w:hAnsi="宋体"/>
                <w:color w:val="000000"/>
                <w:szCs w:val="21"/>
              </w:rPr>
              <w:t>墙地砖</w:t>
            </w:r>
          </w:p>
        </w:tc>
        <w:tc>
          <w:tcPr>
            <w:tcW w:w="5526" w:type="dxa"/>
            <w:tcBorders>
              <w:top w:val="single" w:color="000000" w:sz="4" w:space="0"/>
              <w:left w:val="nil"/>
              <w:bottom w:val="single" w:color="000000" w:sz="4" w:space="0"/>
              <w:right w:val="single" w:color="000000" w:sz="4" w:space="0"/>
            </w:tcBorders>
            <w:noWrap/>
            <w:vAlign w:val="center"/>
          </w:tcPr>
          <w:p w14:paraId="68D61F10">
            <w:pPr>
              <w:widowControl/>
              <w:spacing w:line="240" w:lineRule="atLeast"/>
              <w:jc w:val="center"/>
              <w:textAlignment w:val="center"/>
              <w:rPr>
                <w:rFonts w:hint="eastAsia" w:ascii="宋体" w:hAnsi="宋体"/>
                <w:color w:val="000000"/>
                <w:szCs w:val="21"/>
              </w:rPr>
            </w:pPr>
            <w:r>
              <w:rPr>
                <w:rFonts w:ascii="宋体" w:hAnsi="宋体"/>
                <w:color w:val="000000"/>
                <w:szCs w:val="21"/>
              </w:rPr>
              <w:t>马可波罗、东鹏、蒙娜丽莎、诺贝尔、冠珠陶瓷</w:t>
            </w:r>
          </w:p>
        </w:tc>
      </w:tr>
      <w:tr w14:paraId="5D0EAE09">
        <w:tblPrEx>
          <w:tblCellMar>
            <w:top w:w="0" w:type="dxa"/>
            <w:left w:w="108" w:type="dxa"/>
            <w:bottom w:w="0" w:type="dxa"/>
            <w:right w:w="108" w:type="dxa"/>
          </w:tblCellMar>
        </w:tblPrEx>
        <w:trPr>
          <w:trHeight w:val="680" w:hRule="atLeast"/>
        </w:trPr>
        <w:tc>
          <w:tcPr>
            <w:tcW w:w="857" w:type="dxa"/>
            <w:tcBorders>
              <w:top w:val="single" w:color="000000" w:sz="4" w:space="0"/>
              <w:left w:val="single" w:color="000000" w:sz="4" w:space="0"/>
              <w:bottom w:val="single" w:color="000000" w:sz="4" w:space="0"/>
              <w:right w:val="single" w:color="000000" w:sz="4" w:space="0"/>
            </w:tcBorders>
            <w:noWrap/>
            <w:vAlign w:val="center"/>
          </w:tcPr>
          <w:p w14:paraId="3D4F6132">
            <w:pPr>
              <w:widowControl/>
              <w:spacing w:line="240" w:lineRule="atLeast"/>
              <w:jc w:val="center"/>
              <w:textAlignment w:val="center"/>
              <w:rPr>
                <w:rFonts w:hint="eastAsia" w:ascii="宋体" w:hAnsi="宋体"/>
                <w:color w:val="000000"/>
                <w:szCs w:val="21"/>
              </w:rPr>
            </w:pPr>
            <w:r>
              <w:rPr>
                <w:rFonts w:ascii="宋体" w:hAnsi="宋体"/>
                <w:color w:val="000000"/>
                <w:kern w:val="0"/>
                <w:szCs w:val="21"/>
              </w:rPr>
              <w:t>4</w:t>
            </w:r>
          </w:p>
        </w:tc>
        <w:tc>
          <w:tcPr>
            <w:tcW w:w="2139" w:type="dxa"/>
            <w:tcBorders>
              <w:top w:val="single" w:color="000000" w:sz="4" w:space="0"/>
              <w:left w:val="nil"/>
              <w:bottom w:val="single" w:color="000000" w:sz="4" w:space="0"/>
              <w:right w:val="single" w:color="000000" w:sz="4" w:space="0"/>
            </w:tcBorders>
            <w:noWrap/>
            <w:vAlign w:val="center"/>
          </w:tcPr>
          <w:p w14:paraId="29509B99">
            <w:pPr>
              <w:widowControl/>
              <w:spacing w:line="240" w:lineRule="atLeast"/>
              <w:jc w:val="center"/>
              <w:textAlignment w:val="center"/>
              <w:rPr>
                <w:rFonts w:hint="eastAsia" w:ascii="宋体" w:hAnsi="宋体"/>
                <w:szCs w:val="21"/>
              </w:rPr>
            </w:pPr>
            <w:r>
              <w:rPr>
                <w:rFonts w:ascii="宋体" w:hAnsi="宋体"/>
                <w:szCs w:val="21"/>
              </w:rPr>
              <w:t>石塑地板</w:t>
            </w:r>
          </w:p>
        </w:tc>
        <w:tc>
          <w:tcPr>
            <w:tcW w:w="5526" w:type="dxa"/>
            <w:tcBorders>
              <w:top w:val="single" w:color="000000" w:sz="4" w:space="0"/>
              <w:left w:val="nil"/>
              <w:bottom w:val="single" w:color="000000" w:sz="4" w:space="0"/>
              <w:right w:val="single" w:color="000000" w:sz="4" w:space="0"/>
            </w:tcBorders>
            <w:noWrap/>
            <w:vAlign w:val="center"/>
          </w:tcPr>
          <w:p w14:paraId="146E0DA8">
            <w:pPr>
              <w:widowControl/>
              <w:spacing w:line="240" w:lineRule="atLeast"/>
              <w:jc w:val="center"/>
              <w:textAlignment w:val="center"/>
              <w:rPr>
                <w:rFonts w:hint="eastAsia" w:ascii="宋体" w:hAnsi="宋体"/>
                <w:color w:val="000000"/>
                <w:kern w:val="0"/>
                <w:szCs w:val="21"/>
              </w:rPr>
            </w:pPr>
            <w:r>
              <w:rPr>
                <w:rFonts w:ascii="宋体" w:hAnsi="宋体"/>
                <w:color w:val="000000"/>
                <w:kern w:val="0"/>
                <w:szCs w:val="21"/>
              </w:rPr>
              <w:t>圣象、肯帝亚、华丽、美喆、得嘉</w:t>
            </w:r>
          </w:p>
        </w:tc>
      </w:tr>
      <w:tr w14:paraId="326972F0">
        <w:tblPrEx>
          <w:tblCellMar>
            <w:top w:w="0" w:type="dxa"/>
            <w:left w:w="108" w:type="dxa"/>
            <w:bottom w:w="0" w:type="dxa"/>
            <w:right w:w="108" w:type="dxa"/>
          </w:tblCellMar>
        </w:tblPrEx>
        <w:trPr>
          <w:trHeight w:val="680" w:hRule="atLeast"/>
        </w:trPr>
        <w:tc>
          <w:tcPr>
            <w:tcW w:w="857" w:type="dxa"/>
            <w:tcBorders>
              <w:top w:val="single" w:color="000000" w:sz="4" w:space="0"/>
              <w:left w:val="single" w:color="000000" w:sz="4" w:space="0"/>
              <w:bottom w:val="single" w:color="000000" w:sz="4" w:space="0"/>
              <w:right w:val="single" w:color="000000" w:sz="4" w:space="0"/>
            </w:tcBorders>
            <w:noWrap/>
            <w:vAlign w:val="center"/>
          </w:tcPr>
          <w:p w14:paraId="17377E77">
            <w:pPr>
              <w:widowControl/>
              <w:spacing w:line="240" w:lineRule="atLeast"/>
              <w:jc w:val="center"/>
              <w:textAlignment w:val="center"/>
              <w:rPr>
                <w:rFonts w:hint="eastAsia" w:ascii="宋体" w:hAnsi="宋体"/>
                <w:color w:val="000000"/>
                <w:szCs w:val="21"/>
              </w:rPr>
            </w:pPr>
            <w:r>
              <w:rPr>
                <w:rFonts w:ascii="宋体" w:hAnsi="宋体"/>
                <w:color w:val="000000"/>
                <w:kern w:val="0"/>
                <w:szCs w:val="21"/>
              </w:rPr>
              <w:t>5</w:t>
            </w:r>
          </w:p>
        </w:tc>
        <w:tc>
          <w:tcPr>
            <w:tcW w:w="2139" w:type="dxa"/>
            <w:tcBorders>
              <w:top w:val="single" w:color="000000" w:sz="4" w:space="0"/>
              <w:left w:val="nil"/>
              <w:bottom w:val="single" w:color="000000" w:sz="4" w:space="0"/>
              <w:right w:val="single" w:color="000000" w:sz="4" w:space="0"/>
            </w:tcBorders>
            <w:noWrap/>
            <w:vAlign w:val="center"/>
          </w:tcPr>
          <w:p w14:paraId="46FB63FC">
            <w:pPr>
              <w:widowControl/>
              <w:spacing w:line="240" w:lineRule="atLeast"/>
              <w:jc w:val="center"/>
              <w:textAlignment w:val="center"/>
              <w:rPr>
                <w:rFonts w:hint="eastAsia" w:ascii="宋体" w:hAnsi="宋体"/>
                <w:color w:val="000000"/>
                <w:szCs w:val="21"/>
              </w:rPr>
            </w:pPr>
            <w:r>
              <w:rPr>
                <w:rFonts w:ascii="宋体" w:hAnsi="宋体"/>
                <w:color w:val="000000"/>
                <w:szCs w:val="21"/>
              </w:rPr>
              <w:t>石膏板</w:t>
            </w:r>
          </w:p>
        </w:tc>
        <w:tc>
          <w:tcPr>
            <w:tcW w:w="5526" w:type="dxa"/>
            <w:tcBorders>
              <w:top w:val="single" w:color="000000" w:sz="4" w:space="0"/>
              <w:left w:val="nil"/>
              <w:bottom w:val="single" w:color="000000" w:sz="4" w:space="0"/>
              <w:right w:val="single" w:color="000000" w:sz="4" w:space="0"/>
            </w:tcBorders>
            <w:noWrap/>
            <w:vAlign w:val="center"/>
          </w:tcPr>
          <w:p w14:paraId="3537A2B3">
            <w:pPr>
              <w:widowControl/>
              <w:spacing w:line="240" w:lineRule="atLeast"/>
              <w:jc w:val="center"/>
              <w:textAlignment w:val="center"/>
              <w:rPr>
                <w:rFonts w:hint="eastAsia" w:ascii="宋体" w:hAnsi="宋体"/>
                <w:color w:val="000000"/>
                <w:szCs w:val="21"/>
              </w:rPr>
            </w:pPr>
            <w:r>
              <w:rPr>
                <w:rFonts w:ascii="宋体" w:hAnsi="宋体"/>
                <w:color w:val="000000"/>
                <w:szCs w:val="21"/>
              </w:rPr>
              <w:t>龙牌、杰科、杰森</w:t>
            </w:r>
          </w:p>
        </w:tc>
      </w:tr>
      <w:tr w14:paraId="755EF3C9">
        <w:tblPrEx>
          <w:tblCellMar>
            <w:top w:w="0" w:type="dxa"/>
            <w:left w:w="108" w:type="dxa"/>
            <w:bottom w:w="0" w:type="dxa"/>
            <w:right w:w="108" w:type="dxa"/>
          </w:tblCellMar>
        </w:tblPrEx>
        <w:trPr>
          <w:trHeight w:val="680" w:hRule="atLeast"/>
        </w:trPr>
        <w:tc>
          <w:tcPr>
            <w:tcW w:w="857" w:type="dxa"/>
            <w:tcBorders>
              <w:top w:val="single" w:color="000000" w:sz="4" w:space="0"/>
              <w:left w:val="single" w:color="000000" w:sz="4" w:space="0"/>
              <w:bottom w:val="single" w:color="000000" w:sz="4" w:space="0"/>
              <w:right w:val="single" w:color="000000" w:sz="4" w:space="0"/>
            </w:tcBorders>
            <w:noWrap/>
            <w:vAlign w:val="center"/>
          </w:tcPr>
          <w:p w14:paraId="126B26B9">
            <w:pPr>
              <w:widowControl/>
              <w:spacing w:line="240" w:lineRule="atLeast"/>
              <w:jc w:val="center"/>
              <w:textAlignment w:val="center"/>
              <w:rPr>
                <w:rFonts w:hint="eastAsia" w:ascii="宋体" w:hAnsi="宋体"/>
                <w:color w:val="000000"/>
                <w:szCs w:val="21"/>
              </w:rPr>
            </w:pPr>
            <w:r>
              <w:rPr>
                <w:rFonts w:ascii="宋体" w:hAnsi="宋体"/>
                <w:color w:val="000000"/>
                <w:kern w:val="0"/>
                <w:szCs w:val="21"/>
              </w:rPr>
              <w:t>6</w:t>
            </w:r>
          </w:p>
        </w:tc>
        <w:tc>
          <w:tcPr>
            <w:tcW w:w="2139" w:type="dxa"/>
            <w:tcBorders>
              <w:top w:val="single" w:color="000000" w:sz="4" w:space="0"/>
              <w:left w:val="nil"/>
              <w:bottom w:val="single" w:color="000000" w:sz="4" w:space="0"/>
              <w:right w:val="single" w:color="000000" w:sz="4" w:space="0"/>
            </w:tcBorders>
            <w:noWrap/>
            <w:vAlign w:val="center"/>
          </w:tcPr>
          <w:p w14:paraId="33B95043">
            <w:pPr>
              <w:widowControl/>
              <w:spacing w:line="240" w:lineRule="atLeast"/>
              <w:jc w:val="center"/>
              <w:textAlignment w:val="center"/>
              <w:rPr>
                <w:rFonts w:hint="eastAsia" w:ascii="宋体" w:hAnsi="宋体"/>
                <w:color w:val="000000"/>
                <w:szCs w:val="21"/>
              </w:rPr>
            </w:pPr>
            <w:r>
              <w:rPr>
                <w:rFonts w:ascii="宋体" w:hAnsi="宋体"/>
                <w:szCs w:val="21"/>
              </w:rPr>
              <w:t>铝扣板</w:t>
            </w:r>
          </w:p>
        </w:tc>
        <w:tc>
          <w:tcPr>
            <w:tcW w:w="5526" w:type="dxa"/>
            <w:tcBorders>
              <w:top w:val="single" w:color="000000" w:sz="4" w:space="0"/>
              <w:left w:val="nil"/>
              <w:bottom w:val="single" w:color="000000" w:sz="4" w:space="0"/>
              <w:right w:val="single" w:color="000000" w:sz="4" w:space="0"/>
            </w:tcBorders>
            <w:noWrap/>
            <w:vAlign w:val="center"/>
          </w:tcPr>
          <w:p w14:paraId="6748F800">
            <w:pPr>
              <w:widowControl/>
              <w:spacing w:line="240" w:lineRule="atLeast"/>
              <w:jc w:val="center"/>
              <w:textAlignment w:val="center"/>
              <w:rPr>
                <w:rFonts w:hint="eastAsia" w:ascii="宋体" w:hAnsi="宋体"/>
                <w:color w:val="000000"/>
                <w:szCs w:val="21"/>
              </w:rPr>
            </w:pPr>
            <w:r>
              <w:rPr>
                <w:color w:val="000000"/>
                <w:szCs w:val="21"/>
              </w:rPr>
              <w:t>‌</w:t>
            </w:r>
            <w:r>
              <w:rPr>
                <w:rFonts w:ascii="宋体" w:hAnsi="宋体"/>
                <w:color w:val="000000"/>
                <w:szCs w:val="21"/>
              </w:rPr>
              <w:t>奥普、欧普、友邦、法狮龙、品格</w:t>
            </w:r>
          </w:p>
        </w:tc>
      </w:tr>
      <w:tr w14:paraId="20DB1FF9">
        <w:tblPrEx>
          <w:tblCellMar>
            <w:top w:w="0" w:type="dxa"/>
            <w:left w:w="108" w:type="dxa"/>
            <w:bottom w:w="0" w:type="dxa"/>
            <w:right w:w="108" w:type="dxa"/>
          </w:tblCellMar>
        </w:tblPrEx>
        <w:trPr>
          <w:trHeight w:val="680" w:hRule="atLeast"/>
        </w:trPr>
        <w:tc>
          <w:tcPr>
            <w:tcW w:w="857" w:type="dxa"/>
            <w:tcBorders>
              <w:top w:val="single" w:color="000000" w:sz="4" w:space="0"/>
              <w:left w:val="single" w:color="000000" w:sz="4" w:space="0"/>
              <w:bottom w:val="single" w:color="000000" w:sz="4" w:space="0"/>
              <w:right w:val="single" w:color="000000" w:sz="4" w:space="0"/>
            </w:tcBorders>
            <w:noWrap/>
            <w:vAlign w:val="center"/>
          </w:tcPr>
          <w:p w14:paraId="56BB536A">
            <w:pPr>
              <w:widowControl/>
              <w:spacing w:line="240" w:lineRule="atLeast"/>
              <w:jc w:val="center"/>
              <w:textAlignment w:val="center"/>
              <w:rPr>
                <w:rFonts w:hint="eastAsia" w:ascii="宋体" w:hAnsi="宋体"/>
                <w:color w:val="000000"/>
                <w:szCs w:val="21"/>
              </w:rPr>
            </w:pPr>
            <w:r>
              <w:rPr>
                <w:rFonts w:ascii="宋体" w:hAnsi="宋体"/>
                <w:color w:val="000000"/>
                <w:kern w:val="0"/>
                <w:szCs w:val="21"/>
              </w:rPr>
              <w:t>7</w:t>
            </w:r>
          </w:p>
        </w:tc>
        <w:tc>
          <w:tcPr>
            <w:tcW w:w="2139" w:type="dxa"/>
            <w:tcBorders>
              <w:top w:val="single" w:color="000000" w:sz="4" w:space="0"/>
              <w:left w:val="nil"/>
              <w:bottom w:val="single" w:color="000000" w:sz="4" w:space="0"/>
              <w:right w:val="single" w:color="000000" w:sz="4" w:space="0"/>
            </w:tcBorders>
            <w:noWrap/>
            <w:vAlign w:val="center"/>
          </w:tcPr>
          <w:p w14:paraId="6B7BEAD6">
            <w:pPr>
              <w:widowControl/>
              <w:spacing w:line="240" w:lineRule="atLeast"/>
              <w:jc w:val="center"/>
              <w:rPr>
                <w:rFonts w:hint="eastAsia" w:ascii="宋体" w:hAnsi="宋体"/>
                <w:color w:val="000000"/>
                <w:szCs w:val="21"/>
              </w:rPr>
            </w:pPr>
            <w:r>
              <w:rPr>
                <w:rFonts w:ascii="宋体" w:hAnsi="宋体"/>
                <w:color w:val="000000"/>
                <w:kern w:val="0"/>
                <w:szCs w:val="21"/>
              </w:rPr>
              <w:t>龙骨</w:t>
            </w:r>
          </w:p>
        </w:tc>
        <w:tc>
          <w:tcPr>
            <w:tcW w:w="5526" w:type="dxa"/>
            <w:tcBorders>
              <w:top w:val="single" w:color="000000" w:sz="4" w:space="0"/>
              <w:left w:val="nil"/>
              <w:bottom w:val="single" w:color="000000" w:sz="4" w:space="0"/>
              <w:right w:val="single" w:color="000000" w:sz="4" w:space="0"/>
            </w:tcBorders>
            <w:noWrap/>
            <w:vAlign w:val="center"/>
          </w:tcPr>
          <w:p w14:paraId="0BED1213">
            <w:pPr>
              <w:widowControl/>
              <w:spacing w:line="240" w:lineRule="atLeast"/>
              <w:jc w:val="center"/>
              <w:textAlignment w:val="center"/>
              <w:rPr>
                <w:rFonts w:hint="eastAsia" w:ascii="宋体" w:hAnsi="宋体"/>
                <w:color w:val="000000"/>
                <w:szCs w:val="21"/>
              </w:rPr>
            </w:pPr>
            <w:r>
              <w:rPr>
                <w:rFonts w:ascii="宋体" w:hAnsi="宋体"/>
                <w:color w:val="000000"/>
                <w:szCs w:val="21"/>
              </w:rPr>
              <w:t>龙牌、杰科、泰山、可耐福</w:t>
            </w:r>
          </w:p>
        </w:tc>
      </w:tr>
      <w:tr w14:paraId="7E3E4A1E">
        <w:tblPrEx>
          <w:tblCellMar>
            <w:top w:w="0" w:type="dxa"/>
            <w:left w:w="108" w:type="dxa"/>
            <w:bottom w:w="0" w:type="dxa"/>
            <w:right w:w="108" w:type="dxa"/>
          </w:tblCellMar>
        </w:tblPrEx>
        <w:trPr>
          <w:trHeight w:val="680" w:hRule="atLeast"/>
        </w:trPr>
        <w:tc>
          <w:tcPr>
            <w:tcW w:w="857" w:type="dxa"/>
            <w:tcBorders>
              <w:top w:val="single" w:color="000000" w:sz="4" w:space="0"/>
              <w:left w:val="single" w:color="000000" w:sz="4" w:space="0"/>
              <w:bottom w:val="single" w:color="000000" w:sz="4" w:space="0"/>
              <w:right w:val="single" w:color="000000" w:sz="4" w:space="0"/>
            </w:tcBorders>
            <w:noWrap/>
            <w:vAlign w:val="center"/>
          </w:tcPr>
          <w:p w14:paraId="1166485C">
            <w:pPr>
              <w:widowControl/>
              <w:spacing w:line="240" w:lineRule="atLeast"/>
              <w:jc w:val="center"/>
              <w:textAlignment w:val="center"/>
              <w:rPr>
                <w:rFonts w:hint="eastAsia" w:ascii="宋体" w:hAnsi="宋体"/>
                <w:color w:val="000000"/>
                <w:szCs w:val="21"/>
              </w:rPr>
            </w:pPr>
            <w:r>
              <w:rPr>
                <w:rFonts w:ascii="宋体" w:hAnsi="宋体"/>
                <w:color w:val="000000"/>
                <w:kern w:val="0"/>
                <w:szCs w:val="21"/>
              </w:rPr>
              <w:t>8</w:t>
            </w:r>
          </w:p>
        </w:tc>
        <w:tc>
          <w:tcPr>
            <w:tcW w:w="2139" w:type="dxa"/>
            <w:tcBorders>
              <w:top w:val="single" w:color="000000" w:sz="4" w:space="0"/>
              <w:left w:val="nil"/>
              <w:bottom w:val="single" w:color="000000" w:sz="4" w:space="0"/>
              <w:right w:val="single" w:color="000000" w:sz="4" w:space="0"/>
            </w:tcBorders>
            <w:noWrap/>
            <w:vAlign w:val="center"/>
          </w:tcPr>
          <w:p w14:paraId="1BF2AE0B">
            <w:pPr>
              <w:widowControl/>
              <w:spacing w:line="240" w:lineRule="atLeast"/>
              <w:jc w:val="center"/>
              <w:rPr>
                <w:rFonts w:hint="eastAsia" w:ascii="宋体" w:hAnsi="宋体"/>
                <w:color w:val="000000"/>
                <w:szCs w:val="21"/>
              </w:rPr>
            </w:pPr>
            <w:r>
              <w:rPr>
                <w:rFonts w:ascii="宋体" w:hAnsi="宋体"/>
                <w:color w:val="000000"/>
                <w:kern w:val="0"/>
                <w:szCs w:val="21"/>
              </w:rPr>
              <w:t>艺术漆</w:t>
            </w:r>
          </w:p>
        </w:tc>
        <w:tc>
          <w:tcPr>
            <w:tcW w:w="5526" w:type="dxa"/>
            <w:tcBorders>
              <w:top w:val="single" w:color="000000" w:sz="4" w:space="0"/>
              <w:left w:val="nil"/>
              <w:bottom w:val="single" w:color="000000" w:sz="4" w:space="0"/>
              <w:right w:val="single" w:color="000000" w:sz="4" w:space="0"/>
            </w:tcBorders>
            <w:noWrap/>
            <w:vAlign w:val="center"/>
          </w:tcPr>
          <w:p w14:paraId="480B8D73">
            <w:pPr>
              <w:widowControl/>
              <w:spacing w:line="240" w:lineRule="atLeast"/>
              <w:jc w:val="center"/>
              <w:textAlignment w:val="center"/>
              <w:rPr>
                <w:rFonts w:hint="eastAsia" w:ascii="宋体" w:hAnsi="宋体"/>
                <w:color w:val="000000"/>
                <w:szCs w:val="21"/>
              </w:rPr>
            </w:pPr>
            <w:r>
              <w:rPr>
                <w:rFonts w:ascii="宋体" w:hAnsi="宋体"/>
                <w:color w:val="000000"/>
                <w:szCs w:val="21"/>
              </w:rPr>
              <w:t>立邦、嘉宝莉、美涂士、三棵树、卡百利</w:t>
            </w:r>
          </w:p>
        </w:tc>
      </w:tr>
      <w:tr w14:paraId="046E6956">
        <w:tblPrEx>
          <w:tblCellMar>
            <w:top w:w="0" w:type="dxa"/>
            <w:left w:w="108" w:type="dxa"/>
            <w:bottom w:w="0" w:type="dxa"/>
            <w:right w:w="108" w:type="dxa"/>
          </w:tblCellMar>
        </w:tblPrEx>
        <w:trPr>
          <w:trHeight w:val="680" w:hRule="atLeast"/>
        </w:trPr>
        <w:tc>
          <w:tcPr>
            <w:tcW w:w="857" w:type="dxa"/>
            <w:tcBorders>
              <w:top w:val="single" w:color="000000" w:sz="4" w:space="0"/>
              <w:left w:val="single" w:color="000000" w:sz="4" w:space="0"/>
              <w:bottom w:val="single" w:color="000000" w:sz="4" w:space="0"/>
              <w:right w:val="single" w:color="000000" w:sz="4" w:space="0"/>
            </w:tcBorders>
            <w:noWrap/>
            <w:vAlign w:val="center"/>
          </w:tcPr>
          <w:p w14:paraId="36AE5CD5">
            <w:pPr>
              <w:widowControl/>
              <w:spacing w:line="240" w:lineRule="atLeast"/>
              <w:jc w:val="center"/>
              <w:textAlignment w:val="center"/>
              <w:rPr>
                <w:rFonts w:hint="eastAsia" w:ascii="宋体" w:hAnsi="宋体"/>
                <w:color w:val="000000"/>
                <w:szCs w:val="21"/>
              </w:rPr>
            </w:pPr>
            <w:r>
              <w:rPr>
                <w:rFonts w:ascii="宋体" w:hAnsi="宋体"/>
                <w:color w:val="000000"/>
                <w:kern w:val="0"/>
                <w:szCs w:val="21"/>
              </w:rPr>
              <w:t>9</w:t>
            </w:r>
          </w:p>
        </w:tc>
        <w:tc>
          <w:tcPr>
            <w:tcW w:w="2139" w:type="dxa"/>
            <w:tcBorders>
              <w:top w:val="single" w:color="000000" w:sz="4" w:space="0"/>
              <w:left w:val="nil"/>
              <w:bottom w:val="single" w:color="000000" w:sz="4" w:space="0"/>
              <w:right w:val="single" w:color="000000" w:sz="4" w:space="0"/>
            </w:tcBorders>
            <w:noWrap/>
            <w:vAlign w:val="center"/>
          </w:tcPr>
          <w:p w14:paraId="5A2C1BA3">
            <w:pPr>
              <w:widowControl/>
              <w:spacing w:line="240" w:lineRule="atLeast"/>
              <w:jc w:val="center"/>
              <w:rPr>
                <w:rFonts w:hint="eastAsia" w:ascii="宋体" w:hAnsi="宋体"/>
                <w:color w:val="000000"/>
                <w:szCs w:val="21"/>
              </w:rPr>
            </w:pPr>
            <w:r>
              <w:rPr>
                <w:rFonts w:ascii="宋体" w:hAnsi="宋体"/>
                <w:color w:val="000000"/>
                <w:kern w:val="0"/>
                <w:szCs w:val="21"/>
              </w:rPr>
              <w:t>防水涂料</w:t>
            </w:r>
          </w:p>
        </w:tc>
        <w:tc>
          <w:tcPr>
            <w:tcW w:w="5526" w:type="dxa"/>
            <w:tcBorders>
              <w:top w:val="single" w:color="000000" w:sz="4" w:space="0"/>
              <w:left w:val="nil"/>
              <w:bottom w:val="single" w:color="000000" w:sz="4" w:space="0"/>
              <w:right w:val="single" w:color="000000" w:sz="4" w:space="0"/>
            </w:tcBorders>
            <w:noWrap/>
            <w:vAlign w:val="center"/>
          </w:tcPr>
          <w:p w14:paraId="692D2842">
            <w:pPr>
              <w:widowControl/>
              <w:spacing w:line="240" w:lineRule="atLeast"/>
              <w:jc w:val="center"/>
              <w:textAlignment w:val="center"/>
              <w:rPr>
                <w:rFonts w:hint="eastAsia" w:ascii="宋体" w:hAnsi="宋体"/>
                <w:szCs w:val="21"/>
              </w:rPr>
            </w:pPr>
            <w:r>
              <w:rPr>
                <w:rFonts w:ascii="宋体" w:hAnsi="宋体"/>
                <w:color w:val="000000"/>
                <w:szCs w:val="21"/>
              </w:rPr>
              <w:t>德高、科顺、东方雨虹、西卡、立邦</w:t>
            </w:r>
          </w:p>
        </w:tc>
      </w:tr>
      <w:tr w14:paraId="1CE12A3C">
        <w:tblPrEx>
          <w:tblCellMar>
            <w:top w:w="0" w:type="dxa"/>
            <w:left w:w="108" w:type="dxa"/>
            <w:bottom w:w="0" w:type="dxa"/>
            <w:right w:w="108" w:type="dxa"/>
          </w:tblCellMar>
        </w:tblPrEx>
        <w:trPr>
          <w:trHeight w:val="680" w:hRule="atLeast"/>
        </w:trPr>
        <w:tc>
          <w:tcPr>
            <w:tcW w:w="857" w:type="dxa"/>
            <w:tcBorders>
              <w:top w:val="single" w:color="000000" w:sz="4" w:space="0"/>
              <w:left w:val="single" w:color="000000" w:sz="4" w:space="0"/>
              <w:bottom w:val="single" w:color="000000" w:sz="4" w:space="0"/>
              <w:right w:val="single" w:color="000000" w:sz="4" w:space="0"/>
            </w:tcBorders>
            <w:noWrap/>
            <w:vAlign w:val="center"/>
          </w:tcPr>
          <w:p w14:paraId="1ACBB74D">
            <w:pPr>
              <w:widowControl/>
              <w:spacing w:line="240" w:lineRule="atLeast"/>
              <w:jc w:val="center"/>
              <w:textAlignment w:val="center"/>
              <w:rPr>
                <w:rFonts w:hint="eastAsia" w:ascii="宋体" w:hAnsi="宋体"/>
                <w:color w:val="000000"/>
                <w:kern w:val="0"/>
                <w:szCs w:val="21"/>
              </w:rPr>
            </w:pPr>
            <w:r>
              <w:rPr>
                <w:rFonts w:ascii="宋体" w:hAnsi="宋体"/>
                <w:color w:val="000000"/>
                <w:kern w:val="0"/>
                <w:szCs w:val="21"/>
              </w:rPr>
              <w:t>10</w:t>
            </w:r>
          </w:p>
        </w:tc>
        <w:tc>
          <w:tcPr>
            <w:tcW w:w="2139" w:type="dxa"/>
            <w:tcBorders>
              <w:top w:val="single" w:color="000000" w:sz="4" w:space="0"/>
              <w:left w:val="nil"/>
              <w:bottom w:val="single" w:color="000000" w:sz="4" w:space="0"/>
              <w:right w:val="single" w:color="000000" w:sz="4" w:space="0"/>
            </w:tcBorders>
            <w:noWrap/>
            <w:vAlign w:val="center"/>
          </w:tcPr>
          <w:p w14:paraId="1443BB26">
            <w:pPr>
              <w:widowControl/>
              <w:spacing w:line="240" w:lineRule="atLeast"/>
              <w:jc w:val="center"/>
              <w:textAlignment w:val="center"/>
              <w:rPr>
                <w:rFonts w:hint="eastAsia" w:ascii="宋体" w:hAnsi="宋体"/>
                <w:szCs w:val="21"/>
              </w:rPr>
            </w:pPr>
            <w:r>
              <w:rPr>
                <w:rFonts w:ascii="宋体" w:hAnsi="宋体"/>
                <w:szCs w:val="21"/>
              </w:rPr>
              <w:t>木质门</w:t>
            </w:r>
          </w:p>
        </w:tc>
        <w:tc>
          <w:tcPr>
            <w:tcW w:w="5526" w:type="dxa"/>
            <w:tcBorders>
              <w:top w:val="single" w:color="000000" w:sz="4" w:space="0"/>
              <w:left w:val="nil"/>
              <w:bottom w:val="single" w:color="000000" w:sz="4" w:space="0"/>
              <w:right w:val="single" w:color="000000" w:sz="4" w:space="0"/>
            </w:tcBorders>
            <w:noWrap/>
            <w:vAlign w:val="center"/>
          </w:tcPr>
          <w:p w14:paraId="056F60CC">
            <w:pPr>
              <w:widowControl/>
              <w:spacing w:line="240" w:lineRule="atLeast"/>
              <w:jc w:val="center"/>
              <w:textAlignment w:val="center"/>
              <w:rPr>
                <w:rFonts w:hint="eastAsia" w:ascii="宋体" w:hAnsi="宋体"/>
                <w:color w:val="000000"/>
                <w:szCs w:val="21"/>
              </w:rPr>
            </w:pPr>
            <w:r>
              <w:rPr>
                <w:rFonts w:ascii="宋体" w:hAnsi="宋体"/>
                <w:color w:val="000000"/>
                <w:szCs w:val="21"/>
              </w:rPr>
              <w:t>TATA、美心、梦天、霍尔茨</w:t>
            </w:r>
          </w:p>
        </w:tc>
      </w:tr>
      <w:tr w14:paraId="72F78109">
        <w:tblPrEx>
          <w:tblCellMar>
            <w:top w:w="0" w:type="dxa"/>
            <w:left w:w="108" w:type="dxa"/>
            <w:bottom w:w="0" w:type="dxa"/>
            <w:right w:w="108" w:type="dxa"/>
          </w:tblCellMar>
        </w:tblPrEx>
        <w:trPr>
          <w:trHeight w:val="680" w:hRule="atLeast"/>
        </w:trPr>
        <w:tc>
          <w:tcPr>
            <w:tcW w:w="857" w:type="dxa"/>
            <w:tcBorders>
              <w:top w:val="single" w:color="000000" w:sz="4" w:space="0"/>
              <w:left w:val="single" w:color="000000" w:sz="4" w:space="0"/>
              <w:bottom w:val="single" w:color="000000" w:sz="4" w:space="0"/>
              <w:right w:val="single" w:color="000000" w:sz="4" w:space="0"/>
            </w:tcBorders>
            <w:noWrap/>
            <w:vAlign w:val="center"/>
          </w:tcPr>
          <w:p w14:paraId="051DF526">
            <w:pPr>
              <w:widowControl/>
              <w:spacing w:line="240" w:lineRule="atLeast"/>
              <w:jc w:val="center"/>
              <w:textAlignment w:val="center"/>
              <w:rPr>
                <w:rFonts w:hint="eastAsia" w:ascii="宋体" w:hAnsi="宋体"/>
                <w:color w:val="000000"/>
                <w:szCs w:val="21"/>
              </w:rPr>
            </w:pPr>
            <w:r>
              <w:rPr>
                <w:rFonts w:ascii="宋体" w:hAnsi="宋体"/>
                <w:color w:val="000000"/>
                <w:kern w:val="0"/>
                <w:szCs w:val="21"/>
              </w:rPr>
              <w:t>11</w:t>
            </w:r>
          </w:p>
        </w:tc>
        <w:tc>
          <w:tcPr>
            <w:tcW w:w="2139" w:type="dxa"/>
            <w:tcBorders>
              <w:top w:val="single" w:color="000000" w:sz="4" w:space="0"/>
              <w:left w:val="nil"/>
              <w:bottom w:val="single" w:color="000000" w:sz="4" w:space="0"/>
              <w:right w:val="single" w:color="000000" w:sz="4" w:space="0"/>
            </w:tcBorders>
            <w:noWrap/>
            <w:vAlign w:val="center"/>
          </w:tcPr>
          <w:p w14:paraId="695272DE">
            <w:pPr>
              <w:widowControl/>
              <w:spacing w:line="240" w:lineRule="atLeast"/>
              <w:jc w:val="center"/>
              <w:textAlignment w:val="center"/>
              <w:rPr>
                <w:rFonts w:hint="eastAsia" w:ascii="宋体" w:hAnsi="宋体"/>
                <w:color w:val="000000"/>
                <w:szCs w:val="21"/>
              </w:rPr>
            </w:pPr>
            <w:r>
              <w:rPr>
                <w:rFonts w:ascii="宋体" w:hAnsi="宋体"/>
                <w:szCs w:val="21"/>
              </w:rPr>
              <w:t>PPR管</w:t>
            </w:r>
          </w:p>
        </w:tc>
        <w:tc>
          <w:tcPr>
            <w:tcW w:w="5526" w:type="dxa"/>
            <w:tcBorders>
              <w:top w:val="single" w:color="000000" w:sz="4" w:space="0"/>
              <w:left w:val="nil"/>
              <w:bottom w:val="single" w:color="000000" w:sz="4" w:space="0"/>
              <w:right w:val="single" w:color="000000" w:sz="4" w:space="0"/>
            </w:tcBorders>
            <w:vAlign w:val="center"/>
          </w:tcPr>
          <w:p w14:paraId="1B0D941B">
            <w:pPr>
              <w:spacing w:line="240" w:lineRule="atLeast"/>
              <w:jc w:val="center"/>
              <w:rPr>
                <w:rFonts w:hint="eastAsia" w:ascii="宋体" w:hAnsi="宋体"/>
                <w:color w:val="000000"/>
                <w:szCs w:val="21"/>
              </w:rPr>
            </w:pPr>
            <w:r>
              <w:rPr>
                <w:rFonts w:ascii="宋体" w:hAnsi="宋体"/>
                <w:color w:val="000000"/>
                <w:szCs w:val="21"/>
              </w:rPr>
              <w:t>联塑、伟星、索邦管业</w:t>
            </w:r>
          </w:p>
        </w:tc>
      </w:tr>
      <w:tr w14:paraId="30FF9F3A">
        <w:tblPrEx>
          <w:tblCellMar>
            <w:top w:w="0" w:type="dxa"/>
            <w:left w:w="108" w:type="dxa"/>
            <w:bottom w:w="0" w:type="dxa"/>
            <w:right w:w="108" w:type="dxa"/>
          </w:tblCellMar>
        </w:tblPrEx>
        <w:trPr>
          <w:trHeight w:val="680" w:hRule="atLeast"/>
        </w:trPr>
        <w:tc>
          <w:tcPr>
            <w:tcW w:w="857" w:type="dxa"/>
            <w:tcBorders>
              <w:top w:val="single" w:color="000000" w:sz="4" w:space="0"/>
              <w:left w:val="single" w:color="000000" w:sz="4" w:space="0"/>
              <w:bottom w:val="single" w:color="000000" w:sz="4" w:space="0"/>
              <w:right w:val="single" w:color="000000" w:sz="4" w:space="0"/>
            </w:tcBorders>
            <w:noWrap/>
            <w:vAlign w:val="center"/>
          </w:tcPr>
          <w:p w14:paraId="1C1E1D13">
            <w:pPr>
              <w:widowControl/>
              <w:spacing w:line="240" w:lineRule="atLeast"/>
              <w:jc w:val="center"/>
              <w:textAlignment w:val="center"/>
              <w:rPr>
                <w:rFonts w:hint="eastAsia" w:ascii="宋体" w:hAnsi="宋体"/>
                <w:color w:val="000000"/>
                <w:szCs w:val="21"/>
              </w:rPr>
            </w:pPr>
            <w:r>
              <w:rPr>
                <w:rFonts w:ascii="宋体" w:hAnsi="宋体"/>
                <w:color w:val="000000"/>
                <w:kern w:val="0"/>
                <w:szCs w:val="21"/>
              </w:rPr>
              <w:t>12</w:t>
            </w:r>
          </w:p>
        </w:tc>
        <w:tc>
          <w:tcPr>
            <w:tcW w:w="2139" w:type="dxa"/>
            <w:tcBorders>
              <w:top w:val="single" w:color="000000" w:sz="4" w:space="0"/>
              <w:left w:val="nil"/>
              <w:bottom w:val="single" w:color="000000" w:sz="4" w:space="0"/>
              <w:right w:val="single" w:color="000000" w:sz="4" w:space="0"/>
            </w:tcBorders>
            <w:noWrap/>
            <w:vAlign w:val="center"/>
          </w:tcPr>
          <w:p w14:paraId="4A4E1D78">
            <w:pPr>
              <w:widowControl/>
              <w:spacing w:line="240" w:lineRule="atLeast"/>
              <w:jc w:val="center"/>
              <w:textAlignment w:val="center"/>
              <w:rPr>
                <w:rFonts w:hint="eastAsia" w:ascii="宋体" w:hAnsi="宋体"/>
                <w:color w:val="000000"/>
                <w:szCs w:val="21"/>
              </w:rPr>
            </w:pPr>
            <w:r>
              <w:rPr>
                <w:rFonts w:ascii="宋体" w:hAnsi="宋体"/>
                <w:szCs w:val="21"/>
              </w:rPr>
              <w:t>橡塑海绵管壳</w:t>
            </w:r>
          </w:p>
        </w:tc>
        <w:tc>
          <w:tcPr>
            <w:tcW w:w="5526" w:type="dxa"/>
            <w:tcBorders>
              <w:top w:val="single" w:color="000000" w:sz="4" w:space="0"/>
              <w:left w:val="nil"/>
              <w:bottom w:val="single" w:color="000000" w:sz="4" w:space="0"/>
              <w:right w:val="single" w:color="000000" w:sz="4" w:space="0"/>
            </w:tcBorders>
            <w:noWrap/>
            <w:vAlign w:val="center"/>
          </w:tcPr>
          <w:p w14:paraId="31CD6DF2">
            <w:pPr>
              <w:widowControl/>
              <w:spacing w:line="240" w:lineRule="atLeast"/>
              <w:jc w:val="center"/>
              <w:textAlignment w:val="center"/>
              <w:rPr>
                <w:rFonts w:hint="eastAsia" w:ascii="宋体" w:hAnsi="宋体"/>
                <w:color w:val="000000"/>
                <w:szCs w:val="21"/>
              </w:rPr>
            </w:pPr>
            <w:r>
              <w:rPr>
                <w:rFonts w:ascii="宋体" w:hAnsi="宋体"/>
                <w:color w:val="000000"/>
                <w:szCs w:val="21"/>
              </w:rPr>
              <w:t>华美橡塑、阿乐斯、赢胜、杜肯</w:t>
            </w:r>
          </w:p>
        </w:tc>
      </w:tr>
      <w:tr w14:paraId="32F7FF8D">
        <w:tblPrEx>
          <w:tblCellMar>
            <w:top w:w="0" w:type="dxa"/>
            <w:left w:w="108" w:type="dxa"/>
            <w:bottom w:w="0" w:type="dxa"/>
            <w:right w:w="108" w:type="dxa"/>
          </w:tblCellMar>
        </w:tblPrEx>
        <w:trPr>
          <w:trHeight w:val="680" w:hRule="atLeast"/>
        </w:trPr>
        <w:tc>
          <w:tcPr>
            <w:tcW w:w="857" w:type="dxa"/>
            <w:tcBorders>
              <w:top w:val="single" w:color="000000" w:sz="4" w:space="0"/>
              <w:left w:val="single" w:color="000000" w:sz="4" w:space="0"/>
              <w:bottom w:val="single" w:color="000000" w:sz="4" w:space="0"/>
              <w:right w:val="single" w:color="000000" w:sz="4" w:space="0"/>
            </w:tcBorders>
            <w:noWrap/>
            <w:vAlign w:val="center"/>
          </w:tcPr>
          <w:p w14:paraId="598C4464">
            <w:pPr>
              <w:widowControl/>
              <w:spacing w:line="240" w:lineRule="atLeast"/>
              <w:jc w:val="center"/>
              <w:textAlignment w:val="center"/>
              <w:rPr>
                <w:rFonts w:hint="eastAsia" w:ascii="宋体" w:hAnsi="宋体"/>
                <w:color w:val="000000"/>
                <w:szCs w:val="21"/>
              </w:rPr>
            </w:pPr>
            <w:r>
              <w:rPr>
                <w:rFonts w:ascii="宋体" w:hAnsi="宋体"/>
                <w:color w:val="000000"/>
                <w:kern w:val="0"/>
                <w:szCs w:val="21"/>
              </w:rPr>
              <w:t>13</w:t>
            </w:r>
          </w:p>
        </w:tc>
        <w:tc>
          <w:tcPr>
            <w:tcW w:w="2139" w:type="dxa"/>
            <w:tcBorders>
              <w:top w:val="single" w:color="000000" w:sz="4" w:space="0"/>
              <w:left w:val="nil"/>
              <w:bottom w:val="single" w:color="000000" w:sz="4" w:space="0"/>
              <w:right w:val="single" w:color="000000" w:sz="4" w:space="0"/>
            </w:tcBorders>
            <w:noWrap/>
            <w:vAlign w:val="center"/>
          </w:tcPr>
          <w:p w14:paraId="7528A5BD">
            <w:pPr>
              <w:widowControl/>
              <w:spacing w:line="240" w:lineRule="atLeast"/>
              <w:jc w:val="center"/>
              <w:textAlignment w:val="center"/>
              <w:rPr>
                <w:rFonts w:hint="eastAsia" w:ascii="宋体" w:hAnsi="宋体"/>
                <w:color w:val="000000"/>
                <w:szCs w:val="21"/>
              </w:rPr>
            </w:pPr>
            <w:r>
              <w:rPr>
                <w:rFonts w:ascii="宋体" w:hAnsi="宋体"/>
                <w:szCs w:val="21"/>
              </w:rPr>
              <w:t>灯具</w:t>
            </w:r>
          </w:p>
        </w:tc>
        <w:tc>
          <w:tcPr>
            <w:tcW w:w="5526" w:type="dxa"/>
            <w:tcBorders>
              <w:top w:val="single" w:color="000000" w:sz="4" w:space="0"/>
              <w:left w:val="nil"/>
              <w:bottom w:val="single" w:color="000000" w:sz="4" w:space="0"/>
              <w:right w:val="single" w:color="000000" w:sz="4" w:space="0"/>
            </w:tcBorders>
            <w:noWrap/>
            <w:vAlign w:val="center"/>
          </w:tcPr>
          <w:p w14:paraId="336B35B4">
            <w:pPr>
              <w:widowControl/>
              <w:spacing w:line="240" w:lineRule="atLeast"/>
              <w:jc w:val="center"/>
              <w:textAlignment w:val="center"/>
              <w:rPr>
                <w:rFonts w:hint="eastAsia" w:ascii="宋体" w:hAnsi="宋体"/>
                <w:color w:val="000000"/>
                <w:szCs w:val="21"/>
              </w:rPr>
            </w:pPr>
            <w:r>
              <w:rPr>
                <w:rFonts w:ascii="宋体" w:hAnsi="宋体"/>
                <w:color w:val="000000"/>
                <w:szCs w:val="21"/>
              </w:rPr>
              <w:t>欧普、雷士、佛山照明、松下</w:t>
            </w:r>
          </w:p>
        </w:tc>
      </w:tr>
      <w:tr w14:paraId="147B3DE6">
        <w:tblPrEx>
          <w:tblCellMar>
            <w:top w:w="0" w:type="dxa"/>
            <w:left w:w="108" w:type="dxa"/>
            <w:bottom w:w="0" w:type="dxa"/>
            <w:right w:w="108" w:type="dxa"/>
          </w:tblCellMar>
        </w:tblPrEx>
        <w:trPr>
          <w:trHeight w:val="680" w:hRule="atLeast"/>
        </w:trPr>
        <w:tc>
          <w:tcPr>
            <w:tcW w:w="857" w:type="dxa"/>
            <w:tcBorders>
              <w:top w:val="single" w:color="000000" w:sz="4" w:space="0"/>
              <w:left w:val="single" w:color="000000" w:sz="4" w:space="0"/>
              <w:bottom w:val="single" w:color="000000" w:sz="4" w:space="0"/>
              <w:right w:val="single" w:color="000000" w:sz="4" w:space="0"/>
            </w:tcBorders>
            <w:noWrap/>
            <w:vAlign w:val="center"/>
          </w:tcPr>
          <w:p w14:paraId="6F1390CC">
            <w:pPr>
              <w:widowControl/>
              <w:spacing w:line="240" w:lineRule="atLeast"/>
              <w:jc w:val="center"/>
              <w:textAlignment w:val="center"/>
              <w:rPr>
                <w:rFonts w:hint="eastAsia" w:ascii="宋体" w:hAnsi="宋体"/>
                <w:color w:val="000000"/>
                <w:szCs w:val="21"/>
              </w:rPr>
            </w:pPr>
            <w:r>
              <w:rPr>
                <w:rFonts w:ascii="宋体" w:hAnsi="宋体"/>
                <w:color w:val="000000"/>
                <w:kern w:val="0"/>
                <w:szCs w:val="21"/>
              </w:rPr>
              <w:t>14</w:t>
            </w:r>
          </w:p>
        </w:tc>
        <w:tc>
          <w:tcPr>
            <w:tcW w:w="2139" w:type="dxa"/>
            <w:tcBorders>
              <w:top w:val="single" w:color="000000" w:sz="4" w:space="0"/>
              <w:left w:val="nil"/>
              <w:bottom w:val="single" w:color="000000" w:sz="4" w:space="0"/>
              <w:right w:val="single" w:color="000000" w:sz="4" w:space="0"/>
            </w:tcBorders>
            <w:noWrap/>
            <w:vAlign w:val="center"/>
          </w:tcPr>
          <w:p w14:paraId="5CA6D460">
            <w:pPr>
              <w:widowControl/>
              <w:spacing w:line="240" w:lineRule="atLeast"/>
              <w:jc w:val="center"/>
              <w:textAlignment w:val="center"/>
              <w:rPr>
                <w:rFonts w:hint="eastAsia" w:ascii="宋体" w:hAnsi="宋体"/>
                <w:color w:val="000000"/>
                <w:szCs w:val="21"/>
              </w:rPr>
            </w:pPr>
            <w:r>
              <w:rPr>
                <w:rFonts w:ascii="宋体" w:hAnsi="宋体"/>
                <w:szCs w:val="21"/>
              </w:rPr>
              <w:t>监控摄像头</w:t>
            </w:r>
          </w:p>
        </w:tc>
        <w:tc>
          <w:tcPr>
            <w:tcW w:w="5526" w:type="dxa"/>
            <w:tcBorders>
              <w:top w:val="single" w:color="000000" w:sz="4" w:space="0"/>
              <w:left w:val="nil"/>
              <w:bottom w:val="single" w:color="000000" w:sz="4" w:space="0"/>
              <w:right w:val="single" w:color="000000" w:sz="4" w:space="0"/>
            </w:tcBorders>
            <w:vAlign w:val="center"/>
          </w:tcPr>
          <w:p w14:paraId="072E40DE">
            <w:pPr>
              <w:widowControl/>
              <w:spacing w:line="240" w:lineRule="atLeast"/>
              <w:jc w:val="center"/>
              <w:textAlignment w:val="center"/>
              <w:rPr>
                <w:rFonts w:hint="eastAsia" w:ascii="宋体" w:hAnsi="宋体"/>
                <w:color w:val="000000"/>
                <w:szCs w:val="21"/>
              </w:rPr>
            </w:pPr>
            <w:r>
              <w:rPr>
                <w:rFonts w:ascii="宋体" w:hAnsi="宋体"/>
                <w:color w:val="000000"/>
                <w:szCs w:val="21"/>
              </w:rPr>
              <w:t>海康威视、大华、天地伟业</w:t>
            </w:r>
          </w:p>
        </w:tc>
      </w:tr>
      <w:tr w14:paraId="7EE2C83B">
        <w:tblPrEx>
          <w:tblCellMar>
            <w:top w:w="0" w:type="dxa"/>
            <w:left w:w="108" w:type="dxa"/>
            <w:bottom w:w="0" w:type="dxa"/>
            <w:right w:w="108" w:type="dxa"/>
          </w:tblCellMar>
        </w:tblPrEx>
        <w:trPr>
          <w:trHeight w:val="680" w:hRule="atLeast"/>
        </w:trPr>
        <w:tc>
          <w:tcPr>
            <w:tcW w:w="857" w:type="dxa"/>
            <w:tcBorders>
              <w:top w:val="single" w:color="000000" w:sz="4" w:space="0"/>
              <w:left w:val="single" w:color="000000" w:sz="4" w:space="0"/>
              <w:bottom w:val="single" w:color="000000" w:sz="4" w:space="0"/>
              <w:right w:val="single" w:color="000000" w:sz="4" w:space="0"/>
            </w:tcBorders>
            <w:noWrap/>
            <w:vAlign w:val="center"/>
          </w:tcPr>
          <w:p w14:paraId="57024B56">
            <w:pPr>
              <w:widowControl/>
              <w:spacing w:line="240" w:lineRule="atLeast"/>
              <w:jc w:val="center"/>
              <w:textAlignment w:val="center"/>
              <w:rPr>
                <w:rFonts w:hint="eastAsia" w:ascii="宋体" w:hAnsi="宋体"/>
                <w:color w:val="000000"/>
                <w:kern w:val="0"/>
                <w:szCs w:val="21"/>
              </w:rPr>
            </w:pPr>
            <w:r>
              <w:rPr>
                <w:rFonts w:ascii="宋体" w:hAnsi="宋体"/>
                <w:color w:val="000000"/>
                <w:kern w:val="0"/>
                <w:szCs w:val="21"/>
              </w:rPr>
              <w:t>15</w:t>
            </w:r>
          </w:p>
        </w:tc>
        <w:tc>
          <w:tcPr>
            <w:tcW w:w="2139" w:type="dxa"/>
            <w:tcBorders>
              <w:top w:val="single" w:color="000000" w:sz="4" w:space="0"/>
              <w:left w:val="nil"/>
              <w:bottom w:val="single" w:color="000000" w:sz="4" w:space="0"/>
              <w:right w:val="single" w:color="000000" w:sz="4" w:space="0"/>
            </w:tcBorders>
            <w:noWrap/>
            <w:vAlign w:val="center"/>
          </w:tcPr>
          <w:p w14:paraId="0E111795">
            <w:pPr>
              <w:widowControl/>
              <w:spacing w:line="240" w:lineRule="atLeast"/>
              <w:jc w:val="center"/>
              <w:textAlignment w:val="center"/>
              <w:rPr>
                <w:rFonts w:hint="eastAsia" w:ascii="宋体" w:hAnsi="宋体"/>
                <w:color w:val="000000"/>
                <w:szCs w:val="21"/>
              </w:rPr>
            </w:pPr>
            <w:r>
              <w:rPr>
                <w:rFonts w:ascii="宋体" w:hAnsi="宋体"/>
                <w:color w:val="000000"/>
                <w:szCs w:val="21"/>
              </w:rPr>
              <w:t>开关插座面板</w:t>
            </w:r>
          </w:p>
        </w:tc>
        <w:tc>
          <w:tcPr>
            <w:tcW w:w="5526" w:type="dxa"/>
            <w:tcBorders>
              <w:top w:val="single" w:color="000000" w:sz="4" w:space="0"/>
              <w:left w:val="nil"/>
              <w:bottom w:val="single" w:color="000000" w:sz="4" w:space="0"/>
              <w:right w:val="single" w:color="000000" w:sz="4" w:space="0"/>
            </w:tcBorders>
            <w:vAlign w:val="center"/>
          </w:tcPr>
          <w:p w14:paraId="40C273D7">
            <w:pPr>
              <w:spacing w:line="240" w:lineRule="atLeast"/>
              <w:jc w:val="center"/>
              <w:rPr>
                <w:rFonts w:hint="eastAsia" w:ascii="宋体" w:hAnsi="宋体"/>
                <w:color w:val="000000"/>
                <w:szCs w:val="21"/>
              </w:rPr>
            </w:pPr>
            <w:r>
              <w:rPr>
                <w:rFonts w:ascii="宋体" w:hAnsi="宋体"/>
                <w:color w:val="000000"/>
                <w:szCs w:val="21"/>
              </w:rPr>
              <w:t>公牛、西门子、欧普、雷士</w:t>
            </w:r>
          </w:p>
        </w:tc>
      </w:tr>
      <w:tr w14:paraId="6C3B9905">
        <w:tblPrEx>
          <w:tblCellMar>
            <w:top w:w="0" w:type="dxa"/>
            <w:left w:w="108" w:type="dxa"/>
            <w:bottom w:w="0" w:type="dxa"/>
            <w:right w:w="108" w:type="dxa"/>
          </w:tblCellMar>
        </w:tblPrEx>
        <w:trPr>
          <w:trHeight w:val="680" w:hRule="atLeast"/>
        </w:trPr>
        <w:tc>
          <w:tcPr>
            <w:tcW w:w="857" w:type="dxa"/>
            <w:tcBorders>
              <w:top w:val="single" w:color="000000" w:sz="4" w:space="0"/>
              <w:left w:val="single" w:color="000000" w:sz="4" w:space="0"/>
              <w:bottom w:val="single" w:color="000000" w:sz="4" w:space="0"/>
              <w:right w:val="single" w:color="000000" w:sz="4" w:space="0"/>
            </w:tcBorders>
            <w:noWrap/>
            <w:vAlign w:val="center"/>
          </w:tcPr>
          <w:p w14:paraId="5D288A6D">
            <w:pPr>
              <w:widowControl/>
              <w:spacing w:line="240" w:lineRule="atLeast"/>
              <w:jc w:val="center"/>
              <w:textAlignment w:val="center"/>
              <w:rPr>
                <w:rFonts w:hint="eastAsia" w:ascii="宋体" w:hAnsi="宋体"/>
                <w:color w:val="000000"/>
                <w:kern w:val="0"/>
                <w:szCs w:val="21"/>
              </w:rPr>
            </w:pPr>
            <w:r>
              <w:rPr>
                <w:rFonts w:ascii="宋体" w:hAnsi="宋体"/>
                <w:color w:val="000000"/>
                <w:kern w:val="0"/>
                <w:szCs w:val="21"/>
              </w:rPr>
              <w:t>16</w:t>
            </w:r>
          </w:p>
        </w:tc>
        <w:tc>
          <w:tcPr>
            <w:tcW w:w="2139" w:type="dxa"/>
            <w:tcBorders>
              <w:top w:val="single" w:color="000000" w:sz="4" w:space="0"/>
              <w:left w:val="nil"/>
              <w:bottom w:val="single" w:color="000000" w:sz="4" w:space="0"/>
              <w:right w:val="single" w:color="000000" w:sz="4" w:space="0"/>
            </w:tcBorders>
            <w:noWrap/>
            <w:vAlign w:val="center"/>
          </w:tcPr>
          <w:p w14:paraId="77534F56">
            <w:pPr>
              <w:widowControl/>
              <w:spacing w:line="240" w:lineRule="atLeast"/>
              <w:jc w:val="center"/>
              <w:textAlignment w:val="center"/>
              <w:rPr>
                <w:rFonts w:hint="eastAsia" w:ascii="宋体" w:hAnsi="宋体"/>
                <w:color w:val="000000"/>
                <w:szCs w:val="21"/>
              </w:rPr>
            </w:pPr>
            <w:r>
              <w:rPr>
                <w:rFonts w:ascii="宋体" w:hAnsi="宋体"/>
                <w:color w:val="000000"/>
                <w:szCs w:val="21"/>
              </w:rPr>
              <w:t>五金卫浴</w:t>
            </w:r>
          </w:p>
        </w:tc>
        <w:tc>
          <w:tcPr>
            <w:tcW w:w="5526" w:type="dxa"/>
            <w:tcBorders>
              <w:top w:val="single" w:color="000000" w:sz="4" w:space="0"/>
              <w:left w:val="nil"/>
              <w:bottom w:val="single" w:color="000000" w:sz="4" w:space="0"/>
              <w:right w:val="single" w:color="000000" w:sz="4" w:space="0"/>
            </w:tcBorders>
            <w:vAlign w:val="center"/>
          </w:tcPr>
          <w:p w14:paraId="52178AFB">
            <w:pPr>
              <w:spacing w:line="240" w:lineRule="atLeast"/>
              <w:jc w:val="center"/>
              <w:rPr>
                <w:rFonts w:hint="eastAsia" w:ascii="宋体" w:hAnsi="宋体"/>
                <w:color w:val="000000"/>
                <w:szCs w:val="21"/>
              </w:rPr>
            </w:pPr>
            <w:r>
              <w:rPr>
                <w:rFonts w:ascii="宋体" w:hAnsi="宋体"/>
                <w:color w:val="000000"/>
                <w:szCs w:val="21"/>
              </w:rPr>
              <w:t>恒洁、箭牌、TOTO</w:t>
            </w:r>
          </w:p>
        </w:tc>
      </w:tr>
      <w:tr w14:paraId="07DA7A62">
        <w:tblPrEx>
          <w:tblCellMar>
            <w:top w:w="0" w:type="dxa"/>
            <w:left w:w="108" w:type="dxa"/>
            <w:bottom w:w="0" w:type="dxa"/>
            <w:right w:w="108" w:type="dxa"/>
          </w:tblCellMar>
        </w:tblPrEx>
        <w:trPr>
          <w:trHeight w:val="680" w:hRule="atLeast"/>
        </w:trPr>
        <w:tc>
          <w:tcPr>
            <w:tcW w:w="857" w:type="dxa"/>
            <w:tcBorders>
              <w:top w:val="single" w:color="000000" w:sz="4" w:space="0"/>
              <w:left w:val="single" w:color="000000" w:sz="4" w:space="0"/>
              <w:bottom w:val="single" w:color="000000" w:sz="4" w:space="0"/>
              <w:right w:val="single" w:color="000000" w:sz="4" w:space="0"/>
            </w:tcBorders>
            <w:noWrap/>
            <w:vAlign w:val="center"/>
          </w:tcPr>
          <w:p w14:paraId="456A4CDA">
            <w:pPr>
              <w:widowControl/>
              <w:spacing w:line="240" w:lineRule="atLeast"/>
              <w:jc w:val="center"/>
              <w:textAlignment w:val="center"/>
              <w:rPr>
                <w:rFonts w:hint="eastAsia" w:ascii="宋体" w:hAnsi="宋体"/>
                <w:color w:val="000000"/>
                <w:kern w:val="0"/>
                <w:szCs w:val="21"/>
              </w:rPr>
            </w:pPr>
            <w:r>
              <w:rPr>
                <w:rFonts w:ascii="宋体" w:hAnsi="宋体"/>
                <w:color w:val="000000"/>
                <w:kern w:val="0"/>
                <w:szCs w:val="21"/>
              </w:rPr>
              <w:t>17</w:t>
            </w:r>
          </w:p>
        </w:tc>
        <w:tc>
          <w:tcPr>
            <w:tcW w:w="2139" w:type="dxa"/>
            <w:tcBorders>
              <w:top w:val="single" w:color="000000" w:sz="4" w:space="0"/>
              <w:left w:val="nil"/>
              <w:bottom w:val="single" w:color="000000" w:sz="4" w:space="0"/>
              <w:right w:val="single" w:color="000000" w:sz="4" w:space="0"/>
            </w:tcBorders>
            <w:noWrap/>
            <w:vAlign w:val="center"/>
          </w:tcPr>
          <w:p w14:paraId="1A1320BD">
            <w:pPr>
              <w:widowControl/>
              <w:spacing w:line="240" w:lineRule="atLeast"/>
              <w:jc w:val="center"/>
              <w:textAlignment w:val="center"/>
              <w:rPr>
                <w:rFonts w:hint="eastAsia" w:ascii="宋体" w:hAnsi="宋体"/>
                <w:color w:val="000000"/>
                <w:szCs w:val="21"/>
              </w:rPr>
            </w:pPr>
            <w:r>
              <w:rPr>
                <w:rFonts w:ascii="宋体" w:hAnsi="宋体"/>
                <w:color w:val="000000"/>
                <w:szCs w:val="21"/>
              </w:rPr>
              <w:t>配电箱</w:t>
            </w:r>
          </w:p>
        </w:tc>
        <w:tc>
          <w:tcPr>
            <w:tcW w:w="5526" w:type="dxa"/>
            <w:tcBorders>
              <w:top w:val="single" w:color="000000" w:sz="4" w:space="0"/>
              <w:left w:val="nil"/>
              <w:bottom w:val="single" w:color="000000" w:sz="4" w:space="0"/>
              <w:right w:val="single" w:color="000000" w:sz="4" w:space="0"/>
            </w:tcBorders>
            <w:vAlign w:val="center"/>
          </w:tcPr>
          <w:p w14:paraId="6ADBA875">
            <w:pPr>
              <w:spacing w:line="240" w:lineRule="atLeast"/>
              <w:jc w:val="center"/>
              <w:rPr>
                <w:rFonts w:hint="eastAsia" w:ascii="宋体" w:hAnsi="宋体"/>
                <w:color w:val="000000"/>
                <w:szCs w:val="21"/>
              </w:rPr>
            </w:pPr>
            <w:r>
              <w:rPr>
                <w:rFonts w:ascii="宋体" w:hAnsi="宋体"/>
                <w:color w:val="000000"/>
                <w:szCs w:val="21"/>
              </w:rPr>
              <w:t>正泰、德力西、施耐德、公牛</w:t>
            </w:r>
          </w:p>
        </w:tc>
      </w:tr>
    </w:tbl>
    <w:p w14:paraId="6395A80A">
      <w:pPr>
        <w:spacing w:line="273" w:lineRule="auto"/>
        <w:ind w:firstLine="420" w:firstLineChars="200"/>
        <w:rPr>
          <w:rFonts w:hint="eastAsia" w:ascii="宋体" w:hAnsi="宋体"/>
          <w:kern w:val="0"/>
          <w:szCs w:val="21"/>
        </w:rPr>
      </w:pPr>
      <w:r>
        <w:rPr>
          <w:rFonts w:ascii="宋体" w:hAnsi="宋体"/>
          <w:kern w:val="0"/>
          <w:szCs w:val="21"/>
        </w:rPr>
        <w:t xml:space="preserve"> </w:t>
      </w:r>
    </w:p>
    <w:p w14:paraId="7F5C6870">
      <w:pPr>
        <w:widowControl/>
        <w:spacing w:line="273" w:lineRule="auto"/>
        <w:jc w:val="left"/>
        <w:rPr>
          <w:rFonts w:hint="eastAsia" w:ascii="宋体" w:hAnsi="宋体"/>
          <w:kern w:val="0"/>
          <w:szCs w:val="21"/>
        </w:rPr>
        <w:sectPr>
          <w:pgSz w:w="11906" w:h="16838"/>
          <w:pgMar w:top="1440" w:right="1800" w:bottom="1440" w:left="1800" w:header="851" w:footer="992" w:gutter="0"/>
          <w:pgNumType w:fmt="decimal"/>
          <w:cols w:space="720" w:num="1"/>
          <w:docGrid w:type="lines" w:linePitch="312" w:charSpace="0"/>
        </w:sectPr>
      </w:pPr>
    </w:p>
    <w:p w14:paraId="171F849B">
      <w:pPr>
        <w:spacing w:line="273" w:lineRule="auto"/>
        <w:rPr>
          <w:rFonts w:hint="eastAsia" w:ascii="宋体" w:hAnsi="宋体"/>
          <w:kern w:val="0"/>
          <w:szCs w:val="21"/>
        </w:rPr>
      </w:pPr>
      <w:r>
        <w:rPr>
          <w:rFonts w:ascii="宋体" w:hAnsi="宋体"/>
          <w:kern w:val="0"/>
          <w:szCs w:val="21"/>
        </w:rPr>
        <w:t>附件2</w:t>
      </w:r>
    </w:p>
    <w:p w14:paraId="2F2EE1C9">
      <w:pPr>
        <w:spacing w:line="273" w:lineRule="auto"/>
        <w:ind w:firstLine="420" w:firstLineChars="200"/>
        <w:rPr>
          <w:rFonts w:hint="eastAsia" w:ascii="宋体" w:hAnsi="宋体"/>
          <w:kern w:val="0"/>
          <w:szCs w:val="21"/>
        </w:rPr>
      </w:pPr>
      <w:r>
        <w:rPr>
          <w:rFonts w:ascii="宋体" w:hAnsi="宋体"/>
          <w:kern w:val="0"/>
          <w:szCs w:val="21"/>
        </w:rPr>
        <w:t xml:space="preserve"> </w:t>
      </w:r>
    </w:p>
    <w:p w14:paraId="3498ADB1">
      <w:pPr>
        <w:spacing w:line="273" w:lineRule="auto"/>
        <w:ind w:firstLine="422" w:firstLineChars="200"/>
        <w:jc w:val="center"/>
        <w:rPr>
          <w:rFonts w:hint="eastAsia" w:ascii="宋体" w:hAnsi="宋体"/>
          <w:b/>
          <w:bCs/>
          <w:szCs w:val="21"/>
        </w:rPr>
      </w:pPr>
      <w:r>
        <w:rPr>
          <w:rFonts w:ascii="宋体" w:hAnsi="宋体"/>
          <w:b/>
          <w:bCs/>
          <w:szCs w:val="21"/>
        </w:rPr>
        <w:t>工程质量保修书</w:t>
      </w:r>
    </w:p>
    <w:p w14:paraId="604C38B0">
      <w:pPr>
        <w:spacing w:line="273" w:lineRule="auto"/>
        <w:ind w:firstLine="420" w:firstLineChars="200"/>
        <w:rPr>
          <w:rFonts w:hint="eastAsia" w:ascii="宋体" w:hAnsi="宋体"/>
          <w:kern w:val="0"/>
          <w:szCs w:val="21"/>
        </w:rPr>
      </w:pPr>
      <w:r>
        <w:rPr>
          <w:rFonts w:ascii="宋体" w:hAnsi="宋体"/>
          <w:kern w:val="0"/>
          <w:szCs w:val="21"/>
        </w:rPr>
        <w:t xml:space="preserve"> </w:t>
      </w:r>
    </w:p>
    <w:p w14:paraId="6727AC86">
      <w:pPr>
        <w:spacing w:line="400" w:lineRule="exact"/>
        <w:ind w:firstLine="420" w:firstLineChars="200"/>
        <w:rPr>
          <w:rFonts w:hint="eastAsia" w:ascii="宋体" w:hAnsi="宋体"/>
          <w:szCs w:val="21"/>
        </w:rPr>
      </w:pPr>
      <w:r>
        <w:rPr>
          <w:rFonts w:ascii="宋体" w:hAnsi="宋体"/>
          <w:szCs w:val="21"/>
        </w:rPr>
        <w:t>发包人（全称）：</w:t>
      </w:r>
      <w:r>
        <w:rPr>
          <w:rFonts w:ascii="宋体" w:hAnsi="宋体"/>
          <w:szCs w:val="21"/>
          <w:u w:val="single"/>
        </w:rPr>
        <w:t>中国人民银行郑州培训学院</w:t>
      </w:r>
      <w:r>
        <w:rPr>
          <w:rFonts w:ascii="宋体" w:hAnsi="宋体"/>
          <w:szCs w:val="21"/>
        </w:rPr>
        <w:t xml:space="preserve"> </w:t>
      </w:r>
    </w:p>
    <w:p w14:paraId="781282CB">
      <w:pPr>
        <w:spacing w:line="400" w:lineRule="exact"/>
        <w:ind w:firstLine="420" w:firstLineChars="200"/>
        <w:rPr>
          <w:rFonts w:hint="eastAsia" w:ascii="宋体" w:hAnsi="宋体"/>
          <w:szCs w:val="21"/>
        </w:rPr>
      </w:pPr>
      <w:r>
        <w:rPr>
          <w:rFonts w:ascii="宋体" w:hAnsi="宋体"/>
          <w:szCs w:val="21"/>
        </w:rPr>
        <w:t>承包人（全称）：</w:t>
      </w:r>
      <w:r>
        <w:rPr>
          <w:rFonts w:ascii="宋体" w:hAnsi="宋体"/>
          <w:szCs w:val="21"/>
          <w:u w:val="single"/>
        </w:rPr>
        <w:t xml:space="preserve">                        </w:t>
      </w:r>
    </w:p>
    <w:p w14:paraId="79309815">
      <w:pPr>
        <w:spacing w:line="400" w:lineRule="exact"/>
        <w:ind w:firstLine="420" w:firstLineChars="200"/>
        <w:rPr>
          <w:rFonts w:hint="eastAsia" w:ascii="宋体" w:hAnsi="宋体"/>
          <w:szCs w:val="21"/>
        </w:rPr>
      </w:pPr>
      <w:r>
        <w:rPr>
          <w:rFonts w:ascii="宋体" w:hAnsi="宋体"/>
          <w:szCs w:val="21"/>
        </w:rPr>
        <w:t xml:space="preserve"> </w:t>
      </w:r>
    </w:p>
    <w:p w14:paraId="58476506">
      <w:pPr>
        <w:spacing w:line="400" w:lineRule="exact"/>
        <w:ind w:firstLine="420" w:firstLineChars="200"/>
        <w:rPr>
          <w:rFonts w:hint="eastAsia" w:ascii="宋体" w:hAnsi="宋体"/>
          <w:szCs w:val="21"/>
        </w:rPr>
      </w:pPr>
      <w:r>
        <w:rPr>
          <w:rFonts w:ascii="宋体" w:hAnsi="宋体"/>
          <w:szCs w:val="21"/>
        </w:rPr>
        <w:t>发包人和承包人根据《中华人民共和国建筑法》和《建设工程质量管理条例》，经协商一致就</w:t>
      </w:r>
      <w:r>
        <w:rPr>
          <w:rFonts w:ascii="宋体" w:hAnsi="宋体"/>
          <w:szCs w:val="21"/>
          <w:u w:val="single"/>
        </w:rPr>
        <w:t>中国人民银行郑州培训学院二号培训楼修缮改造项目（四层五层及三层北区）</w:t>
      </w:r>
      <w:r>
        <w:rPr>
          <w:rFonts w:ascii="宋体" w:hAnsi="宋体"/>
          <w:szCs w:val="21"/>
        </w:rPr>
        <w:t>签订工程质量保修书。</w:t>
      </w:r>
    </w:p>
    <w:p w14:paraId="45FB79B6">
      <w:pPr>
        <w:spacing w:line="400" w:lineRule="exact"/>
        <w:ind w:firstLine="420" w:firstLineChars="200"/>
        <w:outlineLvl w:val="0"/>
        <w:rPr>
          <w:rFonts w:hint="eastAsia" w:ascii="宋体" w:hAnsi="宋体"/>
          <w:szCs w:val="21"/>
        </w:rPr>
      </w:pPr>
      <w:r>
        <w:rPr>
          <w:rFonts w:ascii="宋体" w:hAnsi="宋体"/>
          <w:szCs w:val="21"/>
        </w:rPr>
        <w:t>一、工程质量保修范围和内容</w:t>
      </w:r>
    </w:p>
    <w:p w14:paraId="5B790F7C">
      <w:pPr>
        <w:spacing w:line="400" w:lineRule="exact"/>
        <w:ind w:firstLine="420" w:firstLineChars="200"/>
        <w:rPr>
          <w:rFonts w:hint="eastAsia" w:ascii="宋体" w:hAnsi="宋体"/>
          <w:szCs w:val="21"/>
        </w:rPr>
      </w:pPr>
      <w:r>
        <w:rPr>
          <w:rFonts w:ascii="宋体" w:hAnsi="宋体"/>
          <w:szCs w:val="21"/>
        </w:rPr>
        <w:t>承包人在质量保修期内，按照有关法律规定和合同约定，承担工程质量保修责任。</w:t>
      </w:r>
    </w:p>
    <w:p w14:paraId="4E53F61E">
      <w:pPr>
        <w:spacing w:line="400" w:lineRule="exact"/>
        <w:ind w:firstLine="420" w:firstLineChars="200"/>
        <w:rPr>
          <w:rFonts w:hint="eastAsia" w:ascii="宋体" w:hAnsi="宋体"/>
          <w:szCs w:val="21"/>
        </w:rPr>
      </w:pPr>
      <w:r>
        <w:rPr>
          <w:rFonts w:ascii="宋体" w:hAnsi="宋体"/>
          <w:szCs w:val="21"/>
        </w:rPr>
        <w:t>质量保修范围包括装饰工程、强电工程、弱电工程、给排水工程、消防工程等，以及双方约定的其他项目。具体保修的内容，双方约定如下：</w:t>
      </w:r>
    </w:p>
    <w:p w14:paraId="0615B039">
      <w:pPr>
        <w:spacing w:line="400" w:lineRule="exact"/>
        <w:ind w:firstLine="420" w:firstLineChars="200"/>
        <w:rPr>
          <w:rFonts w:hint="eastAsia" w:ascii="宋体" w:hAnsi="宋体"/>
          <w:szCs w:val="21"/>
        </w:rPr>
      </w:pPr>
      <w:r>
        <w:rPr>
          <w:rFonts w:ascii="宋体" w:hAnsi="宋体"/>
          <w:szCs w:val="21"/>
          <w:u w:val="single"/>
        </w:rPr>
        <w:t xml:space="preserve">供热与供冷系统（空调系统）、管道安装及设备安装工程、电气管线、给排水（生活冷、热水，管道安装及设备安装工程、装修工程、屋面及室内防水工程等招标文件中所列全部内容。                                                                        </w:t>
      </w:r>
    </w:p>
    <w:p w14:paraId="09162D96">
      <w:pPr>
        <w:spacing w:line="400" w:lineRule="exact"/>
        <w:ind w:firstLine="420" w:firstLineChars="200"/>
        <w:outlineLvl w:val="0"/>
        <w:rPr>
          <w:rFonts w:hint="eastAsia" w:ascii="宋体" w:hAnsi="宋体"/>
          <w:szCs w:val="21"/>
        </w:rPr>
      </w:pPr>
      <w:r>
        <w:rPr>
          <w:rFonts w:ascii="宋体" w:hAnsi="宋体"/>
          <w:szCs w:val="21"/>
        </w:rPr>
        <w:t>二、质量保修期</w:t>
      </w:r>
    </w:p>
    <w:p w14:paraId="32DF93C8">
      <w:pPr>
        <w:spacing w:line="400" w:lineRule="exact"/>
        <w:ind w:firstLine="420" w:firstLineChars="200"/>
        <w:rPr>
          <w:rFonts w:hint="eastAsia" w:ascii="宋体" w:hAnsi="宋体"/>
          <w:szCs w:val="21"/>
        </w:rPr>
      </w:pPr>
      <w:r>
        <w:rPr>
          <w:rFonts w:ascii="宋体" w:hAnsi="宋体"/>
          <w:szCs w:val="21"/>
        </w:rPr>
        <w:t>根据《建设工程质量管理条例》及有关规定，工程的质量保修期如下：</w:t>
      </w:r>
    </w:p>
    <w:p w14:paraId="463533A7">
      <w:pPr>
        <w:spacing w:line="400" w:lineRule="exact"/>
        <w:ind w:firstLine="420" w:firstLineChars="200"/>
        <w:rPr>
          <w:rFonts w:hint="eastAsia" w:ascii="宋体" w:hAnsi="宋体"/>
          <w:szCs w:val="21"/>
        </w:rPr>
      </w:pPr>
      <w:r>
        <w:rPr>
          <w:rFonts w:ascii="宋体" w:hAnsi="宋体"/>
          <w:szCs w:val="21"/>
        </w:rPr>
        <w:t>1.屋面及室内防水工程5年；</w:t>
      </w:r>
    </w:p>
    <w:p w14:paraId="020B58E6">
      <w:pPr>
        <w:spacing w:line="400" w:lineRule="exact"/>
        <w:ind w:firstLine="420" w:firstLineChars="200"/>
        <w:rPr>
          <w:rFonts w:hint="eastAsia" w:ascii="宋体" w:hAnsi="宋体"/>
          <w:szCs w:val="21"/>
        </w:rPr>
      </w:pPr>
      <w:r>
        <w:rPr>
          <w:rFonts w:ascii="宋体" w:hAnsi="宋体"/>
          <w:szCs w:val="21"/>
        </w:rPr>
        <w:t>2.供热与供冷系统（空调系统）、管道安装及设备安装工程2年；</w:t>
      </w:r>
    </w:p>
    <w:p w14:paraId="085E311F">
      <w:pPr>
        <w:spacing w:line="400" w:lineRule="exact"/>
        <w:ind w:firstLine="420" w:firstLineChars="200"/>
        <w:rPr>
          <w:rFonts w:hint="eastAsia" w:ascii="宋体" w:hAnsi="宋体"/>
          <w:szCs w:val="21"/>
        </w:rPr>
      </w:pPr>
      <w:r>
        <w:rPr>
          <w:rFonts w:ascii="宋体" w:hAnsi="宋体"/>
          <w:szCs w:val="21"/>
        </w:rPr>
        <w:t>3.电气管线、给排水（生活冷、热水，消防水等）管道、管道安装及设备安装工程2年；</w:t>
      </w:r>
    </w:p>
    <w:p w14:paraId="208F2345">
      <w:pPr>
        <w:spacing w:line="400" w:lineRule="exact"/>
        <w:ind w:firstLine="420" w:firstLineChars="200"/>
        <w:rPr>
          <w:rFonts w:hint="eastAsia" w:ascii="宋体" w:hAnsi="宋体"/>
          <w:szCs w:val="21"/>
        </w:rPr>
      </w:pPr>
      <w:r>
        <w:rPr>
          <w:rFonts w:ascii="宋体" w:hAnsi="宋体"/>
          <w:szCs w:val="21"/>
        </w:rPr>
        <w:t>4.其他项目2年。</w:t>
      </w:r>
    </w:p>
    <w:p w14:paraId="2E48D098">
      <w:pPr>
        <w:spacing w:line="400" w:lineRule="exact"/>
        <w:ind w:firstLine="420" w:firstLineChars="200"/>
        <w:rPr>
          <w:rFonts w:hint="eastAsia" w:ascii="宋体" w:hAnsi="宋体"/>
          <w:szCs w:val="21"/>
        </w:rPr>
      </w:pPr>
      <w:r>
        <w:rPr>
          <w:rFonts w:ascii="宋体" w:hAnsi="宋体"/>
          <w:szCs w:val="21"/>
        </w:rPr>
        <w:t>质量保修期自工程竣工验收合格之日起计算。</w:t>
      </w:r>
    </w:p>
    <w:p w14:paraId="3A772D33">
      <w:pPr>
        <w:spacing w:line="400" w:lineRule="exact"/>
        <w:ind w:firstLine="420" w:firstLineChars="200"/>
        <w:rPr>
          <w:rFonts w:hint="eastAsia" w:ascii="宋体" w:hAnsi="宋体"/>
          <w:szCs w:val="21"/>
        </w:rPr>
      </w:pPr>
      <w:r>
        <w:rPr>
          <w:rFonts w:ascii="宋体" w:hAnsi="宋体"/>
          <w:szCs w:val="21"/>
        </w:rPr>
        <w:t>三、缺陷责任期</w:t>
      </w:r>
    </w:p>
    <w:p w14:paraId="090DD4C9">
      <w:pPr>
        <w:spacing w:line="400" w:lineRule="exact"/>
        <w:ind w:firstLine="420" w:firstLineChars="200"/>
        <w:rPr>
          <w:rFonts w:hint="eastAsia" w:ascii="宋体" w:hAnsi="宋体"/>
          <w:szCs w:val="21"/>
        </w:rPr>
      </w:pPr>
      <w:r>
        <w:rPr>
          <w:rFonts w:ascii="宋体" w:hAnsi="宋体"/>
          <w:szCs w:val="21"/>
        </w:rPr>
        <w:t>工程缺陷责任期为</w:t>
      </w:r>
      <w:r>
        <w:rPr>
          <w:rFonts w:ascii="宋体" w:hAnsi="宋体"/>
          <w:szCs w:val="21"/>
          <w:u w:val="single"/>
        </w:rPr>
        <w:t xml:space="preserve"> 24 </w:t>
      </w:r>
      <w:r>
        <w:rPr>
          <w:rFonts w:ascii="宋体" w:hAnsi="宋体"/>
          <w:szCs w:val="21"/>
        </w:rPr>
        <w:t>个月，缺陷责任期自工程通过竣工验收合格之日起计算。单位工程先于全部工程进行验收，单位工程缺陷责任期自单位工程验收合格之日起算。</w:t>
      </w:r>
    </w:p>
    <w:p w14:paraId="72A8D751">
      <w:pPr>
        <w:spacing w:line="400" w:lineRule="exact"/>
        <w:ind w:firstLine="420" w:firstLineChars="200"/>
        <w:rPr>
          <w:rFonts w:hint="eastAsia" w:ascii="宋体" w:hAnsi="宋体"/>
          <w:szCs w:val="21"/>
        </w:rPr>
      </w:pPr>
      <w:r>
        <w:rPr>
          <w:rFonts w:ascii="宋体" w:hAnsi="宋体"/>
          <w:szCs w:val="21"/>
        </w:rPr>
        <w:t>缺陷责任期终止后，发包人应退还剩余的质量保证金。</w:t>
      </w:r>
    </w:p>
    <w:p w14:paraId="52593663">
      <w:pPr>
        <w:spacing w:line="400" w:lineRule="exact"/>
        <w:ind w:firstLine="420" w:firstLineChars="200"/>
        <w:rPr>
          <w:rFonts w:hint="eastAsia" w:ascii="宋体" w:hAnsi="宋体"/>
          <w:szCs w:val="21"/>
        </w:rPr>
      </w:pPr>
      <w:r>
        <w:rPr>
          <w:rFonts w:ascii="宋体" w:hAnsi="宋体"/>
          <w:szCs w:val="21"/>
        </w:rPr>
        <w:t>四、质量保修责任</w:t>
      </w:r>
    </w:p>
    <w:p w14:paraId="43884676">
      <w:pPr>
        <w:spacing w:line="400" w:lineRule="exact"/>
        <w:ind w:firstLine="420" w:firstLineChars="200"/>
        <w:rPr>
          <w:rFonts w:hint="eastAsia" w:ascii="宋体" w:hAnsi="宋体"/>
          <w:szCs w:val="21"/>
        </w:rPr>
      </w:pPr>
      <w:r>
        <w:rPr>
          <w:rFonts w:ascii="宋体" w:hAnsi="宋体"/>
          <w:szCs w:val="21"/>
        </w:rPr>
        <w:t>1．属于保修范围、内容的项目，承包人应当在接到保修通知之日起7天内派人保修。承包人不在约定期限内派人保修的，发包人可以委托他人修理，修理费用由乙方承担。</w:t>
      </w:r>
    </w:p>
    <w:p w14:paraId="5E03F62E">
      <w:pPr>
        <w:spacing w:line="400" w:lineRule="exact"/>
        <w:ind w:firstLine="420" w:firstLineChars="200"/>
        <w:rPr>
          <w:rFonts w:hint="eastAsia" w:ascii="宋体" w:hAnsi="宋体"/>
          <w:szCs w:val="21"/>
        </w:rPr>
      </w:pPr>
      <w:r>
        <w:rPr>
          <w:rFonts w:ascii="宋体" w:hAnsi="宋体"/>
          <w:szCs w:val="21"/>
        </w:rPr>
        <w:t>2．发生紧急事故需抢修的，承包人在接到事故通知后，应当立即到达事故现场抢修。</w:t>
      </w:r>
    </w:p>
    <w:p w14:paraId="59083054">
      <w:pPr>
        <w:spacing w:line="400" w:lineRule="exact"/>
        <w:ind w:firstLine="420" w:firstLineChars="200"/>
        <w:rPr>
          <w:rFonts w:hint="eastAsia" w:ascii="宋体" w:hAnsi="宋体"/>
          <w:szCs w:val="21"/>
        </w:rPr>
      </w:pPr>
      <w:r>
        <w:rPr>
          <w:rFonts w:ascii="宋体" w:hAnsi="宋体"/>
          <w:szCs w:val="21"/>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2A32FCC1">
      <w:pPr>
        <w:spacing w:line="400" w:lineRule="exact"/>
        <w:ind w:firstLine="420" w:firstLineChars="200"/>
        <w:rPr>
          <w:rFonts w:hint="eastAsia" w:ascii="宋体" w:hAnsi="宋体"/>
          <w:szCs w:val="21"/>
        </w:rPr>
      </w:pPr>
      <w:r>
        <w:rPr>
          <w:rFonts w:ascii="宋体" w:hAnsi="宋体"/>
          <w:szCs w:val="21"/>
        </w:rPr>
        <w:t>4．质量保修完成后，由发包人组织验收。</w:t>
      </w:r>
    </w:p>
    <w:p w14:paraId="011743B8">
      <w:pPr>
        <w:spacing w:line="400" w:lineRule="exact"/>
        <w:ind w:firstLine="420" w:firstLineChars="200"/>
        <w:rPr>
          <w:rFonts w:hint="eastAsia" w:ascii="宋体" w:hAnsi="宋体"/>
          <w:szCs w:val="21"/>
        </w:rPr>
      </w:pPr>
      <w:r>
        <w:rPr>
          <w:rFonts w:ascii="宋体" w:hAnsi="宋体"/>
          <w:szCs w:val="21"/>
        </w:rPr>
        <w:t>五、保修费用</w:t>
      </w:r>
    </w:p>
    <w:p w14:paraId="748DA7E2">
      <w:pPr>
        <w:spacing w:line="400" w:lineRule="exact"/>
        <w:ind w:firstLine="420" w:firstLineChars="200"/>
        <w:rPr>
          <w:rFonts w:hint="eastAsia" w:ascii="宋体" w:hAnsi="宋体"/>
          <w:szCs w:val="21"/>
        </w:rPr>
      </w:pPr>
      <w:r>
        <w:rPr>
          <w:rFonts w:ascii="宋体" w:hAnsi="宋体"/>
          <w:szCs w:val="21"/>
        </w:rPr>
        <w:t>保修费用由造成质量缺陷的责任方承担。</w:t>
      </w:r>
    </w:p>
    <w:p w14:paraId="796E7239">
      <w:pPr>
        <w:spacing w:line="400" w:lineRule="exact"/>
        <w:ind w:firstLine="420" w:firstLineChars="200"/>
        <w:rPr>
          <w:rFonts w:hint="eastAsia" w:ascii="宋体" w:hAnsi="宋体"/>
          <w:szCs w:val="21"/>
        </w:rPr>
      </w:pPr>
      <w:r>
        <w:rPr>
          <w:rFonts w:ascii="宋体" w:hAnsi="宋体"/>
          <w:szCs w:val="21"/>
        </w:rPr>
        <w:t>六、双方约定的其他工程质量保修事项：</w:t>
      </w:r>
    </w:p>
    <w:p w14:paraId="1D20FA75">
      <w:pPr>
        <w:spacing w:line="400" w:lineRule="exact"/>
        <w:ind w:firstLine="420" w:firstLineChars="200"/>
        <w:rPr>
          <w:rFonts w:hint="eastAsia" w:ascii="宋体" w:hAnsi="宋体"/>
          <w:szCs w:val="21"/>
        </w:rPr>
      </w:pPr>
      <w:r>
        <w:rPr>
          <w:rFonts w:ascii="宋体" w:hAnsi="宋体"/>
          <w:szCs w:val="21"/>
        </w:rPr>
        <w:t>工程质量保修书由发包人、承包人在工程竣工验收前共同签署，作为施工合同附件，其有效期限至保修期满。</w:t>
      </w:r>
    </w:p>
    <w:p w14:paraId="153516D3">
      <w:pPr>
        <w:spacing w:line="400" w:lineRule="exact"/>
        <w:ind w:firstLine="420"/>
        <w:rPr>
          <w:rFonts w:hint="eastAsia" w:ascii="宋体" w:hAnsi="宋体"/>
          <w:szCs w:val="21"/>
        </w:rPr>
      </w:pPr>
      <w:r>
        <w:rPr>
          <w:rFonts w:ascii="宋体" w:hAnsi="宋体"/>
          <w:szCs w:val="21"/>
        </w:rPr>
        <w:t xml:space="preserve"> </w:t>
      </w:r>
    </w:p>
    <w:p w14:paraId="30B95899">
      <w:pPr>
        <w:spacing w:line="400" w:lineRule="exact"/>
        <w:rPr>
          <w:rFonts w:hint="eastAsia" w:ascii="宋体" w:hAnsi="宋体"/>
          <w:szCs w:val="21"/>
        </w:rPr>
      </w:pPr>
      <w:r>
        <w:rPr>
          <w:rFonts w:ascii="宋体" w:hAnsi="宋体"/>
          <w:szCs w:val="21"/>
        </w:rPr>
        <w:t xml:space="preserve">发包人(公章)：                           承包人(公章)： </w:t>
      </w:r>
    </w:p>
    <w:p w14:paraId="5188A50C">
      <w:pPr>
        <w:spacing w:line="400" w:lineRule="exact"/>
        <w:rPr>
          <w:rFonts w:hint="eastAsia" w:ascii="宋体" w:hAnsi="宋体"/>
          <w:szCs w:val="21"/>
        </w:rPr>
      </w:pPr>
      <w:r>
        <w:rPr>
          <w:rFonts w:ascii="宋体" w:hAnsi="宋体"/>
          <w:szCs w:val="21"/>
        </w:rPr>
        <w:t xml:space="preserve">法定代表人或委托代理人(签字)：           法定代表人或委托代理人(签字)：   </w:t>
      </w:r>
    </w:p>
    <w:p w14:paraId="0230916F">
      <w:pPr>
        <w:spacing w:line="400" w:lineRule="exact"/>
        <w:ind w:left="5040" w:hanging="5040" w:hangingChars="2400"/>
        <w:rPr>
          <w:rFonts w:hint="eastAsia" w:ascii="宋体" w:hAnsi="宋体"/>
          <w:szCs w:val="21"/>
        </w:rPr>
      </w:pPr>
      <w:r>
        <w:rPr>
          <w:rFonts w:ascii="宋体" w:hAnsi="宋体"/>
          <w:szCs w:val="21"/>
        </w:rPr>
        <w:t xml:space="preserve">地  址：                                  地  址： </w:t>
      </w:r>
    </w:p>
    <w:p w14:paraId="1C47FB29">
      <w:pPr>
        <w:spacing w:line="400" w:lineRule="exact"/>
        <w:rPr>
          <w:rFonts w:hint="eastAsia" w:ascii="宋体" w:hAnsi="宋体"/>
          <w:szCs w:val="21"/>
        </w:rPr>
      </w:pPr>
      <w:r>
        <w:rPr>
          <w:rFonts w:ascii="宋体" w:hAnsi="宋体"/>
          <w:szCs w:val="21"/>
        </w:rPr>
        <w:t xml:space="preserve">电  话：                                  电  话： </w:t>
      </w:r>
    </w:p>
    <w:p w14:paraId="107B1157">
      <w:pPr>
        <w:spacing w:line="273" w:lineRule="auto"/>
        <w:ind w:firstLine="420" w:firstLineChars="200"/>
        <w:rPr>
          <w:rFonts w:hint="eastAsia" w:ascii="宋体" w:hAnsi="宋体"/>
          <w:kern w:val="0"/>
          <w:szCs w:val="21"/>
        </w:rPr>
      </w:pPr>
      <w:r>
        <w:rPr>
          <w:rFonts w:ascii="宋体" w:hAnsi="宋体"/>
          <w:kern w:val="0"/>
          <w:szCs w:val="21"/>
        </w:rPr>
        <w:t xml:space="preserve"> </w:t>
      </w:r>
    </w:p>
    <w:p w14:paraId="5C54FEFC">
      <w:pPr>
        <w:spacing w:line="273" w:lineRule="auto"/>
        <w:ind w:firstLine="420" w:firstLineChars="200"/>
        <w:rPr>
          <w:rFonts w:hint="eastAsia" w:ascii="宋体" w:hAnsi="宋体"/>
          <w:kern w:val="0"/>
          <w:szCs w:val="21"/>
        </w:rPr>
      </w:pPr>
      <w:r>
        <w:rPr>
          <w:rFonts w:ascii="宋体" w:hAnsi="宋体"/>
          <w:kern w:val="0"/>
          <w:szCs w:val="21"/>
        </w:rPr>
        <w:t xml:space="preserve"> </w:t>
      </w:r>
    </w:p>
    <w:p w14:paraId="43C6F538">
      <w:pPr>
        <w:spacing w:line="273" w:lineRule="auto"/>
        <w:ind w:firstLine="420" w:firstLineChars="200"/>
        <w:rPr>
          <w:rFonts w:hint="eastAsia" w:ascii="宋体" w:hAnsi="宋体"/>
          <w:kern w:val="0"/>
          <w:szCs w:val="21"/>
        </w:rPr>
      </w:pPr>
      <w:r>
        <w:rPr>
          <w:rFonts w:ascii="宋体" w:hAnsi="宋体"/>
          <w:kern w:val="0"/>
          <w:szCs w:val="21"/>
        </w:rPr>
        <w:t xml:space="preserve"> </w:t>
      </w:r>
    </w:p>
    <w:p w14:paraId="42BA3FDB">
      <w:pPr>
        <w:widowControl/>
        <w:spacing w:line="273" w:lineRule="auto"/>
        <w:jc w:val="left"/>
        <w:rPr>
          <w:rFonts w:hint="eastAsia" w:ascii="宋体" w:hAnsi="宋体"/>
          <w:kern w:val="0"/>
          <w:szCs w:val="21"/>
        </w:rPr>
        <w:sectPr>
          <w:pgSz w:w="11906" w:h="16838"/>
          <w:pgMar w:top="1440" w:right="1800" w:bottom="1440" w:left="1800" w:header="851" w:footer="992" w:gutter="0"/>
          <w:pgNumType w:fmt="decimal"/>
          <w:cols w:space="720" w:num="1"/>
          <w:docGrid w:type="lines" w:linePitch="312" w:charSpace="0"/>
        </w:sectPr>
      </w:pPr>
    </w:p>
    <w:p w14:paraId="7E309E94">
      <w:pPr>
        <w:spacing w:line="273" w:lineRule="auto"/>
        <w:rPr>
          <w:rFonts w:hint="eastAsia" w:ascii="宋体" w:hAnsi="宋体"/>
          <w:kern w:val="0"/>
          <w:szCs w:val="21"/>
        </w:rPr>
      </w:pPr>
      <w:r>
        <w:rPr>
          <w:rFonts w:ascii="宋体" w:hAnsi="宋体"/>
          <w:kern w:val="0"/>
          <w:szCs w:val="21"/>
        </w:rPr>
        <w:t>附件3</w:t>
      </w:r>
    </w:p>
    <w:p w14:paraId="2A4094CB">
      <w:pPr>
        <w:spacing w:line="273" w:lineRule="auto"/>
        <w:ind w:firstLine="422" w:firstLineChars="200"/>
        <w:jc w:val="center"/>
        <w:rPr>
          <w:rFonts w:hint="eastAsia" w:ascii="宋体" w:hAnsi="宋体"/>
          <w:b/>
          <w:bCs/>
          <w:szCs w:val="21"/>
        </w:rPr>
      </w:pPr>
      <w:r>
        <w:rPr>
          <w:rFonts w:ascii="宋体" w:hAnsi="宋体"/>
          <w:b/>
          <w:bCs/>
          <w:szCs w:val="21"/>
        </w:rPr>
        <w:t>承包人主要施工管理人员表</w:t>
      </w:r>
    </w:p>
    <w:p w14:paraId="0A99017F">
      <w:pPr>
        <w:spacing w:line="273" w:lineRule="auto"/>
        <w:jc w:val="center"/>
        <w:rPr>
          <w:rFonts w:hint="eastAsia" w:ascii="宋体" w:hAnsi="宋体"/>
          <w:kern w:val="0"/>
          <w:szCs w:val="21"/>
        </w:rPr>
      </w:pPr>
      <w:r>
        <w:rPr>
          <w:rFonts w:ascii="宋体" w:hAnsi="宋体"/>
          <w:kern w:val="0"/>
          <w:szCs w:val="21"/>
        </w:rPr>
        <w:t xml:space="preserve"> </w:t>
      </w:r>
    </w:p>
    <w:tbl>
      <w:tblPr>
        <w:tblStyle w:val="288"/>
        <w:tblW w:w="14002" w:type="dxa"/>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12"/>
        <w:gridCol w:w="1050"/>
        <w:gridCol w:w="2280"/>
        <w:gridCol w:w="1440"/>
        <w:gridCol w:w="1740"/>
        <w:gridCol w:w="1530"/>
        <w:gridCol w:w="2400"/>
        <w:gridCol w:w="1215"/>
        <w:gridCol w:w="1035"/>
      </w:tblGrid>
      <w:tr w14:paraId="5AE80E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312" w:type="dxa"/>
            <w:tcBorders>
              <w:top w:val="single" w:color="000000" w:sz="4" w:space="0"/>
              <w:left w:val="single" w:color="000000" w:sz="4" w:space="0"/>
              <w:bottom w:val="single" w:color="000000" w:sz="4" w:space="0"/>
              <w:right w:val="single" w:color="000000" w:sz="4" w:space="0"/>
            </w:tcBorders>
            <w:vAlign w:val="center"/>
          </w:tcPr>
          <w:p w14:paraId="2ADB1F22">
            <w:pPr>
              <w:widowControl/>
              <w:snapToGrid w:val="0"/>
              <w:spacing w:before="74" w:after="80"/>
              <w:ind w:left="472"/>
              <w:rPr>
                <w:rFonts w:ascii="宋体" w:hAnsi="宋体" w:eastAsia="Times New Roman"/>
                <w:szCs w:val="21"/>
              </w:rPr>
            </w:pPr>
            <w:r>
              <w:rPr>
                <w:rFonts w:ascii="宋体" w:hAnsi="宋体" w:eastAsia="Times New Roman"/>
                <w:spacing w:val="5"/>
                <w:kern w:val="0"/>
                <w:szCs w:val="21"/>
              </w:rPr>
              <w:t>职务</w:t>
            </w:r>
          </w:p>
        </w:tc>
        <w:tc>
          <w:tcPr>
            <w:tcW w:w="1050" w:type="dxa"/>
            <w:tcBorders>
              <w:top w:val="single" w:color="000000" w:sz="4" w:space="0"/>
              <w:left w:val="single" w:color="000000" w:sz="4" w:space="0"/>
              <w:bottom w:val="single" w:color="000000" w:sz="4" w:space="0"/>
              <w:right w:val="single" w:color="000000" w:sz="4" w:space="0"/>
            </w:tcBorders>
            <w:vAlign w:val="center"/>
          </w:tcPr>
          <w:p w14:paraId="33462575">
            <w:pPr>
              <w:widowControl/>
              <w:snapToGrid w:val="0"/>
              <w:spacing w:before="74" w:after="80"/>
              <w:jc w:val="center"/>
              <w:rPr>
                <w:rFonts w:ascii="宋体" w:hAnsi="宋体" w:eastAsia="Times New Roman"/>
                <w:kern w:val="0"/>
                <w:szCs w:val="21"/>
              </w:rPr>
            </w:pPr>
            <w:r>
              <w:rPr>
                <w:rFonts w:ascii="宋体" w:hAnsi="宋体" w:eastAsia="Times New Roman"/>
                <w:spacing w:val="14"/>
                <w:kern w:val="0"/>
                <w:szCs w:val="21"/>
              </w:rPr>
              <w:t>姓名</w:t>
            </w:r>
          </w:p>
        </w:tc>
        <w:tc>
          <w:tcPr>
            <w:tcW w:w="2280" w:type="dxa"/>
            <w:tcBorders>
              <w:top w:val="single" w:color="000000" w:sz="4" w:space="0"/>
              <w:left w:val="single" w:color="000000" w:sz="4" w:space="0"/>
              <w:bottom w:val="single" w:color="000000" w:sz="4" w:space="0"/>
              <w:right w:val="single" w:color="000000" w:sz="4" w:space="0"/>
            </w:tcBorders>
            <w:vAlign w:val="center"/>
          </w:tcPr>
          <w:p w14:paraId="2517C5A2">
            <w:pPr>
              <w:widowControl/>
              <w:snapToGrid w:val="0"/>
              <w:spacing w:before="74" w:after="80"/>
              <w:jc w:val="center"/>
              <w:rPr>
                <w:rFonts w:ascii="宋体" w:hAnsi="宋体" w:eastAsia="Times New Roman"/>
                <w:spacing w:val="5"/>
                <w:kern w:val="0"/>
                <w:szCs w:val="21"/>
              </w:rPr>
            </w:pPr>
            <w:r>
              <w:rPr>
                <w:rFonts w:ascii="宋体" w:hAnsi="宋体" w:eastAsia="Times New Roman"/>
                <w:spacing w:val="5"/>
                <w:kern w:val="0"/>
                <w:szCs w:val="21"/>
              </w:rPr>
              <w:t>身份证号</w:t>
            </w:r>
          </w:p>
        </w:tc>
        <w:tc>
          <w:tcPr>
            <w:tcW w:w="1440" w:type="dxa"/>
            <w:tcBorders>
              <w:top w:val="single" w:color="000000" w:sz="4" w:space="0"/>
              <w:left w:val="single" w:color="000000" w:sz="4" w:space="0"/>
              <w:bottom w:val="single" w:color="000000" w:sz="4" w:space="0"/>
              <w:right w:val="single" w:color="000000" w:sz="4" w:space="0"/>
            </w:tcBorders>
            <w:vAlign w:val="center"/>
          </w:tcPr>
          <w:p w14:paraId="1C05A04F">
            <w:pPr>
              <w:widowControl/>
              <w:snapToGrid w:val="0"/>
              <w:spacing w:before="74" w:after="80"/>
              <w:jc w:val="center"/>
              <w:rPr>
                <w:rFonts w:ascii="宋体" w:hAnsi="宋体" w:eastAsia="Times New Roman"/>
                <w:kern w:val="0"/>
                <w:szCs w:val="21"/>
              </w:rPr>
            </w:pPr>
            <w:r>
              <w:rPr>
                <w:rFonts w:ascii="宋体" w:hAnsi="宋体" w:eastAsia="Times New Roman"/>
                <w:spacing w:val="5"/>
                <w:kern w:val="0"/>
                <w:szCs w:val="21"/>
              </w:rPr>
              <w:t>职称</w:t>
            </w:r>
          </w:p>
        </w:tc>
        <w:tc>
          <w:tcPr>
            <w:tcW w:w="1740" w:type="dxa"/>
            <w:tcBorders>
              <w:top w:val="single" w:color="000000" w:sz="4" w:space="0"/>
              <w:left w:val="single" w:color="000000" w:sz="4" w:space="0"/>
              <w:bottom w:val="single" w:color="000000" w:sz="4" w:space="0"/>
              <w:right w:val="single" w:color="000000" w:sz="4" w:space="0"/>
            </w:tcBorders>
            <w:vAlign w:val="center"/>
          </w:tcPr>
          <w:p w14:paraId="1EE3C2FB">
            <w:pPr>
              <w:widowControl/>
              <w:snapToGrid w:val="0"/>
              <w:spacing w:before="75" w:after="80"/>
              <w:jc w:val="center"/>
              <w:rPr>
                <w:rFonts w:ascii="宋体" w:hAnsi="宋体" w:eastAsia="Times New Roman"/>
                <w:spacing w:val="7"/>
                <w:kern w:val="0"/>
                <w:szCs w:val="21"/>
              </w:rPr>
            </w:pPr>
            <w:r>
              <w:rPr>
                <w:rFonts w:ascii="宋体" w:hAnsi="宋体" w:eastAsia="Times New Roman"/>
                <w:spacing w:val="7"/>
                <w:kern w:val="0"/>
                <w:szCs w:val="21"/>
              </w:rPr>
              <w:t>职称专业</w:t>
            </w:r>
          </w:p>
        </w:tc>
        <w:tc>
          <w:tcPr>
            <w:tcW w:w="1530" w:type="dxa"/>
            <w:tcBorders>
              <w:top w:val="single" w:color="000000" w:sz="4" w:space="0"/>
              <w:left w:val="single" w:color="000000" w:sz="4" w:space="0"/>
              <w:bottom w:val="single" w:color="000000" w:sz="4" w:space="0"/>
              <w:right w:val="single" w:color="000000" w:sz="4" w:space="0"/>
            </w:tcBorders>
            <w:vAlign w:val="center"/>
          </w:tcPr>
          <w:p w14:paraId="22BBC737">
            <w:pPr>
              <w:widowControl/>
              <w:snapToGrid w:val="0"/>
              <w:spacing w:before="75" w:after="80"/>
              <w:jc w:val="center"/>
              <w:rPr>
                <w:rFonts w:ascii="宋体" w:hAnsi="宋体" w:eastAsia="Times New Roman"/>
                <w:spacing w:val="7"/>
                <w:kern w:val="0"/>
                <w:szCs w:val="21"/>
              </w:rPr>
            </w:pPr>
            <w:r>
              <w:rPr>
                <w:rFonts w:ascii="宋体" w:hAnsi="宋体" w:eastAsia="Times New Roman"/>
                <w:spacing w:val="7"/>
                <w:kern w:val="0"/>
                <w:szCs w:val="21"/>
              </w:rPr>
              <w:t>证书名称</w:t>
            </w:r>
          </w:p>
        </w:tc>
        <w:tc>
          <w:tcPr>
            <w:tcW w:w="2400" w:type="dxa"/>
            <w:tcBorders>
              <w:top w:val="single" w:color="000000" w:sz="4" w:space="0"/>
              <w:left w:val="single" w:color="000000" w:sz="4" w:space="0"/>
              <w:bottom w:val="single" w:color="000000" w:sz="4" w:space="0"/>
              <w:right w:val="single" w:color="000000" w:sz="4" w:space="0"/>
            </w:tcBorders>
            <w:vAlign w:val="center"/>
          </w:tcPr>
          <w:p w14:paraId="18D64D05">
            <w:pPr>
              <w:widowControl/>
              <w:snapToGrid w:val="0"/>
              <w:spacing w:before="75" w:after="80"/>
              <w:ind w:left="346"/>
              <w:jc w:val="center"/>
              <w:rPr>
                <w:rFonts w:ascii="宋体" w:hAnsi="宋体" w:eastAsia="Times New Roman"/>
                <w:spacing w:val="7"/>
                <w:kern w:val="0"/>
                <w:szCs w:val="21"/>
              </w:rPr>
            </w:pPr>
            <w:r>
              <w:rPr>
                <w:rFonts w:ascii="宋体" w:hAnsi="宋体" w:eastAsia="Times New Roman"/>
                <w:spacing w:val="7"/>
                <w:kern w:val="0"/>
                <w:szCs w:val="21"/>
              </w:rPr>
              <w:t>注册证号</w:t>
            </w:r>
          </w:p>
        </w:tc>
        <w:tc>
          <w:tcPr>
            <w:tcW w:w="1215" w:type="dxa"/>
            <w:tcBorders>
              <w:top w:val="single" w:color="000000" w:sz="4" w:space="0"/>
              <w:left w:val="single" w:color="000000" w:sz="4" w:space="0"/>
              <w:bottom w:val="single" w:color="000000" w:sz="4" w:space="0"/>
              <w:right w:val="single" w:color="000000" w:sz="4" w:space="0"/>
            </w:tcBorders>
            <w:vAlign w:val="center"/>
          </w:tcPr>
          <w:p w14:paraId="70556998">
            <w:pPr>
              <w:widowControl/>
              <w:snapToGrid w:val="0"/>
              <w:spacing w:before="227" w:after="80"/>
              <w:jc w:val="center"/>
              <w:rPr>
                <w:rFonts w:ascii="宋体" w:hAnsi="宋体" w:eastAsia="Times New Roman"/>
                <w:spacing w:val="6"/>
                <w:kern w:val="0"/>
                <w:szCs w:val="21"/>
              </w:rPr>
            </w:pPr>
            <w:r>
              <w:rPr>
                <w:rFonts w:ascii="宋体" w:hAnsi="宋体" w:eastAsia="Times New Roman"/>
                <w:spacing w:val="6"/>
                <w:kern w:val="0"/>
                <w:szCs w:val="21"/>
              </w:rPr>
              <w:t>专业</w:t>
            </w:r>
          </w:p>
        </w:tc>
        <w:tc>
          <w:tcPr>
            <w:tcW w:w="1035" w:type="dxa"/>
            <w:tcBorders>
              <w:top w:val="single" w:color="000000" w:sz="4" w:space="0"/>
              <w:left w:val="single" w:color="000000" w:sz="4" w:space="0"/>
              <w:bottom w:val="single" w:color="000000" w:sz="4" w:space="0"/>
              <w:right w:val="single" w:color="000000" w:sz="4" w:space="0"/>
            </w:tcBorders>
            <w:vAlign w:val="center"/>
          </w:tcPr>
          <w:p w14:paraId="17C0CF94">
            <w:pPr>
              <w:widowControl/>
              <w:snapToGrid w:val="0"/>
              <w:spacing w:before="75" w:after="80"/>
              <w:jc w:val="center"/>
              <w:rPr>
                <w:rFonts w:ascii="宋体" w:hAnsi="宋体" w:eastAsia="Times New Roman"/>
                <w:kern w:val="0"/>
                <w:szCs w:val="21"/>
              </w:rPr>
            </w:pPr>
            <w:r>
              <w:rPr>
                <w:rFonts w:ascii="宋体" w:hAnsi="宋体" w:eastAsia="Times New Roman"/>
                <w:spacing w:val="7"/>
                <w:kern w:val="0"/>
                <w:szCs w:val="21"/>
              </w:rPr>
              <w:t>学历</w:t>
            </w:r>
          </w:p>
        </w:tc>
      </w:tr>
      <w:tr w14:paraId="416969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312" w:type="dxa"/>
            <w:tcBorders>
              <w:top w:val="single" w:color="000000" w:sz="4" w:space="0"/>
              <w:left w:val="single" w:color="000000" w:sz="4" w:space="0"/>
              <w:bottom w:val="single" w:color="000000" w:sz="4" w:space="0"/>
              <w:right w:val="single" w:color="000000" w:sz="4" w:space="0"/>
            </w:tcBorders>
            <w:vAlign w:val="center"/>
          </w:tcPr>
          <w:p w14:paraId="138E6983">
            <w:pPr>
              <w:jc w:val="center"/>
              <w:rPr>
                <w:rFonts w:ascii="宋体" w:hAnsi="宋体" w:eastAsia="Times New Roman"/>
                <w:szCs w:val="21"/>
              </w:rPr>
            </w:pPr>
            <w:r>
              <w:rPr>
                <w:rFonts w:ascii="宋体" w:hAnsi="宋体" w:eastAsia="Times New Roman"/>
                <w:szCs w:val="21"/>
              </w:rPr>
              <w:t>项目经理</w:t>
            </w:r>
          </w:p>
        </w:tc>
        <w:tc>
          <w:tcPr>
            <w:tcW w:w="1050" w:type="dxa"/>
            <w:tcBorders>
              <w:top w:val="single" w:color="000000" w:sz="4" w:space="0"/>
              <w:left w:val="single" w:color="000000" w:sz="4" w:space="0"/>
              <w:bottom w:val="single" w:color="000000" w:sz="4" w:space="0"/>
              <w:right w:val="single" w:color="000000" w:sz="4" w:space="0"/>
            </w:tcBorders>
            <w:vAlign w:val="center"/>
          </w:tcPr>
          <w:p w14:paraId="59726F6D">
            <w:pPr>
              <w:jc w:val="center"/>
              <w:rPr>
                <w:rFonts w:ascii="宋体" w:hAnsi="宋体" w:eastAsia="Times New Roman"/>
                <w:szCs w:val="21"/>
              </w:rPr>
            </w:pPr>
          </w:p>
        </w:tc>
        <w:tc>
          <w:tcPr>
            <w:tcW w:w="2280" w:type="dxa"/>
            <w:tcBorders>
              <w:top w:val="single" w:color="000000" w:sz="4" w:space="0"/>
              <w:left w:val="single" w:color="000000" w:sz="4" w:space="0"/>
              <w:bottom w:val="single" w:color="000000" w:sz="4" w:space="0"/>
              <w:right w:val="single" w:color="000000" w:sz="4" w:space="0"/>
            </w:tcBorders>
            <w:vAlign w:val="center"/>
          </w:tcPr>
          <w:p w14:paraId="16298237">
            <w:pPr>
              <w:jc w:val="center"/>
              <w:rPr>
                <w:rFonts w:ascii="宋体" w:hAnsi="宋体" w:eastAsia="Times New Roman"/>
                <w:szCs w:val="21"/>
              </w:rPr>
            </w:pPr>
          </w:p>
        </w:tc>
        <w:tc>
          <w:tcPr>
            <w:tcW w:w="1440" w:type="dxa"/>
            <w:tcBorders>
              <w:top w:val="single" w:color="000000" w:sz="4" w:space="0"/>
              <w:left w:val="single" w:color="000000" w:sz="4" w:space="0"/>
              <w:bottom w:val="single" w:color="000000" w:sz="4" w:space="0"/>
              <w:right w:val="single" w:color="000000" w:sz="4" w:space="0"/>
            </w:tcBorders>
            <w:vAlign w:val="center"/>
          </w:tcPr>
          <w:p w14:paraId="517534BF">
            <w:pPr>
              <w:jc w:val="center"/>
              <w:rPr>
                <w:rFonts w:ascii="宋体" w:hAnsi="宋体" w:eastAsia="Times New Roman"/>
                <w:szCs w:val="21"/>
              </w:rPr>
            </w:pPr>
          </w:p>
        </w:tc>
        <w:tc>
          <w:tcPr>
            <w:tcW w:w="1740" w:type="dxa"/>
            <w:tcBorders>
              <w:top w:val="single" w:color="000000" w:sz="4" w:space="0"/>
              <w:left w:val="single" w:color="000000" w:sz="4" w:space="0"/>
              <w:bottom w:val="single" w:color="000000" w:sz="4" w:space="0"/>
              <w:right w:val="single" w:color="000000" w:sz="4" w:space="0"/>
            </w:tcBorders>
            <w:vAlign w:val="center"/>
          </w:tcPr>
          <w:p w14:paraId="18756924">
            <w:pPr>
              <w:jc w:val="center"/>
              <w:rPr>
                <w:rFonts w:ascii="宋体" w:hAnsi="宋体" w:eastAsia="Times New Roman"/>
                <w:szCs w:val="21"/>
              </w:rPr>
            </w:pPr>
          </w:p>
        </w:tc>
        <w:tc>
          <w:tcPr>
            <w:tcW w:w="1530" w:type="dxa"/>
            <w:tcBorders>
              <w:top w:val="single" w:color="000000" w:sz="4" w:space="0"/>
              <w:left w:val="single" w:color="000000" w:sz="4" w:space="0"/>
              <w:bottom w:val="single" w:color="000000" w:sz="4" w:space="0"/>
              <w:right w:val="single" w:color="000000" w:sz="4" w:space="0"/>
            </w:tcBorders>
            <w:vAlign w:val="center"/>
          </w:tcPr>
          <w:p w14:paraId="6B4F572D">
            <w:pPr>
              <w:jc w:val="center"/>
              <w:rPr>
                <w:rFonts w:ascii="宋体" w:hAnsi="宋体" w:eastAsia="Times New Roman"/>
                <w:szCs w:val="21"/>
              </w:rPr>
            </w:pPr>
          </w:p>
        </w:tc>
        <w:tc>
          <w:tcPr>
            <w:tcW w:w="2400" w:type="dxa"/>
            <w:tcBorders>
              <w:top w:val="single" w:color="000000" w:sz="4" w:space="0"/>
              <w:left w:val="single" w:color="000000" w:sz="4" w:space="0"/>
              <w:bottom w:val="single" w:color="000000" w:sz="4" w:space="0"/>
              <w:right w:val="single" w:color="000000" w:sz="4" w:space="0"/>
            </w:tcBorders>
            <w:vAlign w:val="center"/>
          </w:tcPr>
          <w:p w14:paraId="5DD05607">
            <w:pPr>
              <w:jc w:val="center"/>
              <w:rPr>
                <w:rFonts w:ascii="宋体" w:hAnsi="宋体" w:eastAsia="Times New Roman"/>
                <w:szCs w:val="21"/>
              </w:rPr>
            </w:pPr>
          </w:p>
        </w:tc>
        <w:tc>
          <w:tcPr>
            <w:tcW w:w="1215" w:type="dxa"/>
            <w:tcBorders>
              <w:top w:val="single" w:color="000000" w:sz="4" w:space="0"/>
              <w:left w:val="single" w:color="000000" w:sz="4" w:space="0"/>
              <w:bottom w:val="single" w:color="000000" w:sz="4" w:space="0"/>
              <w:right w:val="single" w:color="000000" w:sz="4" w:space="0"/>
            </w:tcBorders>
            <w:vAlign w:val="center"/>
          </w:tcPr>
          <w:p w14:paraId="1C812DFA">
            <w:pPr>
              <w:jc w:val="center"/>
              <w:rPr>
                <w:rFonts w:ascii="宋体" w:hAnsi="宋体" w:eastAsia="Times New Roman"/>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22CD84B9">
            <w:pPr>
              <w:jc w:val="center"/>
              <w:rPr>
                <w:rFonts w:ascii="宋体" w:hAnsi="宋体" w:eastAsia="Times New Roman"/>
                <w:szCs w:val="21"/>
              </w:rPr>
            </w:pPr>
          </w:p>
        </w:tc>
      </w:tr>
      <w:tr w14:paraId="6A4ECA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312" w:type="dxa"/>
            <w:tcBorders>
              <w:top w:val="single" w:color="000000" w:sz="4" w:space="0"/>
              <w:left w:val="single" w:color="000000" w:sz="4" w:space="0"/>
              <w:bottom w:val="single" w:color="000000" w:sz="4" w:space="0"/>
              <w:right w:val="single" w:color="000000" w:sz="4" w:space="0"/>
            </w:tcBorders>
            <w:vAlign w:val="center"/>
          </w:tcPr>
          <w:p w14:paraId="040D9B79">
            <w:pPr>
              <w:autoSpaceDE w:val="0"/>
              <w:spacing w:line="360" w:lineRule="auto"/>
              <w:jc w:val="center"/>
              <w:rPr>
                <w:rFonts w:ascii="宋体" w:hAnsi="宋体" w:eastAsia="Times New Roman"/>
                <w:szCs w:val="21"/>
              </w:rPr>
            </w:pPr>
            <w:r>
              <w:rPr>
                <w:rFonts w:ascii="宋体" w:hAnsi="宋体" w:eastAsia="Times New Roman"/>
                <w:szCs w:val="21"/>
              </w:rPr>
              <w:t>技术负责人</w:t>
            </w:r>
          </w:p>
        </w:tc>
        <w:tc>
          <w:tcPr>
            <w:tcW w:w="1050" w:type="dxa"/>
            <w:tcBorders>
              <w:top w:val="single" w:color="000000" w:sz="4" w:space="0"/>
              <w:left w:val="single" w:color="000000" w:sz="4" w:space="0"/>
              <w:bottom w:val="single" w:color="000000" w:sz="4" w:space="0"/>
              <w:right w:val="single" w:color="000000" w:sz="4" w:space="0"/>
            </w:tcBorders>
            <w:vAlign w:val="center"/>
          </w:tcPr>
          <w:p w14:paraId="19121FF1">
            <w:pPr>
              <w:autoSpaceDE w:val="0"/>
              <w:spacing w:line="360" w:lineRule="auto"/>
              <w:jc w:val="center"/>
              <w:rPr>
                <w:rFonts w:ascii="宋体" w:hAnsi="宋体" w:eastAsia="Times New Roman"/>
                <w:szCs w:val="21"/>
              </w:rPr>
            </w:pPr>
          </w:p>
        </w:tc>
        <w:tc>
          <w:tcPr>
            <w:tcW w:w="2280" w:type="dxa"/>
            <w:tcBorders>
              <w:top w:val="single" w:color="000000" w:sz="4" w:space="0"/>
              <w:left w:val="single" w:color="000000" w:sz="4" w:space="0"/>
              <w:bottom w:val="single" w:color="000000" w:sz="4" w:space="0"/>
              <w:right w:val="single" w:color="000000" w:sz="4" w:space="0"/>
            </w:tcBorders>
            <w:vAlign w:val="center"/>
          </w:tcPr>
          <w:p w14:paraId="67600FC1">
            <w:pPr>
              <w:jc w:val="center"/>
              <w:rPr>
                <w:rFonts w:ascii="宋体" w:hAnsi="宋体" w:eastAsia="Times New Roman"/>
                <w:szCs w:val="21"/>
              </w:rPr>
            </w:pPr>
          </w:p>
        </w:tc>
        <w:tc>
          <w:tcPr>
            <w:tcW w:w="1440" w:type="dxa"/>
            <w:tcBorders>
              <w:top w:val="single" w:color="000000" w:sz="4" w:space="0"/>
              <w:left w:val="single" w:color="000000" w:sz="4" w:space="0"/>
              <w:bottom w:val="single" w:color="000000" w:sz="4" w:space="0"/>
              <w:right w:val="single" w:color="000000" w:sz="4" w:space="0"/>
            </w:tcBorders>
            <w:vAlign w:val="center"/>
          </w:tcPr>
          <w:p w14:paraId="6B494996">
            <w:pPr>
              <w:jc w:val="center"/>
              <w:rPr>
                <w:rFonts w:ascii="宋体" w:hAnsi="宋体" w:eastAsia="Times New Roman"/>
                <w:szCs w:val="21"/>
              </w:rPr>
            </w:pPr>
          </w:p>
        </w:tc>
        <w:tc>
          <w:tcPr>
            <w:tcW w:w="1740" w:type="dxa"/>
            <w:tcBorders>
              <w:top w:val="single" w:color="000000" w:sz="4" w:space="0"/>
              <w:left w:val="single" w:color="000000" w:sz="4" w:space="0"/>
              <w:bottom w:val="single" w:color="000000" w:sz="4" w:space="0"/>
              <w:right w:val="single" w:color="000000" w:sz="4" w:space="0"/>
            </w:tcBorders>
            <w:vAlign w:val="center"/>
          </w:tcPr>
          <w:p w14:paraId="7598DD99">
            <w:pPr>
              <w:jc w:val="center"/>
              <w:rPr>
                <w:rFonts w:ascii="宋体" w:hAnsi="宋体" w:eastAsia="Times New Roman"/>
                <w:szCs w:val="21"/>
              </w:rPr>
            </w:pPr>
          </w:p>
        </w:tc>
        <w:tc>
          <w:tcPr>
            <w:tcW w:w="1530" w:type="dxa"/>
            <w:tcBorders>
              <w:top w:val="single" w:color="000000" w:sz="4" w:space="0"/>
              <w:left w:val="single" w:color="000000" w:sz="4" w:space="0"/>
              <w:bottom w:val="single" w:color="000000" w:sz="4" w:space="0"/>
              <w:right w:val="single" w:color="000000" w:sz="4" w:space="0"/>
            </w:tcBorders>
            <w:vAlign w:val="center"/>
          </w:tcPr>
          <w:p w14:paraId="047A3C2F">
            <w:pPr>
              <w:autoSpaceDE w:val="0"/>
              <w:spacing w:line="360" w:lineRule="auto"/>
              <w:jc w:val="center"/>
              <w:rPr>
                <w:rFonts w:ascii="宋体" w:hAnsi="宋体" w:eastAsia="Times New Roman"/>
                <w:szCs w:val="21"/>
              </w:rPr>
            </w:pPr>
          </w:p>
        </w:tc>
        <w:tc>
          <w:tcPr>
            <w:tcW w:w="2400" w:type="dxa"/>
            <w:tcBorders>
              <w:top w:val="single" w:color="000000" w:sz="4" w:space="0"/>
              <w:left w:val="single" w:color="000000" w:sz="4" w:space="0"/>
              <w:bottom w:val="single" w:color="000000" w:sz="4" w:space="0"/>
              <w:right w:val="single" w:color="000000" w:sz="4" w:space="0"/>
            </w:tcBorders>
            <w:vAlign w:val="center"/>
          </w:tcPr>
          <w:p w14:paraId="60638574">
            <w:pPr>
              <w:autoSpaceDE w:val="0"/>
              <w:spacing w:line="360" w:lineRule="auto"/>
              <w:jc w:val="center"/>
              <w:rPr>
                <w:rFonts w:ascii="宋体" w:hAnsi="宋体" w:eastAsia="Times New Roman"/>
                <w:szCs w:val="21"/>
              </w:rPr>
            </w:pPr>
          </w:p>
        </w:tc>
        <w:tc>
          <w:tcPr>
            <w:tcW w:w="1215" w:type="dxa"/>
            <w:tcBorders>
              <w:top w:val="single" w:color="000000" w:sz="4" w:space="0"/>
              <w:left w:val="single" w:color="000000" w:sz="4" w:space="0"/>
              <w:bottom w:val="single" w:color="000000" w:sz="4" w:space="0"/>
              <w:right w:val="single" w:color="000000" w:sz="4" w:space="0"/>
            </w:tcBorders>
            <w:vAlign w:val="center"/>
          </w:tcPr>
          <w:p w14:paraId="65039DB0">
            <w:pPr>
              <w:autoSpaceDE w:val="0"/>
              <w:spacing w:line="360" w:lineRule="auto"/>
              <w:jc w:val="center"/>
              <w:rPr>
                <w:rFonts w:ascii="宋体" w:hAnsi="宋体" w:eastAsia="Times New Roman"/>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56C54E04">
            <w:pPr>
              <w:jc w:val="center"/>
              <w:rPr>
                <w:rFonts w:ascii="宋体" w:hAnsi="宋体" w:eastAsia="Times New Roman"/>
                <w:szCs w:val="21"/>
              </w:rPr>
            </w:pPr>
          </w:p>
        </w:tc>
      </w:tr>
      <w:tr w14:paraId="0D2B0E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312" w:type="dxa"/>
            <w:tcBorders>
              <w:top w:val="single" w:color="000000" w:sz="4" w:space="0"/>
              <w:left w:val="single" w:color="000000" w:sz="4" w:space="0"/>
              <w:bottom w:val="single" w:color="000000" w:sz="4" w:space="0"/>
              <w:right w:val="single" w:color="000000" w:sz="4" w:space="0"/>
            </w:tcBorders>
            <w:vAlign w:val="center"/>
          </w:tcPr>
          <w:p w14:paraId="6BBDF1B8">
            <w:pPr>
              <w:autoSpaceDE w:val="0"/>
              <w:spacing w:line="360" w:lineRule="auto"/>
              <w:jc w:val="center"/>
              <w:rPr>
                <w:rFonts w:ascii="宋体" w:hAnsi="宋体" w:eastAsia="Times New Roman"/>
                <w:szCs w:val="21"/>
              </w:rPr>
            </w:pPr>
            <w:r>
              <w:rPr>
                <w:rFonts w:ascii="宋体" w:hAnsi="宋体" w:eastAsia="Times New Roman"/>
                <w:szCs w:val="21"/>
              </w:rPr>
              <w:t>施工员</w:t>
            </w:r>
          </w:p>
        </w:tc>
        <w:tc>
          <w:tcPr>
            <w:tcW w:w="1050" w:type="dxa"/>
            <w:tcBorders>
              <w:top w:val="single" w:color="000000" w:sz="4" w:space="0"/>
              <w:left w:val="single" w:color="000000" w:sz="4" w:space="0"/>
              <w:bottom w:val="single" w:color="000000" w:sz="4" w:space="0"/>
              <w:right w:val="single" w:color="000000" w:sz="4" w:space="0"/>
            </w:tcBorders>
            <w:vAlign w:val="center"/>
          </w:tcPr>
          <w:p w14:paraId="70EEFFE6">
            <w:pPr>
              <w:autoSpaceDE w:val="0"/>
              <w:spacing w:line="360" w:lineRule="auto"/>
              <w:jc w:val="center"/>
              <w:rPr>
                <w:rFonts w:ascii="宋体" w:hAnsi="宋体" w:eastAsia="Times New Roman"/>
                <w:szCs w:val="21"/>
              </w:rPr>
            </w:pPr>
          </w:p>
        </w:tc>
        <w:tc>
          <w:tcPr>
            <w:tcW w:w="2280" w:type="dxa"/>
            <w:tcBorders>
              <w:top w:val="single" w:color="000000" w:sz="4" w:space="0"/>
              <w:left w:val="single" w:color="000000" w:sz="4" w:space="0"/>
              <w:bottom w:val="single" w:color="000000" w:sz="4" w:space="0"/>
              <w:right w:val="single" w:color="000000" w:sz="4" w:space="0"/>
            </w:tcBorders>
            <w:vAlign w:val="center"/>
          </w:tcPr>
          <w:p w14:paraId="1BDC15AA">
            <w:pPr>
              <w:jc w:val="center"/>
              <w:rPr>
                <w:rFonts w:ascii="宋体" w:hAnsi="宋体" w:eastAsia="Times New Roman"/>
                <w:szCs w:val="21"/>
              </w:rPr>
            </w:pPr>
          </w:p>
        </w:tc>
        <w:tc>
          <w:tcPr>
            <w:tcW w:w="1440" w:type="dxa"/>
            <w:tcBorders>
              <w:top w:val="single" w:color="000000" w:sz="4" w:space="0"/>
              <w:left w:val="single" w:color="000000" w:sz="4" w:space="0"/>
              <w:bottom w:val="single" w:color="000000" w:sz="4" w:space="0"/>
              <w:right w:val="single" w:color="000000" w:sz="4" w:space="0"/>
            </w:tcBorders>
            <w:vAlign w:val="center"/>
          </w:tcPr>
          <w:p w14:paraId="6537DF04">
            <w:pPr>
              <w:jc w:val="center"/>
              <w:rPr>
                <w:rFonts w:ascii="宋体" w:hAnsi="宋体" w:eastAsia="Times New Roman"/>
                <w:szCs w:val="21"/>
              </w:rPr>
            </w:pPr>
          </w:p>
        </w:tc>
        <w:tc>
          <w:tcPr>
            <w:tcW w:w="1740" w:type="dxa"/>
            <w:tcBorders>
              <w:top w:val="single" w:color="000000" w:sz="4" w:space="0"/>
              <w:left w:val="single" w:color="000000" w:sz="4" w:space="0"/>
              <w:bottom w:val="single" w:color="000000" w:sz="4" w:space="0"/>
              <w:right w:val="single" w:color="000000" w:sz="4" w:space="0"/>
            </w:tcBorders>
            <w:vAlign w:val="center"/>
          </w:tcPr>
          <w:p w14:paraId="2B738880">
            <w:pPr>
              <w:jc w:val="center"/>
              <w:rPr>
                <w:rFonts w:ascii="宋体" w:hAnsi="宋体" w:eastAsia="Times New Roman"/>
                <w:szCs w:val="21"/>
              </w:rPr>
            </w:pPr>
          </w:p>
        </w:tc>
        <w:tc>
          <w:tcPr>
            <w:tcW w:w="1530" w:type="dxa"/>
            <w:tcBorders>
              <w:top w:val="single" w:color="000000" w:sz="4" w:space="0"/>
              <w:left w:val="single" w:color="000000" w:sz="4" w:space="0"/>
              <w:bottom w:val="single" w:color="000000" w:sz="4" w:space="0"/>
              <w:right w:val="single" w:color="000000" w:sz="4" w:space="0"/>
            </w:tcBorders>
            <w:vAlign w:val="center"/>
          </w:tcPr>
          <w:p w14:paraId="0A486D7F">
            <w:pPr>
              <w:autoSpaceDE w:val="0"/>
              <w:spacing w:line="360" w:lineRule="auto"/>
              <w:jc w:val="center"/>
              <w:rPr>
                <w:rFonts w:ascii="宋体" w:hAnsi="宋体" w:eastAsia="Times New Roman"/>
                <w:szCs w:val="21"/>
              </w:rPr>
            </w:pPr>
          </w:p>
        </w:tc>
        <w:tc>
          <w:tcPr>
            <w:tcW w:w="2400" w:type="dxa"/>
            <w:tcBorders>
              <w:top w:val="single" w:color="000000" w:sz="4" w:space="0"/>
              <w:left w:val="single" w:color="000000" w:sz="4" w:space="0"/>
              <w:bottom w:val="single" w:color="000000" w:sz="4" w:space="0"/>
              <w:right w:val="single" w:color="000000" w:sz="4" w:space="0"/>
            </w:tcBorders>
            <w:vAlign w:val="center"/>
          </w:tcPr>
          <w:p w14:paraId="179D5032">
            <w:pPr>
              <w:autoSpaceDE w:val="0"/>
              <w:spacing w:line="360" w:lineRule="auto"/>
              <w:jc w:val="center"/>
              <w:rPr>
                <w:rFonts w:ascii="宋体" w:hAnsi="宋体" w:eastAsia="Times New Roman"/>
                <w:szCs w:val="21"/>
              </w:rPr>
            </w:pPr>
          </w:p>
        </w:tc>
        <w:tc>
          <w:tcPr>
            <w:tcW w:w="1215" w:type="dxa"/>
            <w:tcBorders>
              <w:top w:val="single" w:color="000000" w:sz="4" w:space="0"/>
              <w:left w:val="single" w:color="000000" w:sz="4" w:space="0"/>
              <w:bottom w:val="single" w:color="000000" w:sz="4" w:space="0"/>
              <w:right w:val="single" w:color="000000" w:sz="4" w:space="0"/>
            </w:tcBorders>
            <w:vAlign w:val="center"/>
          </w:tcPr>
          <w:p w14:paraId="091A4457">
            <w:pPr>
              <w:autoSpaceDE w:val="0"/>
              <w:spacing w:line="360" w:lineRule="auto"/>
              <w:jc w:val="center"/>
              <w:rPr>
                <w:rFonts w:ascii="宋体" w:hAnsi="宋体" w:eastAsia="Times New Roman"/>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4FBC7D98">
            <w:pPr>
              <w:jc w:val="center"/>
              <w:rPr>
                <w:rFonts w:ascii="宋体" w:hAnsi="宋体" w:eastAsia="Times New Roman"/>
                <w:szCs w:val="21"/>
              </w:rPr>
            </w:pPr>
          </w:p>
        </w:tc>
      </w:tr>
      <w:tr w14:paraId="3DDAD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312" w:type="dxa"/>
            <w:tcBorders>
              <w:top w:val="single" w:color="000000" w:sz="4" w:space="0"/>
              <w:left w:val="single" w:color="000000" w:sz="4" w:space="0"/>
              <w:bottom w:val="single" w:color="000000" w:sz="4" w:space="0"/>
              <w:right w:val="single" w:color="000000" w:sz="4" w:space="0"/>
            </w:tcBorders>
            <w:vAlign w:val="center"/>
          </w:tcPr>
          <w:p w14:paraId="47DFEB1A">
            <w:pPr>
              <w:autoSpaceDE w:val="0"/>
              <w:spacing w:line="360" w:lineRule="auto"/>
              <w:jc w:val="center"/>
              <w:rPr>
                <w:rFonts w:ascii="宋体" w:hAnsi="宋体" w:eastAsia="Times New Roman"/>
                <w:szCs w:val="21"/>
              </w:rPr>
            </w:pPr>
            <w:r>
              <w:rPr>
                <w:rFonts w:ascii="宋体" w:hAnsi="宋体" w:eastAsia="Times New Roman"/>
                <w:szCs w:val="21"/>
              </w:rPr>
              <w:t>质量员</w:t>
            </w:r>
          </w:p>
        </w:tc>
        <w:tc>
          <w:tcPr>
            <w:tcW w:w="1050" w:type="dxa"/>
            <w:tcBorders>
              <w:top w:val="single" w:color="000000" w:sz="4" w:space="0"/>
              <w:left w:val="single" w:color="000000" w:sz="4" w:space="0"/>
              <w:bottom w:val="single" w:color="000000" w:sz="4" w:space="0"/>
              <w:right w:val="single" w:color="000000" w:sz="4" w:space="0"/>
            </w:tcBorders>
            <w:vAlign w:val="center"/>
          </w:tcPr>
          <w:p w14:paraId="744B2ADF">
            <w:pPr>
              <w:autoSpaceDE w:val="0"/>
              <w:spacing w:line="360" w:lineRule="auto"/>
              <w:jc w:val="center"/>
              <w:rPr>
                <w:rFonts w:ascii="宋体" w:hAnsi="宋体" w:eastAsia="Times New Roman"/>
                <w:szCs w:val="21"/>
              </w:rPr>
            </w:pPr>
          </w:p>
        </w:tc>
        <w:tc>
          <w:tcPr>
            <w:tcW w:w="2280" w:type="dxa"/>
            <w:tcBorders>
              <w:top w:val="single" w:color="000000" w:sz="4" w:space="0"/>
              <w:left w:val="single" w:color="000000" w:sz="4" w:space="0"/>
              <w:bottom w:val="single" w:color="000000" w:sz="4" w:space="0"/>
              <w:right w:val="single" w:color="000000" w:sz="4" w:space="0"/>
            </w:tcBorders>
            <w:vAlign w:val="center"/>
          </w:tcPr>
          <w:p w14:paraId="02B89278">
            <w:pPr>
              <w:jc w:val="center"/>
              <w:rPr>
                <w:rFonts w:ascii="宋体" w:hAnsi="宋体" w:eastAsia="Times New Roman"/>
                <w:szCs w:val="21"/>
              </w:rPr>
            </w:pPr>
          </w:p>
        </w:tc>
        <w:tc>
          <w:tcPr>
            <w:tcW w:w="1440" w:type="dxa"/>
            <w:tcBorders>
              <w:top w:val="single" w:color="000000" w:sz="4" w:space="0"/>
              <w:left w:val="single" w:color="000000" w:sz="4" w:space="0"/>
              <w:bottom w:val="single" w:color="000000" w:sz="4" w:space="0"/>
              <w:right w:val="single" w:color="000000" w:sz="4" w:space="0"/>
            </w:tcBorders>
            <w:vAlign w:val="center"/>
          </w:tcPr>
          <w:p w14:paraId="7DD7B6F8">
            <w:pPr>
              <w:jc w:val="center"/>
              <w:rPr>
                <w:rFonts w:ascii="宋体" w:hAnsi="宋体" w:eastAsia="Times New Roman"/>
                <w:szCs w:val="21"/>
              </w:rPr>
            </w:pPr>
          </w:p>
        </w:tc>
        <w:tc>
          <w:tcPr>
            <w:tcW w:w="1740" w:type="dxa"/>
            <w:tcBorders>
              <w:top w:val="single" w:color="000000" w:sz="4" w:space="0"/>
              <w:left w:val="single" w:color="000000" w:sz="4" w:space="0"/>
              <w:bottom w:val="single" w:color="000000" w:sz="4" w:space="0"/>
              <w:right w:val="single" w:color="000000" w:sz="4" w:space="0"/>
            </w:tcBorders>
            <w:vAlign w:val="center"/>
          </w:tcPr>
          <w:p w14:paraId="57933CD5">
            <w:pPr>
              <w:jc w:val="center"/>
              <w:rPr>
                <w:rFonts w:ascii="宋体" w:hAnsi="宋体" w:eastAsia="Times New Roman"/>
                <w:szCs w:val="21"/>
              </w:rPr>
            </w:pPr>
          </w:p>
        </w:tc>
        <w:tc>
          <w:tcPr>
            <w:tcW w:w="1530" w:type="dxa"/>
            <w:tcBorders>
              <w:top w:val="single" w:color="000000" w:sz="4" w:space="0"/>
              <w:left w:val="single" w:color="000000" w:sz="4" w:space="0"/>
              <w:bottom w:val="single" w:color="000000" w:sz="4" w:space="0"/>
              <w:right w:val="single" w:color="000000" w:sz="4" w:space="0"/>
            </w:tcBorders>
            <w:vAlign w:val="center"/>
          </w:tcPr>
          <w:p w14:paraId="4691A825">
            <w:pPr>
              <w:autoSpaceDE w:val="0"/>
              <w:spacing w:line="360" w:lineRule="auto"/>
              <w:jc w:val="center"/>
              <w:rPr>
                <w:rFonts w:ascii="宋体" w:hAnsi="宋体" w:eastAsia="Times New Roman"/>
                <w:szCs w:val="21"/>
              </w:rPr>
            </w:pPr>
          </w:p>
        </w:tc>
        <w:tc>
          <w:tcPr>
            <w:tcW w:w="2400" w:type="dxa"/>
            <w:tcBorders>
              <w:top w:val="single" w:color="000000" w:sz="4" w:space="0"/>
              <w:left w:val="single" w:color="000000" w:sz="4" w:space="0"/>
              <w:bottom w:val="single" w:color="000000" w:sz="4" w:space="0"/>
              <w:right w:val="single" w:color="000000" w:sz="4" w:space="0"/>
            </w:tcBorders>
            <w:vAlign w:val="center"/>
          </w:tcPr>
          <w:p w14:paraId="5CEC7B71">
            <w:pPr>
              <w:autoSpaceDE w:val="0"/>
              <w:spacing w:line="360" w:lineRule="auto"/>
              <w:jc w:val="center"/>
              <w:rPr>
                <w:rFonts w:ascii="宋体" w:hAnsi="宋体" w:eastAsia="Times New Roman"/>
                <w:szCs w:val="21"/>
              </w:rPr>
            </w:pPr>
          </w:p>
        </w:tc>
        <w:tc>
          <w:tcPr>
            <w:tcW w:w="1215" w:type="dxa"/>
            <w:tcBorders>
              <w:top w:val="single" w:color="000000" w:sz="4" w:space="0"/>
              <w:left w:val="single" w:color="000000" w:sz="4" w:space="0"/>
              <w:bottom w:val="single" w:color="000000" w:sz="4" w:space="0"/>
              <w:right w:val="single" w:color="000000" w:sz="4" w:space="0"/>
            </w:tcBorders>
            <w:vAlign w:val="center"/>
          </w:tcPr>
          <w:p w14:paraId="77487C62">
            <w:pPr>
              <w:autoSpaceDE w:val="0"/>
              <w:spacing w:line="360" w:lineRule="auto"/>
              <w:jc w:val="center"/>
              <w:rPr>
                <w:rFonts w:ascii="宋体" w:hAnsi="宋体" w:eastAsia="Times New Roman"/>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32D8AFBE">
            <w:pPr>
              <w:jc w:val="center"/>
              <w:rPr>
                <w:rFonts w:ascii="宋体" w:hAnsi="宋体" w:eastAsia="Times New Roman"/>
                <w:szCs w:val="21"/>
              </w:rPr>
            </w:pPr>
          </w:p>
        </w:tc>
      </w:tr>
      <w:tr w14:paraId="734BB0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312" w:type="dxa"/>
            <w:tcBorders>
              <w:top w:val="single" w:color="000000" w:sz="4" w:space="0"/>
              <w:left w:val="single" w:color="000000" w:sz="4" w:space="0"/>
              <w:bottom w:val="single" w:color="000000" w:sz="4" w:space="0"/>
              <w:right w:val="single" w:color="000000" w:sz="4" w:space="0"/>
            </w:tcBorders>
            <w:vAlign w:val="center"/>
          </w:tcPr>
          <w:p w14:paraId="0F163EF7">
            <w:pPr>
              <w:autoSpaceDE w:val="0"/>
              <w:spacing w:line="360" w:lineRule="auto"/>
              <w:jc w:val="center"/>
              <w:rPr>
                <w:rFonts w:ascii="宋体" w:hAnsi="宋体" w:eastAsia="Times New Roman"/>
                <w:szCs w:val="21"/>
              </w:rPr>
            </w:pPr>
            <w:r>
              <w:rPr>
                <w:rFonts w:ascii="宋体" w:hAnsi="宋体" w:eastAsia="Times New Roman"/>
                <w:szCs w:val="21"/>
              </w:rPr>
              <w:t>专职安全生产管理人员</w:t>
            </w:r>
          </w:p>
        </w:tc>
        <w:tc>
          <w:tcPr>
            <w:tcW w:w="1050" w:type="dxa"/>
            <w:tcBorders>
              <w:top w:val="single" w:color="000000" w:sz="4" w:space="0"/>
              <w:left w:val="single" w:color="000000" w:sz="4" w:space="0"/>
              <w:bottom w:val="single" w:color="000000" w:sz="4" w:space="0"/>
              <w:right w:val="single" w:color="000000" w:sz="4" w:space="0"/>
            </w:tcBorders>
            <w:vAlign w:val="center"/>
          </w:tcPr>
          <w:p w14:paraId="637A39C2">
            <w:pPr>
              <w:autoSpaceDE w:val="0"/>
              <w:spacing w:line="360" w:lineRule="auto"/>
              <w:jc w:val="center"/>
              <w:rPr>
                <w:rFonts w:ascii="宋体" w:hAnsi="宋体" w:eastAsia="Times New Roman"/>
                <w:szCs w:val="21"/>
              </w:rPr>
            </w:pPr>
          </w:p>
        </w:tc>
        <w:tc>
          <w:tcPr>
            <w:tcW w:w="2280" w:type="dxa"/>
            <w:tcBorders>
              <w:top w:val="single" w:color="000000" w:sz="4" w:space="0"/>
              <w:left w:val="single" w:color="000000" w:sz="4" w:space="0"/>
              <w:bottom w:val="single" w:color="000000" w:sz="4" w:space="0"/>
              <w:right w:val="single" w:color="000000" w:sz="4" w:space="0"/>
            </w:tcBorders>
            <w:vAlign w:val="center"/>
          </w:tcPr>
          <w:p w14:paraId="6306B1DF">
            <w:pPr>
              <w:jc w:val="center"/>
              <w:rPr>
                <w:rFonts w:ascii="宋体" w:hAnsi="宋体" w:eastAsia="Times New Roman"/>
                <w:szCs w:val="21"/>
              </w:rPr>
            </w:pPr>
          </w:p>
        </w:tc>
        <w:tc>
          <w:tcPr>
            <w:tcW w:w="1440" w:type="dxa"/>
            <w:tcBorders>
              <w:top w:val="single" w:color="000000" w:sz="4" w:space="0"/>
              <w:left w:val="single" w:color="000000" w:sz="4" w:space="0"/>
              <w:bottom w:val="single" w:color="000000" w:sz="4" w:space="0"/>
              <w:right w:val="single" w:color="000000" w:sz="4" w:space="0"/>
            </w:tcBorders>
            <w:vAlign w:val="center"/>
          </w:tcPr>
          <w:p w14:paraId="12E2B585">
            <w:pPr>
              <w:jc w:val="center"/>
              <w:rPr>
                <w:rFonts w:ascii="宋体" w:hAnsi="宋体" w:eastAsia="Times New Roman"/>
                <w:szCs w:val="21"/>
              </w:rPr>
            </w:pPr>
          </w:p>
        </w:tc>
        <w:tc>
          <w:tcPr>
            <w:tcW w:w="1740" w:type="dxa"/>
            <w:tcBorders>
              <w:top w:val="single" w:color="000000" w:sz="4" w:space="0"/>
              <w:left w:val="single" w:color="000000" w:sz="4" w:space="0"/>
              <w:bottom w:val="single" w:color="000000" w:sz="4" w:space="0"/>
              <w:right w:val="single" w:color="000000" w:sz="4" w:space="0"/>
            </w:tcBorders>
            <w:vAlign w:val="center"/>
          </w:tcPr>
          <w:p w14:paraId="1E5A6C4F">
            <w:pPr>
              <w:jc w:val="center"/>
              <w:rPr>
                <w:rFonts w:ascii="宋体" w:hAnsi="宋体" w:eastAsia="Times New Roman"/>
                <w:szCs w:val="21"/>
              </w:rPr>
            </w:pPr>
          </w:p>
        </w:tc>
        <w:tc>
          <w:tcPr>
            <w:tcW w:w="1530" w:type="dxa"/>
            <w:tcBorders>
              <w:top w:val="single" w:color="000000" w:sz="4" w:space="0"/>
              <w:left w:val="single" w:color="000000" w:sz="4" w:space="0"/>
              <w:bottom w:val="single" w:color="000000" w:sz="4" w:space="0"/>
              <w:right w:val="single" w:color="000000" w:sz="4" w:space="0"/>
            </w:tcBorders>
            <w:vAlign w:val="center"/>
          </w:tcPr>
          <w:p w14:paraId="0DF9E6FF">
            <w:pPr>
              <w:autoSpaceDE w:val="0"/>
              <w:spacing w:line="360" w:lineRule="auto"/>
              <w:jc w:val="center"/>
              <w:rPr>
                <w:rFonts w:ascii="宋体" w:hAnsi="宋体" w:eastAsia="Times New Roman"/>
                <w:szCs w:val="21"/>
              </w:rPr>
            </w:pPr>
          </w:p>
        </w:tc>
        <w:tc>
          <w:tcPr>
            <w:tcW w:w="2400" w:type="dxa"/>
            <w:tcBorders>
              <w:top w:val="single" w:color="000000" w:sz="4" w:space="0"/>
              <w:left w:val="single" w:color="000000" w:sz="4" w:space="0"/>
              <w:bottom w:val="single" w:color="000000" w:sz="4" w:space="0"/>
              <w:right w:val="single" w:color="000000" w:sz="4" w:space="0"/>
            </w:tcBorders>
            <w:vAlign w:val="center"/>
          </w:tcPr>
          <w:p w14:paraId="471F8560">
            <w:pPr>
              <w:autoSpaceDE w:val="0"/>
              <w:spacing w:line="360" w:lineRule="auto"/>
              <w:jc w:val="center"/>
              <w:rPr>
                <w:rFonts w:ascii="宋体" w:hAnsi="宋体" w:eastAsia="Times New Roman"/>
                <w:szCs w:val="21"/>
              </w:rPr>
            </w:pPr>
          </w:p>
        </w:tc>
        <w:tc>
          <w:tcPr>
            <w:tcW w:w="1215" w:type="dxa"/>
            <w:tcBorders>
              <w:top w:val="single" w:color="000000" w:sz="4" w:space="0"/>
              <w:left w:val="single" w:color="000000" w:sz="4" w:space="0"/>
              <w:bottom w:val="single" w:color="000000" w:sz="4" w:space="0"/>
              <w:right w:val="single" w:color="000000" w:sz="4" w:space="0"/>
            </w:tcBorders>
            <w:vAlign w:val="center"/>
          </w:tcPr>
          <w:p w14:paraId="1F4C8B52">
            <w:pPr>
              <w:autoSpaceDE w:val="0"/>
              <w:spacing w:line="360" w:lineRule="auto"/>
              <w:jc w:val="center"/>
              <w:rPr>
                <w:rFonts w:ascii="宋体" w:hAnsi="宋体" w:eastAsia="Times New Roman"/>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56897B4A">
            <w:pPr>
              <w:jc w:val="center"/>
              <w:rPr>
                <w:rFonts w:ascii="宋体" w:hAnsi="宋体" w:eastAsia="Times New Roman"/>
                <w:szCs w:val="21"/>
              </w:rPr>
            </w:pPr>
          </w:p>
        </w:tc>
      </w:tr>
      <w:tr w14:paraId="65D634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312" w:type="dxa"/>
            <w:tcBorders>
              <w:top w:val="single" w:color="000000" w:sz="4" w:space="0"/>
              <w:left w:val="single" w:color="000000" w:sz="4" w:space="0"/>
              <w:bottom w:val="single" w:color="000000" w:sz="4" w:space="0"/>
              <w:right w:val="single" w:color="000000" w:sz="4" w:space="0"/>
            </w:tcBorders>
            <w:vAlign w:val="center"/>
          </w:tcPr>
          <w:p w14:paraId="39ADF1B0">
            <w:pPr>
              <w:autoSpaceDE w:val="0"/>
              <w:spacing w:line="360" w:lineRule="auto"/>
              <w:jc w:val="center"/>
              <w:rPr>
                <w:rFonts w:ascii="宋体" w:hAnsi="宋体" w:eastAsia="Times New Roman"/>
                <w:szCs w:val="21"/>
              </w:rPr>
            </w:pPr>
            <w:r>
              <w:rPr>
                <w:rFonts w:ascii="宋体" w:hAnsi="宋体" w:eastAsia="Times New Roman"/>
                <w:szCs w:val="21"/>
              </w:rPr>
              <w:t>资料员</w:t>
            </w:r>
          </w:p>
        </w:tc>
        <w:tc>
          <w:tcPr>
            <w:tcW w:w="1050" w:type="dxa"/>
            <w:tcBorders>
              <w:top w:val="single" w:color="000000" w:sz="4" w:space="0"/>
              <w:left w:val="single" w:color="000000" w:sz="4" w:space="0"/>
              <w:bottom w:val="single" w:color="000000" w:sz="4" w:space="0"/>
              <w:right w:val="single" w:color="000000" w:sz="4" w:space="0"/>
            </w:tcBorders>
            <w:vAlign w:val="center"/>
          </w:tcPr>
          <w:p w14:paraId="611DB64A">
            <w:pPr>
              <w:autoSpaceDE w:val="0"/>
              <w:spacing w:line="360" w:lineRule="auto"/>
              <w:jc w:val="center"/>
              <w:rPr>
                <w:rFonts w:ascii="宋体" w:hAnsi="宋体" w:eastAsia="Times New Roman"/>
                <w:szCs w:val="21"/>
              </w:rPr>
            </w:pPr>
          </w:p>
        </w:tc>
        <w:tc>
          <w:tcPr>
            <w:tcW w:w="2280" w:type="dxa"/>
            <w:tcBorders>
              <w:top w:val="single" w:color="000000" w:sz="4" w:space="0"/>
              <w:left w:val="single" w:color="000000" w:sz="4" w:space="0"/>
              <w:bottom w:val="single" w:color="000000" w:sz="4" w:space="0"/>
              <w:right w:val="single" w:color="000000" w:sz="4" w:space="0"/>
            </w:tcBorders>
            <w:vAlign w:val="center"/>
          </w:tcPr>
          <w:p w14:paraId="4BE72E6B">
            <w:pPr>
              <w:jc w:val="center"/>
              <w:rPr>
                <w:rFonts w:ascii="宋体" w:hAnsi="宋体" w:eastAsia="Times New Roman"/>
                <w:szCs w:val="21"/>
              </w:rPr>
            </w:pPr>
          </w:p>
        </w:tc>
        <w:tc>
          <w:tcPr>
            <w:tcW w:w="1440" w:type="dxa"/>
            <w:tcBorders>
              <w:top w:val="single" w:color="000000" w:sz="4" w:space="0"/>
              <w:left w:val="single" w:color="000000" w:sz="4" w:space="0"/>
              <w:bottom w:val="single" w:color="000000" w:sz="4" w:space="0"/>
              <w:right w:val="single" w:color="000000" w:sz="4" w:space="0"/>
            </w:tcBorders>
            <w:vAlign w:val="center"/>
          </w:tcPr>
          <w:p w14:paraId="7EEC8A2C">
            <w:pPr>
              <w:jc w:val="center"/>
              <w:rPr>
                <w:rFonts w:ascii="宋体" w:hAnsi="宋体" w:eastAsia="Times New Roman"/>
                <w:szCs w:val="21"/>
              </w:rPr>
            </w:pPr>
          </w:p>
        </w:tc>
        <w:tc>
          <w:tcPr>
            <w:tcW w:w="1740" w:type="dxa"/>
            <w:tcBorders>
              <w:top w:val="single" w:color="000000" w:sz="4" w:space="0"/>
              <w:left w:val="single" w:color="000000" w:sz="4" w:space="0"/>
              <w:bottom w:val="single" w:color="000000" w:sz="4" w:space="0"/>
              <w:right w:val="single" w:color="000000" w:sz="4" w:space="0"/>
            </w:tcBorders>
            <w:vAlign w:val="center"/>
          </w:tcPr>
          <w:p w14:paraId="537DA8E1">
            <w:pPr>
              <w:jc w:val="center"/>
              <w:rPr>
                <w:rFonts w:ascii="宋体" w:hAnsi="宋体" w:eastAsia="Times New Roman"/>
                <w:szCs w:val="21"/>
              </w:rPr>
            </w:pPr>
          </w:p>
        </w:tc>
        <w:tc>
          <w:tcPr>
            <w:tcW w:w="1530" w:type="dxa"/>
            <w:tcBorders>
              <w:top w:val="single" w:color="000000" w:sz="4" w:space="0"/>
              <w:left w:val="single" w:color="000000" w:sz="4" w:space="0"/>
              <w:bottom w:val="single" w:color="000000" w:sz="4" w:space="0"/>
              <w:right w:val="single" w:color="000000" w:sz="4" w:space="0"/>
            </w:tcBorders>
            <w:vAlign w:val="center"/>
          </w:tcPr>
          <w:p w14:paraId="16C492FD">
            <w:pPr>
              <w:autoSpaceDE w:val="0"/>
              <w:spacing w:line="360" w:lineRule="auto"/>
              <w:jc w:val="center"/>
              <w:rPr>
                <w:rFonts w:ascii="宋体" w:hAnsi="宋体" w:eastAsia="Times New Roman"/>
                <w:szCs w:val="21"/>
              </w:rPr>
            </w:pPr>
          </w:p>
        </w:tc>
        <w:tc>
          <w:tcPr>
            <w:tcW w:w="2400" w:type="dxa"/>
            <w:tcBorders>
              <w:top w:val="single" w:color="000000" w:sz="4" w:space="0"/>
              <w:left w:val="single" w:color="000000" w:sz="4" w:space="0"/>
              <w:bottom w:val="single" w:color="000000" w:sz="4" w:space="0"/>
              <w:right w:val="single" w:color="000000" w:sz="4" w:space="0"/>
            </w:tcBorders>
            <w:vAlign w:val="center"/>
          </w:tcPr>
          <w:p w14:paraId="0E479FD2">
            <w:pPr>
              <w:autoSpaceDE w:val="0"/>
              <w:spacing w:line="360" w:lineRule="auto"/>
              <w:jc w:val="center"/>
              <w:rPr>
                <w:rFonts w:ascii="宋体" w:hAnsi="宋体" w:eastAsia="Times New Roman"/>
                <w:szCs w:val="21"/>
              </w:rPr>
            </w:pPr>
          </w:p>
        </w:tc>
        <w:tc>
          <w:tcPr>
            <w:tcW w:w="1215" w:type="dxa"/>
            <w:tcBorders>
              <w:top w:val="single" w:color="000000" w:sz="4" w:space="0"/>
              <w:left w:val="single" w:color="000000" w:sz="4" w:space="0"/>
              <w:bottom w:val="single" w:color="000000" w:sz="4" w:space="0"/>
              <w:right w:val="single" w:color="000000" w:sz="4" w:space="0"/>
            </w:tcBorders>
            <w:vAlign w:val="center"/>
          </w:tcPr>
          <w:p w14:paraId="6CCAFFB2">
            <w:pPr>
              <w:autoSpaceDE w:val="0"/>
              <w:spacing w:line="360" w:lineRule="auto"/>
              <w:jc w:val="center"/>
              <w:rPr>
                <w:rFonts w:ascii="宋体" w:hAnsi="宋体" w:eastAsia="Times New Roman"/>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42C049A6">
            <w:pPr>
              <w:jc w:val="center"/>
              <w:rPr>
                <w:rFonts w:ascii="宋体" w:hAnsi="宋体" w:eastAsia="Times New Roman"/>
                <w:szCs w:val="21"/>
              </w:rPr>
            </w:pPr>
          </w:p>
        </w:tc>
      </w:tr>
      <w:tr w14:paraId="4A082B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312" w:type="dxa"/>
            <w:tcBorders>
              <w:top w:val="single" w:color="000000" w:sz="4" w:space="0"/>
              <w:left w:val="single" w:color="000000" w:sz="4" w:space="0"/>
              <w:bottom w:val="single" w:color="000000" w:sz="4" w:space="0"/>
              <w:right w:val="single" w:color="000000" w:sz="4" w:space="0"/>
            </w:tcBorders>
            <w:vAlign w:val="center"/>
          </w:tcPr>
          <w:p w14:paraId="6597D340">
            <w:pPr>
              <w:autoSpaceDE w:val="0"/>
              <w:spacing w:line="360" w:lineRule="auto"/>
              <w:jc w:val="center"/>
              <w:rPr>
                <w:rFonts w:ascii="宋体" w:hAnsi="宋体" w:eastAsia="Times New Roman"/>
                <w:szCs w:val="21"/>
              </w:rPr>
            </w:pPr>
            <w:r>
              <w:rPr>
                <w:rFonts w:ascii="宋体" w:hAnsi="宋体" w:eastAsia="Times New Roman"/>
                <w:szCs w:val="21"/>
              </w:rPr>
              <w:t>材料员</w:t>
            </w:r>
          </w:p>
        </w:tc>
        <w:tc>
          <w:tcPr>
            <w:tcW w:w="1050" w:type="dxa"/>
            <w:tcBorders>
              <w:top w:val="single" w:color="000000" w:sz="4" w:space="0"/>
              <w:left w:val="single" w:color="000000" w:sz="4" w:space="0"/>
              <w:bottom w:val="single" w:color="000000" w:sz="4" w:space="0"/>
              <w:right w:val="single" w:color="000000" w:sz="4" w:space="0"/>
            </w:tcBorders>
            <w:vAlign w:val="center"/>
          </w:tcPr>
          <w:p w14:paraId="0C903A1C">
            <w:pPr>
              <w:autoSpaceDE w:val="0"/>
              <w:spacing w:line="360" w:lineRule="auto"/>
              <w:jc w:val="center"/>
              <w:rPr>
                <w:rFonts w:ascii="宋体" w:hAnsi="宋体" w:eastAsia="Times New Roman"/>
                <w:szCs w:val="21"/>
              </w:rPr>
            </w:pPr>
          </w:p>
        </w:tc>
        <w:tc>
          <w:tcPr>
            <w:tcW w:w="2280" w:type="dxa"/>
            <w:tcBorders>
              <w:top w:val="single" w:color="000000" w:sz="4" w:space="0"/>
              <w:left w:val="single" w:color="000000" w:sz="4" w:space="0"/>
              <w:bottom w:val="single" w:color="000000" w:sz="4" w:space="0"/>
              <w:right w:val="single" w:color="000000" w:sz="4" w:space="0"/>
            </w:tcBorders>
            <w:vAlign w:val="center"/>
          </w:tcPr>
          <w:p w14:paraId="14120151">
            <w:pPr>
              <w:jc w:val="center"/>
              <w:rPr>
                <w:rFonts w:ascii="宋体" w:hAnsi="宋体" w:eastAsia="Times New Roman"/>
                <w:szCs w:val="21"/>
              </w:rPr>
            </w:pPr>
          </w:p>
        </w:tc>
        <w:tc>
          <w:tcPr>
            <w:tcW w:w="1440" w:type="dxa"/>
            <w:tcBorders>
              <w:top w:val="single" w:color="000000" w:sz="4" w:space="0"/>
              <w:left w:val="single" w:color="000000" w:sz="4" w:space="0"/>
              <w:bottom w:val="single" w:color="000000" w:sz="4" w:space="0"/>
              <w:right w:val="single" w:color="000000" w:sz="4" w:space="0"/>
            </w:tcBorders>
            <w:vAlign w:val="center"/>
          </w:tcPr>
          <w:p w14:paraId="11C93C4C">
            <w:pPr>
              <w:jc w:val="center"/>
              <w:rPr>
                <w:rFonts w:ascii="宋体" w:hAnsi="宋体" w:eastAsia="Times New Roman"/>
                <w:szCs w:val="21"/>
              </w:rPr>
            </w:pPr>
          </w:p>
        </w:tc>
        <w:tc>
          <w:tcPr>
            <w:tcW w:w="1740" w:type="dxa"/>
            <w:tcBorders>
              <w:top w:val="single" w:color="000000" w:sz="4" w:space="0"/>
              <w:left w:val="single" w:color="000000" w:sz="4" w:space="0"/>
              <w:bottom w:val="single" w:color="000000" w:sz="4" w:space="0"/>
              <w:right w:val="single" w:color="000000" w:sz="4" w:space="0"/>
            </w:tcBorders>
            <w:vAlign w:val="center"/>
          </w:tcPr>
          <w:p w14:paraId="701AE81A">
            <w:pPr>
              <w:jc w:val="center"/>
              <w:rPr>
                <w:rFonts w:ascii="宋体" w:hAnsi="宋体" w:eastAsia="Times New Roman"/>
                <w:szCs w:val="21"/>
              </w:rPr>
            </w:pPr>
          </w:p>
        </w:tc>
        <w:tc>
          <w:tcPr>
            <w:tcW w:w="1530" w:type="dxa"/>
            <w:tcBorders>
              <w:top w:val="single" w:color="000000" w:sz="4" w:space="0"/>
              <w:left w:val="single" w:color="000000" w:sz="4" w:space="0"/>
              <w:bottom w:val="single" w:color="000000" w:sz="4" w:space="0"/>
              <w:right w:val="single" w:color="000000" w:sz="4" w:space="0"/>
            </w:tcBorders>
            <w:vAlign w:val="center"/>
          </w:tcPr>
          <w:p w14:paraId="53472C00">
            <w:pPr>
              <w:autoSpaceDE w:val="0"/>
              <w:spacing w:line="360" w:lineRule="auto"/>
              <w:jc w:val="center"/>
              <w:rPr>
                <w:rFonts w:ascii="宋体" w:hAnsi="宋体" w:eastAsia="Times New Roman"/>
                <w:szCs w:val="21"/>
              </w:rPr>
            </w:pPr>
          </w:p>
        </w:tc>
        <w:tc>
          <w:tcPr>
            <w:tcW w:w="2400" w:type="dxa"/>
            <w:tcBorders>
              <w:top w:val="single" w:color="000000" w:sz="4" w:space="0"/>
              <w:left w:val="single" w:color="000000" w:sz="4" w:space="0"/>
              <w:bottom w:val="single" w:color="000000" w:sz="4" w:space="0"/>
              <w:right w:val="single" w:color="000000" w:sz="4" w:space="0"/>
            </w:tcBorders>
            <w:vAlign w:val="center"/>
          </w:tcPr>
          <w:p w14:paraId="6C6FCDE5">
            <w:pPr>
              <w:autoSpaceDE w:val="0"/>
              <w:spacing w:line="360" w:lineRule="auto"/>
              <w:jc w:val="center"/>
              <w:rPr>
                <w:rFonts w:ascii="宋体" w:hAnsi="宋体" w:eastAsia="Times New Roman"/>
                <w:szCs w:val="21"/>
              </w:rPr>
            </w:pPr>
          </w:p>
        </w:tc>
        <w:tc>
          <w:tcPr>
            <w:tcW w:w="1215" w:type="dxa"/>
            <w:tcBorders>
              <w:top w:val="single" w:color="000000" w:sz="4" w:space="0"/>
              <w:left w:val="single" w:color="000000" w:sz="4" w:space="0"/>
              <w:bottom w:val="single" w:color="000000" w:sz="4" w:space="0"/>
              <w:right w:val="single" w:color="000000" w:sz="4" w:space="0"/>
            </w:tcBorders>
            <w:vAlign w:val="center"/>
          </w:tcPr>
          <w:p w14:paraId="183AB87D">
            <w:pPr>
              <w:autoSpaceDE w:val="0"/>
              <w:spacing w:line="360" w:lineRule="auto"/>
              <w:jc w:val="center"/>
              <w:rPr>
                <w:rFonts w:ascii="宋体" w:hAnsi="宋体" w:eastAsia="Times New Roman"/>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1FC45546">
            <w:pPr>
              <w:jc w:val="center"/>
              <w:rPr>
                <w:rFonts w:ascii="宋体" w:hAnsi="宋体" w:eastAsia="Times New Roman"/>
                <w:szCs w:val="21"/>
              </w:rPr>
            </w:pPr>
          </w:p>
        </w:tc>
      </w:tr>
      <w:tr w14:paraId="45B677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312" w:type="dxa"/>
            <w:tcBorders>
              <w:top w:val="single" w:color="000000" w:sz="4" w:space="0"/>
              <w:left w:val="single" w:color="000000" w:sz="4" w:space="0"/>
              <w:bottom w:val="single" w:color="000000" w:sz="4" w:space="0"/>
              <w:right w:val="single" w:color="000000" w:sz="4" w:space="0"/>
            </w:tcBorders>
            <w:vAlign w:val="center"/>
          </w:tcPr>
          <w:p w14:paraId="3672371D">
            <w:pPr>
              <w:autoSpaceDE w:val="0"/>
              <w:spacing w:line="360" w:lineRule="auto"/>
              <w:jc w:val="center"/>
              <w:rPr>
                <w:rFonts w:ascii="宋体" w:hAnsi="宋体" w:eastAsia="Times New Roman"/>
                <w:szCs w:val="21"/>
              </w:rPr>
            </w:pPr>
            <w:r>
              <w:rPr>
                <w:rFonts w:ascii="宋体" w:hAnsi="宋体" w:eastAsia="Times New Roman"/>
                <w:szCs w:val="21"/>
              </w:rPr>
              <w:t>造价师</w:t>
            </w:r>
          </w:p>
        </w:tc>
        <w:tc>
          <w:tcPr>
            <w:tcW w:w="1050" w:type="dxa"/>
            <w:tcBorders>
              <w:top w:val="single" w:color="000000" w:sz="4" w:space="0"/>
              <w:left w:val="single" w:color="000000" w:sz="4" w:space="0"/>
              <w:bottom w:val="single" w:color="000000" w:sz="4" w:space="0"/>
              <w:right w:val="single" w:color="000000" w:sz="4" w:space="0"/>
            </w:tcBorders>
            <w:vAlign w:val="center"/>
          </w:tcPr>
          <w:p w14:paraId="56B91CF7">
            <w:pPr>
              <w:autoSpaceDE w:val="0"/>
              <w:spacing w:line="360" w:lineRule="auto"/>
              <w:jc w:val="center"/>
              <w:rPr>
                <w:rFonts w:ascii="宋体" w:hAnsi="宋体" w:eastAsia="Times New Roman"/>
                <w:szCs w:val="21"/>
              </w:rPr>
            </w:pPr>
          </w:p>
        </w:tc>
        <w:tc>
          <w:tcPr>
            <w:tcW w:w="2280" w:type="dxa"/>
            <w:tcBorders>
              <w:top w:val="single" w:color="000000" w:sz="4" w:space="0"/>
              <w:left w:val="single" w:color="000000" w:sz="4" w:space="0"/>
              <w:bottom w:val="single" w:color="000000" w:sz="4" w:space="0"/>
              <w:right w:val="single" w:color="000000" w:sz="4" w:space="0"/>
            </w:tcBorders>
            <w:vAlign w:val="center"/>
          </w:tcPr>
          <w:p w14:paraId="169909DF">
            <w:pPr>
              <w:jc w:val="center"/>
              <w:rPr>
                <w:rFonts w:ascii="宋体" w:hAnsi="宋体" w:eastAsia="Times New Roman"/>
                <w:szCs w:val="21"/>
              </w:rPr>
            </w:pPr>
          </w:p>
        </w:tc>
        <w:tc>
          <w:tcPr>
            <w:tcW w:w="1440" w:type="dxa"/>
            <w:tcBorders>
              <w:top w:val="single" w:color="000000" w:sz="4" w:space="0"/>
              <w:left w:val="single" w:color="000000" w:sz="4" w:space="0"/>
              <w:bottom w:val="single" w:color="000000" w:sz="4" w:space="0"/>
              <w:right w:val="single" w:color="000000" w:sz="4" w:space="0"/>
            </w:tcBorders>
            <w:vAlign w:val="center"/>
          </w:tcPr>
          <w:p w14:paraId="081C7733">
            <w:pPr>
              <w:jc w:val="center"/>
              <w:rPr>
                <w:rFonts w:ascii="宋体" w:hAnsi="宋体" w:eastAsia="Times New Roman"/>
                <w:szCs w:val="21"/>
              </w:rPr>
            </w:pPr>
          </w:p>
        </w:tc>
        <w:tc>
          <w:tcPr>
            <w:tcW w:w="1740" w:type="dxa"/>
            <w:tcBorders>
              <w:top w:val="single" w:color="000000" w:sz="4" w:space="0"/>
              <w:left w:val="single" w:color="000000" w:sz="4" w:space="0"/>
              <w:bottom w:val="single" w:color="000000" w:sz="4" w:space="0"/>
              <w:right w:val="single" w:color="000000" w:sz="4" w:space="0"/>
            </w:tcBorders>
            <w:vAlign w:val="center"/>
          </w:tcPr>
          <w:p w14:paraId="47158212">
            <w:pPr>
              <w:jc w:val="center"/>
              <w:rPr>
                <w:rFonts w:ascii="宋体" w:hAnsi="宋体" w:eastAsia="Times New Roman"/>
                <w:szCs w:val="21"/>
              </w:rPr>
            </w:pPr>
          </w:p>
        </w:tc>
        <w:tc>
          <w:tcPr>
            <w:tcW w:w="1530" w:type="dxa"/>
            <w:tcBorders>
              <w:top w:val="single" w:color="000000" w:sz="4" w:space="0"/>
              <w:left w:val="single" w:color="000000" w:sz="4" w:space="0"/>
              <w:bottom w:val="single" w:color="000000" w:sz="4" w:space="0"/>
              <w:right w:val="single" w:color="000000" w:sz="4" w:space="0"/>
            </w:tcBorders>
            <w:vAlign w:val="center"/>
          </w:tcPr>
          <w:p w14:paraId="1F2BBC44">
            <w:pPr>
              <w:autoSpaceDE w:val="0"/>
              <w:spacing w:line="360" w:lineRule="auto"/>
              <w:jc w:val="center"/>
              <w:rPr>
                <w:rFonts w:ascii="宋体" w:hAnsi="宋体" w:eastAsia="Times New Roman"/>
                <w:szCs w:val="21"/>
              </w:rPr>
            </w:pPr>
          </w:p>
        </w:tc>
        <w:tc>
          <w:tcPr>
            <w:tcW w:w="2400" w:type="dxa"/>
            <w:tcBorders>
              <w:top w:val="single" w:color="000000" w:sz="4" w:space="0"/>
              <w:left w:val="single" w:color="000000" w:sz="4" w:space="0"/>
              <w:bottom w:val="single" w:color="000000" w:sz="4" w:space="0"/>
              <w:right w:val="single" w:color="000000" w:sz="4" w:space="0"/>
            </w:tcBorders>
            <w:vAlign w:val="center"/>
          </w:tcPr>
          <w:p w14:paraId="6BE23A5E">
            <w:pPr>
              <w:autoSpaceDE w:val="0"/>
              <w:spacing w:line="360" w:lineRule="auto"/>
              <w:jc w:val="center"/>
              <w:rPr>
                <w:rFonts w:ascii="宋体" w:hAnsi="宋体" w:eastAsia="Times New Roman"/>
                <w:szCs w:val="21"/>
              </w:rPr>
            </w:pPr>
          </w:p>
        </w:tc>
        <w:tc>
          <w:tcPr>
            <w:tcW w:w="1215" w:type="dxa"/>
            <w:tcBorders>
              <w:top w:val="single" w:color="000000" w:sz="4" w:space="0"/>
              <w:left w:val="single" w:color="000000" w:sz="4" w:space="0"/>
              <w:bottom w:val="single" w:color="000000" w:sz="4" w:space="0"/>
              <w:right w:val="single" w:color="000000" w:sz="4" w:space="0"/>
            </w:tcBorders>
            <w:vAlign w:val="center"/>
          </w:tcPr>
          <w:p w14:paraId="60E614CB">
            <w:pPr>
              <w:autoSpaceDE w:val="0"/>
              <w:spacing w:line="360" w:lineRule="auto"/>
              <w:jc w:val="center"/>
              <w:rPr>
                <w:rFonts w:ascii="宋体" w:hAnsi="宋体" w:eastAsia="Times New Roman"/>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75B89845">
            <w:pPr>
              <w:jc w:val="center"/>
              <w:rPr>
                <w:rFonts w:ascii="宋体" w:hAnsi="宋体" w:eastAsia="Times New Roman"/>
                <w:szCs w:val="21"/>
              </w:rPr>
            </w:pPr>
          </w:p>
        </w:tc>
      </w:tr>
    </w:tbl>
    <w:p w14:paraId="041F645F">
      <w:pPr>
        <w:widowControl/>
        <w:jc w:val="left"/>
        <w:rPr>
          <w:rFonts w:hint="eastAsia" w:ascii="汉鼎简楷体" w:hAnsi="宋体"/>
          <w:b/>
          <w:bCs/>
          <w:spacing w:val="4"/>
          <w:sz w:val="24"/>
        </w:rPr>
        <w:sectPr>
          <w:pgSz w:w="16838" w:h="11906" w:orient="landscape"/>
          <w:pgMar w:top="1800" w:right="1440" w:bottom="1800" w:left="1440" w:header="851" w:footer="992" w:gutter="0"/>
          <w:pgNumType w:fmt="decimal"/>
          <w:cols w:space="720" w:num="1"/>
          <w:docGrid w:type="lines" w:linePitch="312" w:charSpace="0"/>
        </w:sectPr>
      </w:pPr>
    </w:p>
    <w:p w14:paraId="435A4303">
      <w:pPr>
        <w:spacing w:line="460" w:lineRule="exact"/>
        <w:jc w:val="left"/>
        <w:rPr>
          <w:rFonts w:hint="eastAsia" w:ascii="汉鼎简楷体" w:hAnsi="宋体"/>
          <w:b/>
          <w:bCs/>
          <w:spacing w:val="4"/>
          <w:sz w:val="24"/>
        </w:rPr>
      </w:pPr>
      <w:r>
        <w:rPr>
          <w:rFonts w:ascii="汉鼎简楷体" w:hAnsi="汉鼎简楷体"/>
          <w:b/>
          <w:bCs/>
          <w:spacing w:val="4"/>
          <w:sz w:val="24"/>
        </w:rPr>
        <w:t>附件4</w:t>
      </w:r>
    </w:p>
    <w:p w14:paraId="78C9B443">
      <w:pPr>
        <w:snapToGrid w:val="0"/>
        <w:spacing w:line="360" w:lineRule="auto"/>
        <w:jc w:val="center"/>
        <w:rPr>
          <w:rFonts w:hint="eastAsia" w:ascii="宋体" w:hAnsi="宋体"/>
          <w:b/>
          <w:szCs w:val="21"/>
        </w:rPr>
      </w:pPr>
      <w:r>
        <w:rPr>
          <w:rFonts w:ascii="宋体" w:hAnsi="宋体"/>
          <w:b/>
          <w:szCs w:val="21"/>
        </w:rPr>
        <w:t>履约验收方案</w:t>
      </w:r>
    </w:p>
    <w:p w14:paraId="6D1556F0">
      <w:pPr>
        <w:tabs>
          <w:tab w:val="left" w:pos="312"/>
        </w:tabs>
        <w:snapToGrid w:val="0"/>
        <w:spacing w:line="560" w:lineRule="exact"/>
        <w:ind w:firstLine="420" w:firstLineChars="200"/>
        <w:jc w:val="left"/>
        <w:rPr>
          <w:rFonts w:hint="eastAsia" w:ascii="宋体" w:hAnsi="宋体"/>
          <w:color w:val="000000"/>
          <w:kern w:val="0"/>
          <w:szCs w:val="21"/>
        </w:rPr>
      </w:pPr>
      <w:r>
        <w:rPr>
          <w:rFonts w:ascii="宋体" w:hAnsi="宋体"/>
          <w:color w:val="000000"/>
          <w:kern w:val="0"/>
          <w:szCs w:val="21"/>
        </w:rPr>
        <w:t>一、验收主体</w:t>
      </w:r>
    </w:p>
    <w:p w14:paraId="66B524E7">
      <w:pPr>
        <w:tabs>
          <w:tab w:val="left" w:pos="312"/>
        </w:tabs>
        <w:snapToGrid w:val="0"/>
        <w:spacing w:line="560" w:lineRule="exact"/>
        <w:ind w:firstLine="420" w:firstLineChars="200"/>
        <w:jc w:val="left"/>
        <w:rPr>
          <w:rFonts w:hint="eastAsia" w:ascii="宋体" w:hAnsi="宋体"/>
          <w:color w:val="000000"/>
          <w:kern w:val="0"/>
          <w:szCs w:val="21"/>
        </w:rPr>
      </w:pPr>
      <w:r>
        <w:rPr>
          <w:rFonts w:ascii="宋体" w:hAnsi="宋体"/>
          <w:color w:val="000000"/>
          <w:kern w:val="0"/>
          <w:szCs w:val="21"/>
        </w:rPr>
        <w:t>采购人（需求部门）</w:t>
      </w:r>
      <w:r>
        <w:rPr>
          <w:rFonts w:ascii="宋体" w:hAnsi="宋体"/>
          <w:color w:val="000000"/>
          <w:kern w:val="0"/>
          <w:szCs w:val="21"/>
          <w:u w:val="single"/>
        </w:rPr>
        <w:t xml:space="preserve">      行政事务部     </w:t>
      </w:r>
    </w:p>
    <w:p w14:paraId="4E55AB87">
      <w:pPr>
        <w:tabs>
          <w:tab w:val="left" w:pos="312"/>
        </w:tabs>
        <w:snapToGrid w:val="0"/>
        <w:spacing w:line="560" w:lineRule="exact"/>
        <w:ind w:firstLine="420" w:firstLineChars="200"/>
        <w:jc w:val="left"/>
        <w:rPr>
          <w:rFonts w:hint="eastAsia" w:ascii="宋体" w:hAnsi="宋体"/>
          <w:color w:val="000000"/>
          <w:kern w:val="0"/>
          <w:szCs w:val="21"/>
          <w:u w:val="single"/>
        </w:rPr>
      </w:pPr>
      <w:r>
        <w:rPr>
          <w:rFonts w:ascii="宋体" w:hAnsi="宋体"/>
          <w:color w:val="000000"/>
          <w:kern w:val="0"/>
          <w:szCs w:val="21"/>
        </w:rPr>
        <w:t>采购人（需求部门）拟邀请（</w:t>
      </w:r>
      <w:r>
        <w:rPr>
          <w:rFonts w:ascii="Segoe UI Symbol" w:hAnsi="Segoe UI Symbol" w:cs="Segoe UI Symbol"/>
          <w:szCs w:val="21"/>
        </w:rPr>
        <w:t>☑</w:t>
      </w:r>
      <w:r>
        <w:rPr>
          <w:rFonts w:ascii="宋体" w:hAnsi="宋体"/>
          <w:color w:val="000000"/>
          <w:kern w:val="0"/>
          <w:szCs w:val="21"/>
        </w:rPr>
        <w:t xml:space="preserve">本项目供应商 </w:t>
      </w:r>
      <w:r>
        <w:rPr>
          <w:rFonts w:ascii="Segoe UI Symbol" w:hAnsi="Segoe UI Symbol" w:cs="Segoe UI Symbol"/>
          <w:szCs w:val="21"/>
        </w:rPr>
        <w:t>☑</w:t>
      </w:r>
      <w:r>
        <w:rPr>
          <w:rFonts w:ascii="宋体" w:hAnsi="宋体"/>
          <w:color w:val="000000"/>
          <w:kern w:val="0"/>
          <w:szCs w:val="21"/>
        </w:rPr>
        <w:t xml:space="preserve">第三方专业机构  </w:t>
      </w:r>
      <w:r>
        <w:rPr>
          <w:rFonts w:ascii="宋体" w:hAnsi="宋体"/>
          <w:szCs w:val="21"/>
        </w:rPr>
        <w:t>□</w:t>
      </w:r>
      <w:r>
        <w:rPr>
          <w:rFonts w:ascii="宋体" w:hAnsi="宋体"/>
          <w:color w:val="000000"/>
          <w:kern w:val="0"/>
          <w:szCs w:val="21"/>
        </w:rPr>
        <w:t xml:space="preserve">专家   </w:t>
      </w:r>
      <w:r>
        <w:rPr>
          <w:rFonts w:ascii="宋体" w:hAnsi="宋体"/>
          <w:szCs w:val="21"/>
        </w:rPr>
        <w:t>□</w:t>
      </w:r>
      <w:r>
        <w:rPr>
          <w:rFonts w:ascii="宋体" w:hAnsi="宋体"/>
          <w:color w:val="000000"/>
          <w:kern w:val="0"/>
          <w:szCs w:val="21"/>
        </w:rPr>
        <w:t>服务对象 ）</w:t>
      </w:r>
    </w:p>
    <w:p w14:paraId="47A22C50">
      <w:pPr>
        <w:snapToGrid w:val="0"/>
        <w:spacing w:line="560" w:lineRule="exact"/>
        <w:ind w:firstLine="451" w:firstLineChars="215"/>
        <w:jc w:val="left"/>
        <w:outlineLvl w:val="0"/>
        <w:rPr>
          <w:rFonts w:hint="eastAsia" w:ascii="宋体" w:hAnsi="宋体"/>
          <w:color w:val="000000"/>
          <w:kern w:val="0"/>
          <w:szCs w:val="21"/>
          <w:u w:val="single"/>
        </w:rPr>
      </w:pPr>
      <w:r>
        <w:rPr>
          <w:rFonts w:ascii="宋体" w:hAnsi="宋体"/>
          <w:color w:val="000000"/>
          <w:kern w:val="0"/>
          <w:szCs w:val="21"/>
        </w:rPr>
        <w:t>二、验收时间：</w:t>
      </w:r>
      <w:r>
        <w:rPr>
          <w:rFonts w:ascii="宋体" w:hAnsi="宋体"/>
          <w:color w:val="000000"/>
          <w:kern w:val="0"/>
          <w:szCs w:val="21"/>
          <w:u w:val="single"/>
        </w:rPr>
        <w:t>自验收申请提交起7个工作日内。</w:t>
      </w:r>
    </w:p>
    <w:p w14:paraId="338AE3D6">
      <w:pPr>
        <w:snapToGrid w:val="0"/>
        <w:spacing w:line="560" w:lineRule="exact"/>
        <w:ind w:firstLine="451" w:firstLineChars="215"/>
        <w:jc w:val="left"/>
        <w:outlineLvl w:val="0"/>
        <w:rPr>
          <w:rFonts w:hint="eastAsia" w:ascii="宋体" w:hAnsi="宋体"/>
          <w:color w:val="000000"/>
          <w:kern w:val="0"/>
          <w:szCs w:val="21"/>
        </w:rPr>
      </w:pPr>
      <w:r>
        <w:rPr>
          <w:rFonts w:ascii="宋体" w:hAnsi="宋体"/>
          <w:color w:val="000000"/>
          <w:kern w:val="0"/>
          <w:szCs w:val="21"/>
        </w:rPr>
        <w:t>合同履行期限：</w:t>
      </w:r>
      <w:r>
        <w:rPr>
          <w:rFonts w:ascii="宋体" w:hAnsi="宋体"/>
          <w:color w:val="000000"/>
          <w:kern w:val="0"/>
          <w:szCs w:val="21"/>
          <w:u w:val="single"/>
        </w:rPr>
        <w:t>自合同签订之日至合同全部权利义务履行完毕之日止。</w:t>
      </w:r>
    </w:p>
    <w:p w14:paraId="72535C5C">
      <w:pPr>
        <w:numPr>
          <w:ilvl w:val="0"/>
          <w:numId w:val="4"/>
        </w:numPr>
        <w:snapToGrid w:val="0"/>
        <w:spacing w:line="560" w:lineRule="exact"/>
        <w:ind w:firstLine="451" w:firstLineChars="215"/>
        <w:jc w:val="left"/>
        <w:outlineLvl w:val="0"/>
        <w:rPr>
          <w:rFonts w:hint="eastAsia" w:ascii="宋体" w:hAnsi="宋体"/>
          <w:color w:val="000000"/>
          <w:kern w:val="0"/>
          <w:szCs w:val="21"/>
          <w:u w:val="single"/>
        </w:rPr>
      </w:pPr>
      <w:r>
        <w:rPr>
          <w:rFonts w:ascii="宋体" w:hAnsi="宋体"/>
          <w:color w:val="000000"/>
          <w:kern w:val="0"/>
          <w:szCs w:val="21"/>
        </w:rPr>
        <w:t>验收方式</w:t>
      </w:r>
      <w:r>
        <w:rPr>
          <w:rFonts w:ascii="宋体" w:hAnsi="宋体"/>
          <w:color w:val="000000"/>
          <w:kern w:val="0"/>
          <w:szCs w:val="21"/>
          <w:u w:val="single"/>
        </w:rPr>
        <w:t xml:space="preserve">：  一次性验收      </w:t>
      </w:r>
    </w:p>
    <w:p w14:paraId="030B2A8A">
      <w:pPr>
        <w:numPr>
          <w:ilvl w:val="0"/>
          <w:numId w:val="4"/>
        </w:numPr>
        <w:snapToGrid w:val="0"/>
        <w:spacing w:line="560" w:lineRule="exact"/>
        <w:ind w:firstLine="451" w:firstLineChars="215"/>
        <w:jc w:val="left"/>
        <w:outlineLvl w:val="0"/>
        <w:rPr>
          <w:rFonts w:hint="eastAsia" w:ascii="宋体" w:hAnsi="宋体"/>
          <w:color w:val="000000"/>
          <w:kern w:val="0"/>
          <w:szCs w:val="21"/>
        </w:rPr>
      </w:pPr>
      <w:r>
        <w:rPr>
          <w:rFonts w:ascii="宋体" w:hAnsi="宋体"/>
          <w:color w:val="000000"/>
          <w:kern w:val="0"/>
          <w:szCs w:val="21"/>
        </w:rPr>
        <w:t>验收准备：</w:t>
      </w:r>
      <w:r>
        <w:rPr>
          <w:rFonts w:ascii="宋体" w:hAnsi="宋体"/>
          <w:color w:val="000000"/>
          <w:kern w:val="0"/>
          <w:szCs w:val="21"/>
          <w:u w:val="single"/>
        </w:rPr>
        <w:t>验收前制定验收实施计划，并按验收实施计划组织开展验收</w:t>
      </w:r>
      <w:r>
        <w:rPr>
          <w:rFonts w:ascii="宋体" w:hAnsi="宋体"/>
          <w:color w:val="000000"/>
          <w:kern w:val="0"/>
          <w:szCs w:val="21"/>
        </w:rPr>
        <w:t>。</w:t>
      </w:r>
    </w:p>
    <w:p w14:paraId="5E6BA003">
      <w:pPr>
        <w:snapToGrid w:val="0"/>
        <w:spacing w:line="560" w:lineRule="exact"/>
        <w:ind w:firstLine="451" w:firstLineChars="215"/>
        <w:jc w:val="left"/>
        <w:outlineLvl w:val="0"/>
        <w:rPr>
          <w:rFonts w:hint="eastAsia" w:ascii="宋体" w:hAnsi="宋体"/>
          <w:color w:val="000000"/>
          <w:kern w:val="0"/>
          <w:szCs w:val="21"/>
        </w:rPr>
      </w:pPr>
      <w:r>
        <w:rPr>
          <w:rFonts w:ascii="宋体" w:hAnsi="宋体"/>
          <w:color w:val="000000"/>
          <w:kern w:val="0"/>
          <w:szCs w:val="21"/>
        </w:rPr>
        <w:t>五、验收程序：</w:t>
      </w:r>
      <w:r>
        <w:rPr>
          <w:rFonts w:ascii="宋体" w:hAnsi="宋体"/>
          <w:color w:val="000000"/>
          <w:kern w:val="0"/>
          <w:szCs w:val="21"/>
          <w:u w:val="single"/>
        </w:rPr>
        <w:t xml:space="preserve">由行政事务部、会计财务部、学员服务部、办公室、宣传群工部、纪委办公室派遣工作人员共同组成验收小组进行验收。 </w:t>
      </w:r>
    </w:p>
    <w:p w14:paraId="61E66F8D">
      <w:pPr>
        <w:snapToGrid w:val="0"/>
        <w:spacing w:line="560" w:lineRule="exact"/>
        <w:ind w:firstLine="451" w:firstLineChars="215"/>
        <w:jc w:val="left"/>
        <w:outlineLvl w:val="0"/>
        <w:rPr>
          <w:rFonts w:hint="eastAsia" w:ascii="宋体" w:hAnsi="宋体"/>
          <w:i/>
          <w:color w:val="0000FF"/>
          <w:kern w:val="0"/>
          <w:szCs w:val="21"/>
        </w:rPr>
      </w:pPr>
      <w:r>
        <w:rPr>
          <w:rFonts w:ascii="宋体" w:hAnsi="宋体"/>
          <w:color w:val="000000"/>
          <w:kern w:val="0"/>
          <w:szCs w:val="21"/>
        </w:rPr>
        <w:t>六、验收内容</w:t>
      </w:r>
      <w:r>
        <w:rPr>
          <w:rFonts w:ascii="宋体" w:hAnsi="宋体"/>
          <w:color w:val="000000"/>
          <w:kern w:val="0"/>
          <w:szCs w:val="21"/>
          <w:u w:val="single"/>
        </w:rPr>
        <w:t xml:space="preserve">   工程量完成情况、工程质量、合同履约情况、技术和商务要求的履约情况 。    </w:t>
      </w:r>
    </w:p>
    <w:p w14:paraId="60526A9C">
      <w:pPr>
        <w:snapToGrid w:val="0"/>
        <w:spacing w:line="560" w:lineRule="exact"/>
        <w:ind w:firstLine="451" w:firstLineChars="215"/>
        <w:jc w:val="left"/>
        <w:outlineLvl w:val="0"/>
        <w:rPr>
          <w:rFonts w:hint="eastAsia" w:ascii="宋体" w:hAnsi="宋体"/>
          <w:color w:val="000000"/>
          <w:kern w:val="0"/>
          <w:szCs w:val="21"/>
          <w:u w:val="single"/>
        </w:rPr>
      </w:pPr>
      <w:r>
        <w:rPr>
          <w:rFonts w:ascii="宋体" w:hAnsi="宋体"/>
          <w:color w:val="000000"/>
          <w:kern w:val="0"/>
          <w:szCs w:val="21"/>
        </w:rPr>
        <w:t>七、验收标准</w:t>
      </w:r>
      <w:r>
        <w:rPr>
          <w:rFonts w:ascii="宋体" w:hAnsi="宋体"/>
          <w:color w:val="000000"/>
          <w:kern w:val="0"/>
          <w:szCs w:val="21"/>
          <w:u w:val="single"/>
        </w:rPr>
        <w:t xml:space="preserve">  参照国家相关工程验收规范以及采购合同内容。   </w:t>
      </w:r>
    </w:p>
    <w:p w14:paraId="54D0BC36">
      <w:pPr>
        <w:snapToGrid w:val="0"/>
        <w:spacing w:line="560" w:lineRule="exact"/>
        <w:ind w:firstLine="451" w:firstLineChars="215"/>
        <w:jc w:val="left"/>
        <w:outlineLvl w:val="0"/>
        <w:rPr>
          <w:rFonts w:hint="eastAsia" w:ascii="宋体" w:hAnsi="宋体"/>
          <w:kern w:val="0"/>
          <w:szCs w:val="21"/>
        </w:rPr>
      </w:pPr>
      <w:r>
        <w:rPr>
          <w:rFonts w:ascii="宋体" w:hAnsi="宋体"/>
          <w:color w:val="000000"/>
          <w:kern w:val="0"/>
          <w:szCs w:val="21"/>
        </w:rPr>
        <w:t>八、验收结论：</w:t>
      </w:r>
      <w:r>
        <w:rPr>
          <w:rFonts w:ascii="宋体" w:hAnsi="宋体"/>
          <w:color w:val="000000"/>
          <w:kern w:val="0"/>
          <w:szCs w:val="21"/>
          <w:u w:val="single"/>
        </w:rPr>
        <w:t>出具验收报告，并由供应商书面认定。</w:t>
      </w:r>
    </w:p>
    <w:p w14:paraId="66D13FC7">
      <w:pPr>
        <w:spacing w:line="460" w:lineRule="exact"/>
        <w:rPr>
          <w:rFonts w:hint="eastAsia" w:ascii="汉鼎简楷体" w:hAnsi="宋体"/>
          <w:b/>
          <w:bCs/>
          <w:spacing w:val="4"/>
          <w:sz w:val="24"/>
        </w:rPr>
      </w:pPr>
      <w:r>
        <w:rPr>
          <w:rFonts w:ascii="汉鼎简楷体" w:hAnsi="宋体"/>
          <w:b/>
          <w:bCs/>
          <w:spacing w:val="4"/>
          <w:sz w:val="24"/>
        </w:rPr>
        <w:t xml:space="preserve"> </w:t>
      </w:r>
    </w:p>
    <w:p w14:paraId="04889F2C">
      <w:pPr>
        <w:rPr>
          <w:rFonts w:ascii="Calibri" w:hAnsi="Calibri"/>
          <w:szCs w:val="21"/>
        </w:rPr>
      </w:pPr>
      <w:r>
        <w:rPr>
          <w:rFonts w:ascii="Calibri" w:hAnsi="Calibri"/>
          <w:szCs w:val="21"/>
        </w:rPr>
        <w:t xml:space="preserve"> </w:t>
      </w:r>
    </w:p>
    <w:p w14:paraId="084F015A">
      <w:pPr>
        <w:rPr>
          <w:rFonts w:ascii="Calibri" w:hAnsi="Calibri"/>
          <w:szCs w:val="21"/>
        </w:rPr>
      </w:pPr>
      <w:r>
        <w:rPr>
          <w:rFonts w:ascii="Calibri" w:hAnsi="Calibri"/>
          <w:szCs w:val="21"/>
        </w:rPr>
        <w:t xml:space="preserve"> </w:t>
      </w:r>
    </w:p>
    <w:p w14:paraId="59F38D2B">
      <w:pPr>
        <w:spacing w:line="360" w:lineRule="auto"/>
        <w:ind w:firstLine="480" w:firstLineChars="200"/>
        <w:rPr>
          <w:rFonts w:hint="eastAsia" w:ascii="宋体" w:hAnsi="宋体" w:cs="宋体"/>
          <w:sz w:val="24"/>
        </w:rPr>
      </w:pPr>
    </w:p>
    <w:p w14:paraId="6F7BA2A7">
      <w:pPr>
        <w:spacing w:line="360" w:lineRule="auto"/>
        <w:rPr>
          <w:rFonts w:hint="eastAsia" w:ascii="宋体" w:hAnsi="宋体" w:cs="宋体"/>
          <w:sz w:val="24"/>
        </w:rPr>
      </w:pPr>
      <w:r>
        <w:rPr>
          <w:rFonts w:hint="eastAsia" w:ascii="宋体" w:hAnsi="宋体" w:cs="宋体"/>
          <w:sz w:val="24"/>
        </w:rPr>
        <w:br w:type="page"/>
      </w:r>
    </w:p>
    <w:p w14:paraId="751BE06B">
      <w:pPr>
        <w:pStyle w:val="6"/>
        <w:tabs>
          <w:tab w:val="left" w:pos="0"/>
        </w:tabs>
        <w:wordWrap w:val="0"/>
        <w:autoSpaceDE w:val="0"/>
        <w:autoSpaceDN w:val="0"/>
        <w:adjustRightInd w:val="0"/>
        <w:spacing w:before="0" w:after="0" w:line="360" w:lineRule="auto"/>
        <w:jc w:val="center"/>
        <w:rPr>
          <w:rFonts w:hint="eastAsia" w:ascii="黑体" w:hAnsi="黑体" w:eastAsia="黑体"/>
          <w:b w:val="0"/>
          <w:bCs w:val="0"/>
        </w:rPr>
      </w:pPr>
      <w:bookmarkStart w:id="454" w:name="_Toc3675"/>
      <w:bookmarkStart w:id="455" w:name="_Toc25177"/>
      <w:bookmarkStart w:id="456" w:name="_Toc29267"/>
      <w:r>
        <w:rPr>
          <w:rFonts w:hint="eastAsia" w:ascii="黑体" w:hAnsi="黑体" w:eastAsia="黑体"/>
          <w:b w:val="0"/>
          <w:bCs w:val="0"/>
        </w:rPr>
        <w:t>第五章</w:t>
      </w:r>
      <w:r>
        <w:rPr>
          <w:rFonts w:ascii="黑体" w:hAnsi="黑体" w:eastAsia="黑体"/>
          <w:b w:val="0"/>
          <w:bCs w:val="0"/>
        </w:rPr>
        <w:t xml:space="preserve"> </w:t>
      </w:r>
      <w:r>
        <w:rPr>
          <w:rFonts w:hint="eastAsia" w:ascii="黑体" w:hAnsi="黑体" w:eastAsia="黑体"/>
          <w:b w:val="0"/>
          <w:bCs w:val="0"/>
        </w:rPr>
        <w:t>评审办法</w:t>
      </w:r>
      <w:bookmarkEnd w:id="454"/>
      <w:bookmarkEnd w:id="455"/>
      <w:bookmarkEnd w:id="456"/>
    </w:p>
    <w:p w14:paraId="497D5D89">
      <w:pPr>
        <w:wordWrap w:val="0"/>
        <w:rPr>
          <w:rFonts w:hint="eastAsia" w:ascii="黑体" w:hAnsi="黑体"/>
          <w:sz w:val="24"/>
        </w:rPr>
      </w:pPr>
      <w:bookmarkStart w:id="457" w:name="_Toc14349"/>
      <w:bookmarkStart w:id="458" w:name="_Toc32364"/>
      <w:bookmarkStart w:id="459" w:name="_Toc18550"/>
      <w:r>
        <w:rPr>
          <w:rFonts w:hint="eastAsia" w:ascii="黑体" w:hAnsi="黑体"/>
          <w:sz w:val="24"/>
        </w:rPr>
        <w:t>一</w:t>
      </w:r>
      <w:r>
        <w:rPr>
          <w:rFonts w:ascii="黑体" w:hAnsi="黑体"/>
          <w:sz w:val="24"/>
        </w:rPr>
        <w:t>、资格审查</w:t>
      </w:r>
      <w:r>
        <w:rPr>
          <w:rFonts w:hint="eastAsia" w:ascii="黑体" w:hAnsi="黑体"/>
          <w:sz w:val="24"/>
        </w:rPr>
        <w:t>表</w:t>
      </w:r>
      <w:bookmarkEnd w:id="457"/>
      <w:bookmarkEnd w:id="458"/>
      <w:bookmarkEnd w:id="459"/>
    </w:p>
    <w:tbl>
      <w:tblPr>
        <w:tblStyle w:val="47"/>
        <w:tblW w:w="885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956"/>
        <w:gridCol w:w="2237"/>
        <w:gridCol w:w="5666"/>
      </w:tblGrid>
      <w:tr w14:paraId="0F687D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7" w:hRule="atLeast"/>
          <w:tblHeader/>
          <w:jc w:val="center"/>
        </w:trPr>
        <w:tc>
          <w:tcPr>
            <w:tcW w:w="956" w:type="dxa"/>
            <w:vAlign w:val="center"/>
          </w:tcPr>
          <w:p w14:paraId="697A2390">
            <w:pPr>
              <w:wordWrap w:val="0"/>
              <w:adjustRightInd w:val="0"/>
              <w:snapToGrid w:val="0"/>
              <w:spacing w:line="360" w:lineRule="auto"/>
              <w:jc w:val="center"/>
              <w:rPr>
                <w:rFonts w:hint="eastAsia" w:ascii="宋体" w:hAnsi="宋体"/>
                <w:sz w:val="24"/>
              </w:rPr>
            </w:pPr>
            <w:r>
              <w:rPr>
                <w:rFonts w:hint="eastAsia" w:ascii="宋体" w:hAnsi="宋体"/>
                <w:sz w:val="24"/>
              </w:rPr>
              <w:t>序号</w:t>
            </w:r>
          </w:p>
        </w:tc>
        <w:tc>
          <w:tcPr>
            <w:tcW w:w="2237" w:type="dxa"/>
            <w:vAlign w:val="center"/>
          </w:tcPr>
          <w:p w14:paraId="0DB34081">
            <w:pPr>
              <w:wordWrap w:val="0"/>
              <w:adjustRightInd w:val="0"/>
              <w:snapToGrid w:val="0"/>
              <w:spacing w:line="360" w:lineRule="auto"/>
              <w:jc w:val="center"/>
              <w:rPr>
                <w:rFonts w:hint="eastAsia" w:ascii="宋体" w:hAnsi="宋体"/>
                <w:sz w:val="24"/>
              </w:rPr>
            </w:pPr>
            <w:r>
              <w:rPr>
                <w:rFonts w:hint="eastAsia" w:ascii="宋体" w:hAnsi="宋体"/>
                <w:sz w:val="24"/>
              </w:rPr>
              <w:t>审查因素</w:t>
            </w:r>
          </w:p>
        </w:tc>
        <w:tc>
          <w:tcPr>
            <w:tcW w:w="5666" w:type="dxa"/>
            <w:vAlign w:val="center"/>
          </w:tcPr>
          <w:p w14:paraId="30BE4BA3">
            <w:pPr>
              <w:wordWrap w:val="0"/>
              <w:adjustRightInd w:val="0"/>
              <w:snapToGrid w:val="0"/>
              <w:spacing w:line="360" w:lineRule="auto"/>
              <w:jc w:val="center"/>
              <w:rPr>
                <w:rFonts w:hint="eastAsia" w:ascii="宋体" w:hAnsi="宋体"/>
                <w:sz w:val="24"/>
              </w:rPr>
            </w:pPr>
            <w:r>
              <w:rPr>
                <w:rFonts w:hint="eastAsia" w:ascii="宋体" w:hAnsi="宋体"/>
                <w:sz w:val="24"/>
              </w:rPr>
              <w:t>审查内容</w:t>
            </w:r>
          </w:p>
        </w:tc>
      </w:tr>
      <w:tr w14:paraId="7CCD62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82" w:hRule="atLeast"/>
          <w:jc w:val="center"/>
        </w:trPr>
        <w:tc>
          <w:tcPr>
            <w:tcW w:w="956" w:type="dxa"/>
            <w:vAlign w:val="center"/>
          </w:tcPr>
          <w:p w14:paraId="36A6C75F">
            <w:pPr>
              <w:wordWrap w:val="0"/>
              <w:adjustRightInd w:val="0"/>
              <w:snapToGrid w:val="0"/>
              <w:spacing w:line="360" w:lineRule="auto"/>
              <w:jc w:val="center"/>
              <w:rPr>
                <w:rFonts w:hint="eastAsia" w:ascii="宋体" w:hAnsi="宋体"/>
                <w:sz w:val="24"/>
              </w:rPr>
            </w:pPr>
            <w:r>
              <w:rPr>
                <w:rFonts w:hint="eastAsia" w:ascii="宋体" w:hAnsi="宋体"/>
                <w:sz w:val="24"/>
              </w:rPr>
              <w:t>1</w:t>
            </w:r>
          </w:p>
        </w:tc>
        <w:tc>
          <w:tcPr>
            <w:tcW w:w="7903" w:type="dxa"/>
            <w:gridSpan w:val="2"/>
            <w:vAlign w:val="center"/>
          </w:tcPr>
          <w:p w14:paraId="373B6639">
            <w:pPr>
              <w:wordWrap w:val="0"/>
              <w:adjustRightInd w:val="0"/>
              <w:snapToGrid w:val="0"/>
              <w:spacing w:line="360" w:lineRule="auto"/>
              <w:rPr>
                <w:rFonts w:hint="eastAsia" w:ascii="宋体" w:hAnsi="宋体"/>
                <w:sz w:val="24"/>
              </w:rPr>
            </w:pPr>
            <w:r>
              <w:rPr>
                <w:rFonts w:ascii="宋体" w:hAnsi="宋体"/>
                <w:sz w:val="24"/>
              </w:rPr>
              <w:t>满足《中华人民共和国政府采购法》第二十二条规定</w:t>
            </w:r>
            <w:r>
              <w:rPr>
                <w:rFonts w:hint="eastAsia" w:ascii="宋体" w:hAnsi="宋体"/>
                <w:sz w:val="24"/>
              </w:rPr>
              <w:t>。</w:t>
            </w:r>
          </w:p>
        </w:tc>
      </w:tr>
      <w:tr w14:paraId="5E85DD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2" w:hRule="atLeast"/>
          <w:jc w:val="center"/>
        </w:trPr>
        <w:tc>
          <w:tcPr>
            <w:tcW w:w="956" w:type="dxa"/>
            <w:vAlign w:val="center"/>
          </w:tcPr>
          <w:p w14:paraId="6E5A516E">
            <w:pPr>
              <w:wordWrap w:val="0"/>
              <w:adjustRightInd w:val="0"/>
              <w:snapToGrid w:val="0"/>
              <w:spacing w:line="360" w:lineRule="auto"/>
              <w:jc w:val="center"/>
              <w:rPr>
                <w:rFonts w:hint="eastAsia" w:ascii="宋体" w:hAnsi="宋体"/>
                <w:sz w:val="24"/>
              </w:rPr>
            </w:pPr>
            <w:r>
              <w:rPr>
                <w:rFonts w:hint="eastAsia" w:ascii="宋体" w:hAnsi="宋体"/>
                <w:sz w:val="24"/>
              </w:rPr>
              <w:t>1</w:t>
            </w:r>
            <w:r>
              <w:rPr>
                <w:rFonts w:ascii="宋体" w:hAnsi="宋体"/>
                <w:sz w:val="24"/>
              </w:rPr>
              <w:t>-1</w:t>
            </w:r>
          </w:p>
        </w:tc>
        <w:tc>
          <w:tcPr>
            <w:tcW w:w="2237" w:type="dxa"/>
            <w:vAlign w:val="center"/>
          </w:tcPr>
          <w:p w14:paraId="19F2CFB1">
            <w:pPr>
              <w:wordWrap w:val="0"/>
              <w:adjustRightInd w:val="0"/>
              <w:snapToGrid w:val="0"/>
              <w:spacing w:line="360" w:lineRule="auto"/>
              <w:jc w:val="center"/>
              <w:rPr>
                <w:rFonts w:hint="eastAsia" w:ascii="宋体" w:hAnsi="宋体"/>
                <w:sz w:val="24"/>
              </w:rPr>
            </w:pPr>
            <w:r>
              <w:rPr>
                <w:rFonts w:hint="eastAsia" w:ascii="宋体" w:hAnsi="宋体" w:cs="宋体"/>
                <w:kern w:val="44"/>
                <w:sz w:val="24"/>
              </w:rPr>
              <w:t>具有独立承担民事责任能力</w:t>
            </w:r>
          </w:p>
        </w:tc>
        <w:tc>
          <w:tcPr>
            <w:tcW w:w="5666" w:type="dxa"/>
            <w:vAlign w:val="center"/>
          </w:tcPr>
          <w:p w14:paraId="13166DFA">
            <w:pPr>
              <w:wordWrap w:val="0"/>
              <w:adjustRightInd w:val="0"/>
              <w:snapToGrid w:val="0"/>
              <w:spacing w:line="360" w:lineRule="auto"/>
              <w:jc w:val="left"/>
              <w:rPr>
                <w:rFonts w:hint="eastAsia" w:ascii="宋体" w:hAnsi="宋体"/>
                <w:sz w:val="24"/>
              </w:rPr>
            </w:pPr>
            <w:r>
              <w:rPr>
                <w:rFonts w:hint="eastAsia" w:ascii="宋体" w:hAnsi="宋体"/>
                <w:sz w:val="24"/>
              </w:rPr>
              <w:t>供应商响应文件中提供法人或者其他组织的营业执照或其他相关证明文件加盖公章，自然人需提供身份证明。</w:t>
            </w:r>
          </w:p>
        </w:tc>
      </w:tr>
      <w:tr w14:paraId="7DA6FB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90" w:hRule="atLeast"/>
          <w:jc w:val="center"/>
        </w:trPr>
        <w:tc>
          <w:tcPr>
            <w:tcW w:w="956" w:type="dxa"/>
            <w:vAlign w:val="center"/>
          </w:tcPr>
          <w:p w14:paraId="509E7E5F">
            <w:pPr>
              <w:wordWrap w:val="0"/>
              <w:adjustRightInd w:val="0"/>
              <w:snapToGrid w:val="0"/>
              <w:spacing w:line="360" w:lineRule="auto"/>
              <w:jc w:val="center"/>
              <w:rPr>
                <w:rFonts w:hint="eastAsia" w:ascii="宋体" w:hAnsi="宋体"/>
                <w:sz w:val="24"/>
              </w:rPr>
            </w:pPr>
            <w:r>
              <w:rPr>
                <w:rFonts w:hint="eastAsia" w:ascii="宋体" w:hAnsi="宋体"/>
                <w:sz w:val="24"/>
              </w:rPr>
              <w:t>1-2</w:t>
            </w:r>
          </w:p>
        </w:tc>
        <w:tc>
          <w:tcPr>
            <w:tcW w:w="2237" w:type="dxa"/>
            <w:vAlign w:val="center"/>
          </w:tcPr>
          <w:p w14:paraId="6B62D6BB">
            <w:pPr>
              <w:wordWrap w:val="0"/>
              <w:adjustRightInd w:val="0"/>
              <w:snapToGrid w:val="0"/>
              <w:spacing w:line="360" w:lineRule="auto"/>
              <w:jc w:val="center"/>
              <w:rPr>
                <w:rFonts w:hint="eastAsia" w:ascii="宋体" w:hAnsi="宋体"/>
                <w:sz w:val="24"/>
              </w:rPr>
            </w:pPr>
            <w:r>
              <w:rPr>
                <w:rFonts w:hint="eastAsia" w:ascii="宋体" w:hAnsi="宋体" w:cs="宋体"/>
                <w:kern w:val="44"/>
                <w:sz w:val="24"/>
              </w:rPr>
              <w:t>具有良好的商业信誉和健全的财务会计制度</w:t>
            </w:r>
          </w:p>
        </w:tc>
        <w:tc>
          <w:tcPr>
            <w:tcW w:w="5666" w:type="dxa"/>
            <w:vAlign w:val="center"/>
          </w:tcPr>
          <w:p w14:paraId="49D4A411">
            <w:pPr>
              <w:wordWrap w:val="0"/>
              <w:adjustRightInd w:val="0"/>
              <w:snapToGrid w:val="0"/>
              <w:spacing w:line="360" w:lineRule="auto"/>
              <w:jc w:val="left"/>
              <w:rPr>
                <w:rFonts w:hint="eastAsia" w:ascii="宋体" w:hAnsi="宋体"/>
                <w:sz w:val="24"/>
              </w:rPr>
            </w:pPr>
            <w:bookmarkStart w:id="460" w:name="OLE_LINK20"/>
            <w:bookmarkStart w:id="461" w:name="OLE_LINK21"/>
            <w:r>
              <w:rPr>
                <w:rFonts w:hint="eastAsia" w:ascii="宋体" w:hAnsi="宋体"/>
                <w:sz w:val="24"/>
              </w:rPr>
              <w:t>供应商响应文件中提供2025年度经审计的财务报告（财务审计报告应具有2名及以上注册会计师盖章和签字）复印件或银行出具的资信证明或财政部门认可的政府采购专业担保机构出具的担保函复印件，加盖公章。</w:t>
            </w:r>
            <w:bookmarkEnd w:id="460"/>
            <w:bookmarkEnd w:id="461"/>
          </w:p>
        </w:tc>
      </w:tr>
      <w:tr w14:paraId="025F0C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90" w:hRule="atLeast"/>
          <w:jc w:val="center"/>
        </w:trPr>
        <w:tc>
          <w:tcPr>
            <w:tcW w:w="956" w:type="dxa"/>
            <w:vAlign w:val="center"/>
          </w:tcPr>
          <w:p w14:paraId="0A173A06">
            <w:pPr>
              <w:wordWrap w:val="0"/>
              <w:adjustRightInd w:val="0"/>
              <w:snapToGrid w:val="0"/>
              <w:spacing w:line="360" w:lineRule="auto"/>
              <w:jc w:val="center"/>
              <w:rPr>
                <w:rFonts w:hint="eastAsia" w:ascii="宋体" w:hAnsi="宋体"/>
                <w:sz w:val="24"/>
              </w:rPr>
            </w:pPr>
            <w:r>
              <w:rPr>
                <w:rFonts w:hint="eastAsia" w:ascii="宋体" w:hAnsi="宋体"/>
                <w:sz w:val="24"/>
              </w:rPr>
              <w:t>1-3</w:t>
            </w:r>
          </w:p>
        </w:tc>
        <w:tc>
          <w:tcPr>
            <w:tcW w:w="2237" w:type="dxa"/>
            <w:vAlign w:val="center"/>
          </w:tcPr>
          <w:p w14:paraId="3819BB8B">
            <w:pPr>
              <w:wordWrap w:val="0"/>
              <w:adjustRightInd w:val="0"/>
              <w:snapToGrid w:val="0"/>
              <w:spacing w:line="360" w:lineRule="auto"/>
              <w:jc w:val="center"/>
              <w:rPr>
                <w:rFonts w:hint="eastAsia" w:ascii="宋体" w:hAnsi="宋体"/>
                <w:sz w:val="24"/>
              </w:rPr>
            </w:pPr>
            <w:r>
              <w:rPr>
                <w:rFonts w:hint="eastAsia" w:ascii="宋体" w:hAnsi="宋体" w:cs="宋体"/>
                <w:kern w:val="44"/>
                <w:sz w:val="24"/>
              </w:rPr>
              <w:t>具备履行合同所必需的设备和专业技术能力</w:t>
            </w:r>
          </w:p>
        </w:tc>
        <w:tc>
          <w:tcPr>
            <w:tcW w:w="5666" w:type="dxa"/>
            <w:vAlign w:val="center"/>
          </w:tcPr>
          <w:p w14:paraId="4E3C8249">
            <w:pPr>
              <w:wordWrap w:val="0"/>
              <w:adjustRightInd w:val="0"/>
              <w:snapToGrid w:val="0"/>
              <w:spacing w:line="360" w:lineRule="auto"/>
              <w:jc w:val="left"/>
              <w:rPr>
                <w:rFonts w:hint="eastAsia" w:ascii="宋体" w:hAnsi="宋体"/>
                <w:sz w:val="24"/>
              </w:rPr>
            </w:pPr>
            <w:r>
              <w:rPr>
                <w:rFonts w:hint="eastAsia" w:ascii="宋体" w:hAnsi="宋体"/>
                <w:sz w:val="24"/>
              </w:rPr>
              <w:t>供应商在响应文件中提供具有履行合同所必需的设备和专业技术能力承诺函</w:t>
            </w:r>
            <w:r>
              <w:rPr>
                <w:rFonts w:hint="eastAsia" w:ascii="宋体" w:hAnsi="宋体" w:cs="宋体"/>
                <w:sz w:val="24"/>
              </w:rPr>
              <w:t>，</w:t>
            </w:r>
            <w:r>
              <w:rPr>
                <w:rFonts w:hint="eastAsia" w:ascii="Calibri" w:hAnsi="Calibri"/>
                <w:sz w:val="24"/>
              </w:rPr>
              <w:t>加盖公章</w:t>
            </w:r>
            <w:r>
              <w:rPr>
                <w:rFonts w:hint="eastAsia" w:ascii="宋体" w:hAnsi="宋体"/>
                <w:sz w:val="24"/>
              </w:rPr>
              <w:t>。</w:t>
            </w:r>
          </w:p>
        </w:tc>
      </w:tr>
      <w:tr w14:paraId="00B6E4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48" w:hRule="atLeast"/>
          <w:jc w:val="center"/>
        </w:trPr>
        <w:tc>
          <w:tcPr>
            <w:tcW w:w="956" w:type="dxa"/>
            <w:vAlign w:val="center"/>
          </w:tcPr>
          <w:p w14:paraId="137340DF">
            <w:pPr>
              <w:wordWrap w:val="0"/>
              <w:adjustRightInd w:val="0"/>
              <w:snapToGrid w:val="0"/>
              <w:spacing w:line="360" w:lineRule="auto"/>
              <w:jc w:val="center"/>
              <w:rPr>
                <w:rFonts w:hint="eastAsia" w:ascii="宋体" w:hAnsi="宋体"/>
                <w:sz w:val="24"/>
              </w:rPr>
            </w:pPr>
            <w:r>
              <w:rPr>
                <w:rFonts w:hint="eastAsia" w:ascii="宋体" w:hAnsi="宋体"/>
                <w:sz w:val="24"/>
              </w:rPr>
              <w:t>1-4</w:t>
            </w:r>
          </w:p>
        </w:tc>
        <w:tc>
          <w:tcPr>
            <w:tcW w:w="2237" w:type="dxa"/>
            <w:vAlign w:val="center"/>
          </w:tcPr>
          <w:p w14:paraId="478C6515">
            <w:pPr>
              <w:wordWrap w:val="0"/>
              <w:spacing w:line="360" w:lineRule="auto"/>
              <w:jc w:val="center"/>
              <w:rPr>
                <w:rFonts w:ascii="Calibri" w:hAnsi="Calibri"/>
                <w:sz w:val="24"/>
              </w:rPr>
            </w:pPr>
            <w:r>
              <w:rPr>
                <w:rFonts w:hint="eastAsia" w:ascii="宋体" w:hAnsi="宋体" w:cs="宋体"/>
                <w:kern w:val="44"/>
                <w:sz w:val="24"/>
              </w:rPr>
              <w:t>有依法缴纳税收和社会保障资金的良好记录</w:t>
            </w:r>
          </w:p>
        </w:tc>
        <w:tc>
          <w:tcPr>
            <w:tcW w:w="5666" w:type="dxa"/>
            <w:vAlign w:val="center"/>
          </w:tcPr>
          <w:p w14:paraId="700EBEB4">
            <w:pPr>
              <w:wordWrap w:val="0"/>
              <w:adjustRightInd w:val="0"/>
              <w:snapToGrid w:val="0"/>
              <w:spacing w:line="360" w:lineRule="auto"/>
              <w:jc w:val="left"/>
              <w:rPr>
                <w:rFonts w:hint="eastAsia" w:ascii="宋体" w:hAnsi="宋体"/>
                <w:sz w:val="24"/>
              </w:rPr>
            </w:pPr>
            <w:r>
              <w:rPr>
                <w:rFonts w:hint="eastAsia" w:ascii="宋体" w:hAnsi="宋体"/>
                <w:sz w:val="24"/>
              </w:rPr>
              <w:t>供应商响应文件中提供自2026年1月1日以来任意1个月依法缴纳税收和社会保障资金的相关证明材料复印件；依法免税或不需要缴纳社会保障资金的供应商应提供相应证明文件的复印件，加盖公章。</w:t>
            </w:r>
          </w:p>
        </w:tc>
      </w:tr>
      <w:tr w14:paraId="0BBC2A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48" w:hRule="atLeast"/>
          <w:jc w:val="center"/>
        </w:trPr>
        <w:tc>
          <w:tcPr>
            <w:tcW w:w="956" w:type="dxa"/>
            <w:vAlign w:val="center"/>
          </w:tcPr>
          <w:p w14:paraId="03704A53">
            <w:pPr>
              <w:wordWrap w:val="0"/>
              <w:adjustRightInd w:val="0"/>
              <w:snapToGrid w:val="0"/>
              <w:spacing w:line="360" w:lineRule="auto"/>
              <w:jc w:val="center"/>
              <w:rPr>
                <w:rFonts w:hint="eastAsia" w:ascii="宋体" w:hAnsi="宋体"/>
                <w:sz w:val="24"/>
              </w:rPr>
            </w:pPr>
            <w:r>
              <w:rPr>
                <w:rFonts w:hint="eastAsia" w:ascii="宋体" w:hAnsi="宋体"/>
                <w:sz w:val="24"/>
              </w:rPr>
              <w:t>1-5</w:t>
            </w:r>
          </w:p>
        </w:tc>
        <w:tc>
          <w:tcPr>
            <w:tcW w:w="2237" w:type="dxa"/>
            <w:vAlign w:val="center"/>
          </w:tcPr>
          <w:p w14:paraId="05DFF479">
            <w:pPr>
              <w:wordWrap w:val="0"/>
              <w:adjustRightInd w:val="0"/>
              <w:snapToGrid w:val="0"/>
              <w:spacing w:line="360" w:lineRule="auto"/>
              <w:jc w:val="center"/>
              <w:rPr>
                <w:rFonts w:ascii="Calibri" w:hAnsi="Calibri"/>
                <w:sz w:val="24"/>
              </w:rPr>
            </w:pPr>
            <w:r>
              <w:rPr>
                <w:rFonts w:hint="eastAsia" w:ascii="宋体" w:hAnsi="宋体" w:cs="宋体"/>
                <w:kern w:val="44"/>
                <w:sz w:val="24"/>
              </w:rPr>
              <w:t>参加政府采购活动前三年内，在经营活动中没有重大违法记录</w:t>
            </w:r>
          </w:p>
        </w:tc>
        <w:tc>
          <w:tcPr>
            <w:tcW w:w="5666" w:type="dxa"/>
            <w:vAlign w:val="center"/>
          </w:tcPr>
          <w:p w14:paraId="7BB28C45">
            <w:pPr>
              <w:wordWrap w:val="0"/>
              <w:adjustRightInd w:val="0"/>
              <w:snapToGrid w:val="0"/>
              <w:spacing w:line="360" w:lineRule="auto"/>
              <w:jc w:val="left"/>
              <w:rPr>
                <w:rFonts w:hint="eastAsia" w:ascii="宋体" w:hAnsi="宋体"/>
                <w:sz w:val="24"/>
              </w:rPr>
            </w:pPr>
            <w:r>
              <w:rPr>
                <w:rFonts w:hint="eastAsia" w:ascii="宋体" w:hAnsi="宋体" w:cs="宋体"/>
                <w:sz w:val="24"/>
              </w:rPr>
              <w:t>供应商响应文件中提供参加政府采购活动前三年内，在经营活动中没有重大违法记录的声明，</w:t>
            </w:r>
            <w:r>
              <w:rPr>
                <w:rFonts w:hint="eastAsia" w:ascii="Calibri" w:hAnsi="Calibri"/>
                <w:sz w:val="24"/>
              </w:rPr>
              <w:t>加盖公章</w:t>
            </w:r>
            <w:r>
              <w:rPr>
                <w:rFonts w:hint="eastAsia" w:ascii="宋体" w:hAnsi="宋体"/>
                <w:sz w:val="24"/>
              </w:rPr>
              <w:t>。</w:t>
            </w:r>
          </w:p>
        </w:tc>
      </w:tr>
      <w:tr w14:paraId="62A750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48" w:hRule="atLeast"/>
          <w:jc w:val="center"/>
        </w:trPr>
        <w:tc>
          <w:tcPr>
            <w:tcW w:w="956" w:type="dxa"/>
            <w:vAlign w:val="center"/>
          </w:tcPr>
          <w:p w14:paraId="4CB678FD">
            <w:pPr>
              <w:wordWrap w:val="0"/>
              <w:adjustRightInd w:val="0"/>
              <w:snapToGrid w:val="0"/>
              <w:spacing w:line="360" w:lineRule="auto"/>
              <w:jc w:val="center"/>
              <w:rPr>
                <w:rFonts w:hint="eastAsia" w:ascii="宋体" w:hAnsi="宋体"/>
                <w:sz w:val="24"/>
              </w:rPr>
            </w:pPr>
            <w:r>
              <w:rPr>
                <w:rFonts w:hint="eastAsia" w:ascii="宋体" w:hAnsi="宋体"/>
                <w:sz w:val="24"/>
              </w:rPr>
              <w:t>2</w:t>
            </w:r>
          </w:p>
        </w:tc>
        <w:tc>
          <w:tcPr>
            <w:tcW w:w="2237" w:type="dxa"/>
            <w:vAlign w:val="center"/>
          </w:tcPr>
          <w:p w14:paraId="0F4C669E">
            <w:pPr>
              <w:adjustRightInd w:val="0"/>
              <w:snapToGrid w:val="0"/>
              <w:spacing w:line="360" w:lineRule="exact"/>
              <w:jc w:val="center"/>
              <w:rPr>
                <w:rFonts w:hint="eastAsia" w:ascii="宋体" w:hAnsi="宋体"/>
                <w:sz w:val="24"/>
              </w:rPr>
            </w:pPr>
            <w:r>
              <w:rPr>
                <w:rFonts w:ascii="宋体" w:hAnsi="宋体"/>
                <w:sz w:val="24"/>
              </w:rPr>
              <w:t>落实政府采购政策需满足的资格要求</w:t>
            </w:r>
          </w:p>
        </w:tc>
        <w:tc>
          <w:tcPr>
            <w:tcW w:w="5666" w:type="dxa"/>
            <w:vAlign w:val="center"/>
          </w:tcPr>
          <w:p w14:paraId="010973AC">
            <w:pPr>
              <w:adjustRightInd w:val="0"/>
              <w:snapToGrid w:val="0"/>
              <w:spacing w:line="360" w:lineRule="exact"/>
              <w:rPr>
                <w:rFonts w:hint="eastAsia" w:ascii="宋体" w:hAnsi="宋体"/>
                <w:sz w:val="24"/>
              </w:rPr>
            </w:pPr>
            <w:r>
              <w:rPr>
                <w:rFonts w:hint="eastAsia" w:ascii="宋体" w:hAnsi="宋体" w:cs="宋体"/>
                <w:sz w:val="24"/>
              </w:rPr>
              <w:t>本项目为专门面向中小企业采购的项目（监狱企业、残疾人福利性企业视同中小企业）,供应商必须为中小企业（提供中小企业声明函或监狱企业声明函或残疾人福利性单位声明函）。</w:t>
            </w:r>
          </w:p>
        </w:tc>
      </w:tr>
      <w:tr w14:paraId="6E0FD3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3" w:hRule="atLeast"/>
          <w:jc w:val="center"/>
        </w:trPr>
        <w:tc>
          <w:tcPr>
            <w:tcW w:w="956" w:type="dxa"/>
            <w:vAlign w:val="center"/>
          </w:tcPr>
          <w:p w14:paraId="47D273C1">
            <w:pPr>
              <w:wordWrap w:val="0"/>
              <w:adjustRightInd w:val="0"/>
              <w:snapToGrid w:val="0"/>
              <w:spacing w:line="360" w:lineRule="auto"/>
              <w:jc w:val="center"/>
              <w:rPr>
                <w:rFonts w:hint="eastAsia" w:ascii="宋体" w:hAnsi="宋体"/>
                <w:sz w:val="24"/>
              </w:rPr>
            </w:pPr>
            <w:r>
              <w:rPr>
                <w:rFonts w:hint="eastAsia" w:ascii="宋体" w:hAnsi="宋体"/>
                <w:sz w:val="24"/>
              </w:rPr>
              <w:t>3</w:t>
            </w:r>
          </w:p>
        </w:tc>
        <w:tc>
          <w:tcPr>
            <w:tcW w:w="2237" w:type="dxa"/>
            <w:vAlign w:val="center"/>
          </w:tcPr>
          <w:p w14:paraId="6FAF7E6A">
            <w:pPr>
              <w:wordWrap w:val="0"/>
              <w:adjustRightInd w:val="0"/>
              <w:snapToGrid w:val="0"/>
              <w:spacing w:line="360" w:lineRule="auto"/>
              <w:jc w:val="center"/>
              <w:rPr>
                <w:rFonts w:hint="eastAsia" w:ascii="宋体" w:hAnsi="宋体"/>
                <w:sz w:val="24"/>
              </w:rPr>
            </w:pPr>
            <w:r>
              <w:rPr>
                <w:rFonts w:hint="eastAsia" w:ascii="宋体" w:hAnsi="宋体"/>
                <w:sz w:val="24"/>
              </w:rPr>
              <w:t>供应商</w:t>
            </w:r>
            <w:r>
              <w:rPr>
                <w:rFonts w:ascii="宋体" w:hAnsi="宋体"/>
                <w:sz w:val="24"/>
              </w:rPr>
              <w:t>信用记录</w:t>
            </w:r>
            <w:r>
              <w:rPr>
                <w:rFonts w:hint="eastAsia" w:ascii="宋体" w:hAnsi="宋体"/>
                <w:sz w:val="24"/>
              </w:rPr>
              <w:t>查询</w:t>
            </w:r>
          </w:p>
        </w:tc>
        <w:tc>
          <w:tcPr>
            <w:tcW w:w="5666" w:type="dxa"/>
            <w:vAlign w:val="center"/>
          </w:tcPr>
          <w:p w14:paraId="3A919767">
            <w:pPr>
              <w:wordWrap w:val="0"/>
              <w:adjustRightInd w:val="0"/>
              <w:snapToGrid w:val="0"/>
              <w:spacing w:line="360" w:lineRule="auto"/>
              <w:rPr>
                <w:rFonts w:hint="eastAsia" w:ascii="宋体" w:hAnsi="宋体" w:cs="宋体"/>
                <w:b/>
                <w:bCs/>
                <w:sz w:val="24"/>
              </w:rPr>
            </w:pPr>
            <w:r>
              <w:rPr>
                <w:rFonts w:hint="eastAsia" w:ascii="宋体" w:hAnsi="宋体" w:cs="宋体"/>
                <w:sz w:val="24"/>
              </w:rPr>
              <w:t>对列入失信被执行人、重大税收违法失信主体名单、政府采购严重违法失信行为记录名单的供应商，拒绝参与本项目的采购活动；</w:t>
            </w:r>
          </w:p>
          <w:p w14:paraId="7E6A1DA9">
            <w:pPr>
              <w:wordWrap w:val="0"/>
              <w:adjustRightInd w:val="0"/>
              <w:snapToGrid w:val="0"/>
              <w:spacing w:line="360" w:lineRule="auto"/>
              <w:jc w:val="left"/>
              <w:rPr>
                <w:rFonts w:hint="eastAsia" w:ascii="宋体" w:hAnsi="宋体" w:cs="宋体"/>
                <w:b/>
                <w:bCs/>
                <w:sz w:val="24"/>
              </w:rPr>
            </w:pPr>
            <w:r>
              <w:rPr>
                <w:rFonts w:hint="eastAsia" w:ascii="宋体" w:hAnsi="宋体" w:cs="宋体"/>
                <w:sz w:val="24"/>
              </w:rPr>
              <w:t>查询渠道：“信用中国”网站（</w:t>
            </w:r>
            <w:r>
              <w:fldChar w:fldCharType="begin"/>
            </w:r>
            <w:r>
              <w:instrText xml:space="preserve"> HYPERLINK "https://www.creditchina.gov.cn/" </w:instrText>
            </w:r>
            <w:r>
              <w:fldChar w:fldCharType="separate"/>
            </w:r>
            <w:r>
              <w:rPr>
                <w:rStyle w:val="54"/>
                <w:rFonts w:hint="eastAsia" w:ascii="宋体" w:hAnsi="宋体" w:cs="宋体"/>
                <w:color w:val="auto"/>
                <w:sz w:val="24"/>
                <w:u w:val="none"/>
              </w:rPr>
              <w:t>https://www.creditchina.gov.cn/</w:t>
            </w:r>
            <w:r>
              <w:rPr>
                <w:rStyle w:val="54"/>
                <w:rFonts w:hint="eastAsia" w:ascii="宋体" w:hAnsi="宋体" w:cs="宋体"/>
                <w:color w:val="auto"/>
                <w:sz w:val="24"/>
                <w:u w:val="none"/>
              </w:rPr>
              <w:fldChar w:fldCharType="end"/>
            </w:r>
            <w:r>
              <w:rPr>
                <w:rFonts w:hint="eastAsia" w:ascii="宋体" w:hAnsi="宋体" w:cs="宋体"/>
                <w:sz w:val="24"/>
              </w:rPr>
              <w:t>）、中国政府采购网（</w:t>
            </w:r>
            <w:r>
              <w:fldChar w:fldCharType="begin"/>
            </w:r>
            <w:r>
              <w:instrText xml:space="preserve"> HYPERLINK "http://www.ccgp.gov.cn" </w:instrText>
            </w:r>
            <w:r>
              <w:fldChar w:fldCharType="separate"/>
            </w:r>
            <w:r>
              <w:rPr>
                <w:rStyle w:val="54"/>
                <w:rFonts w:hint="eastAsia" w:ascii="宋体" w:hAnsi="宋体" w:cs="宋体"/>
                <w:color w:val="auto"/>
                <w:sz w:val="24"/>
                <w:u w:val="none"/>
              </w:rPr>
              <w:t>www.ccgp.gov.cn</w:t>
            </w:r>
            <w:r>
              <w:rPr>
                <w:rStyle w:val="54"/>
                <w:rFonts w:hint="eastAsia" w:ascii="宋体" w:hAnsi="宋体" w:cs="宋体"/>
                <w:color w:val="auto"/>
                <w:sz w:val="24"/>
                <w:u w:val="none"/>
              </w:rPr>
              <w:fldChar w:fldCharType="end"/>
            </w:r>
            <w:r>
              <w:rPr>
                <w:rFonts w:hint="eastAsia" w:ascii="宋体" w:hAnsi="宋体" w:cs="宋体"/>
                <w:sz w:val="24"/>
              </w:rPr>
              <w:t>）、中国执行信息公开网（</w:t>
            </w:r>
            <w:r>
              <w:fldChar w:fldCharType="begin"/>
            </w:r>
            <w:r>
              <w:instrText xml:space="preserve"> HYPERLINK "http://zxgk.court.gov.cn/shixin/）】" </w:instrText>
            </w:r>
            <w:r>
              <w:fldChar w:fldCharType="separate"/>
            </w:r>
            <w:r>
              <w:rPr>
                <w:rStyle w:val="54"/>
                <w:rFonts w:hint="eastAsia" w:ascii="宋体" w:hAnsi="宋体" w:cs="宋体"/>
                <w:color w:val="auto"/>
                <w:sz w:val="24"/>
                <w:u w:val="none"/>
              </w:rPr>
              <w:t>http://zxgk.court.gov.cn/shixin/）</w:t>
            </w:r>
            <w:r>
              <w:rPr>
                <w:rStyle w:val="54"/>
                <w:rFonts w:hint="eastAsia" w:ascii="宋体" w:hAnsi="宋体" w:cs="宋体"/>
                <w:color w:val="auto"/>
                <w:sz w:val="24"/>
                <w:u w:val="none"/>
              </w:rPr>
              <w:fldChar w:fldCharType="end"/>
            </w:r>
            <w:r>
              <w:rPr>
                <w:rFonts w:hint="eastAsia" w:ascii="宋体" w:hAnsi="宋体" w:cs="宋体"/>
                <w:sz w:val="24"/>
              </w:rPr>
              <w:t>。</w:t>
            </w:r>
          </w:p>
          <w:p w14:paraId="4800D507">
            <w:pPr>
              <w:wordWrap w:val="0"/>
              <w:adjustRightInd w:val="0"/>
              <w:snapToGrid w:val="0"/>
              <w:spacing w:line="360" w:lineRule="auto"/>
              <w:rPr>
                <w:rFonts w:hint="eastAsia" w:ascii="宋体" w:hAnsi="宋体" w:cs="宋体"/>
                <w:b/>
                <w:bCs/>
                <w:sz w:val="24"/>
              </w:rPr>
            </w:pPr>
            <w:r>
              <w:rPr>
                <w:rFonts w:hint="eastAsia" w:ascii="宋体" w:hAnsi="宋体" w:cs="宋体"/>
                <w:sz w:val="24"/>
              </w:rPr>
              <w:t>信用查询的时间</w:t>
            </w:r>
          </w:p>
          <w:p w14:paraId="62F95877">
            <w:pPr>
              <w:wordWrap w:val="0"/>
              <w:adjustRightInd w:val="0"/>
              <w:snapToGrid w:val="0"/>
              <w:spacing w:line="360" w:lineRule="auto"/>
              <w:rPr>
                <w:rFonts w:hint="eastAsia" w:ascii="宋体" w:hAnsi="宋体" w:cs="宋体"/>
                <w:sz w:val="24"/>
              </w:rPr>
            </w:pPr>
            <w:r>
              <w:rPr>
                <w:rFonts w:hint="eastAsia" w:ascii="宋体" w:hAnsi="宋体" w:cs="宋体"/>
                <w:sz w:val="24"/>
              </w:rPr>
              <w:t>信用信息截止时间点：评审结束之前；</w:t>
            </w:r>
          </w:p>
          <w:p w14:paraId="12C3AECA">
            <w:pPr>
              <w:wordWrap w:val="0"/>
              <w:adjustRightInd w:val="0"/>
              <w:snapToGrid w:val="0"/>
              <w:spacing w:line="360" w:lineRule="auto"/>
              <w:rPr>
                <w:rFonts w:hint="eastAsia" w:ascii="宋体" w:hAnsi="宋体" w:cs="宋体"/>
                <w:sz w:val="24"/>
              </w:rPr>
            </w:pPr>
            <w:r>
              <w:rPr>
                <w:rFonts w:hint="eastAsia" w:ascii="宋体" w:hAnsi="宋体" w:cs="宋体"/>
                <w:sz w:val="24"/>
              </w:rPr>
              <w:t>信用查询时间：在提交响应文件截止时间至评审结束之前进行查询。</w:t>
            </w:r>
          </w:p>
          <w:p w14:paraId="781541E3">
            <w:pPr>
              <w:wordWrap w:val="0"/>
              <w:adjustRightInd w:val="0"/>
              <w:snapToGrid w:val="0"/>
              <w:spacing w:line="360" w:lineRule="auto"/>
              <w:rPr>
                <w:rFonts w:hint="eastAsia" w:ascii="宋体" w:hAnsi="宋体" w:cs="宋体"/>
                <w:sz w:val="24"/>
              </w:rPr>
            </w:pPr>
            <w:r>
              <w:rPr>
                <w:rFonts w:hint="eastAsia" w:ascii="宋体" w:hAnsi="宋体" w:cs="宋体"/>
                <w:sz w:val="24"/>
              </w:rPr>
              <w:t>信用查询记录方式：</w:t>
            </w:r>
          </w:p>
          <w:p w14:paraId="628D9EBE">
            <w:pPr>
              <w:wordWrap w:val="0"/>
              <w:adjustRightInd w:val="0"/>
              <w:snapToGrid w:val="0"/>
              <w:spacing w:line="360" w:lineRule="auto"/>
              <w:rPr>
                <w:rFonts w:hint="eastAsia" w:ascii="宋体" w:hAnsi="宋体" w:cs="宋体"/>
                <w:b/>
                <w:bCs/>
                <w:sz w:val="24"/>
              </w:rPr>
            </w:pPr>
            <w:r>
              <w:rPr>
                <w:rFonts w:hint="eastAsia" w:ascii="宋体" w:hAnsi="宋体" w:cs="宋体"/>
                <w:sz w:val="24"/>
              </w:rPr>
              <w:t>采购人或采购代理机构将根据要求进行查询，供应商不良信用记录以采购人或采购代理机构查询结果为准。供应商自行提供的与网站信息不一致的其他证明材料亦不作为资格审查依据。</w:t>
            </w:r>
          </w:p>
        </w:tc>
      </w:tr>
      <w:tr w14:paraId="3F69B6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90" w:hRule="atLeast"/>
          <w:jc w:val="center"/>
        </w:trPr>
        <w:tc>
          <w:tcPr>
            <w:tcW w:w="956" w:type="dxa"/>
            <w:vAlign w:val="center"/>
          </w:tcPr>
          <w:p w14:paraId="703E9966">
            <w:pPr>
              <w:wordWrap w:val="0"/>
              <w:adjustRightInd w:val="0"/>
              <w:snapToGrid w:val="0"/>
              <w:spacing w:line="360" w:lineRule="auto"/>
              <w:jc w:val="center"/>
              <w:rPr>
                <w:rFonts w:hint="eastAsia" w:ascii="宋体" w:hAnsi="宋体"/>
                <w:sz w:val="24"/>
              </w:rPr>
            </w:pPr>
            <w:r>
              <w:rPr>
                <w:rFonts w:hint="eastAsia" w:ascii="宋体" w:hAnsi="宋体"/>
                <w:sz w:val="24"/>
              </w:rPr>
              <w:t>4</w:t>
            </w:r>
          </w:p>
        </w:tc>
        <w:tc>
          <w:tcPr>
            <w:tcW w:w="2237" w:type="dxa"/>
            <w:vAlign w:val="center"/>
          </w:tcPr>
          <w:p w14:paraId="2C8FC42F">
            <w:pPr>
              <w:wordWrap w:val="0"/>
              <w:adjustRightInd w:val="0"/>
              <w:snapToGrid w:val="0"/>
              <w:spacing w:line="360" w:lineRule="auto"/>
              <w:jc w:val="center"/>
              <w:rPr>
                <w:rFonts w:hint="eastAsia" w:ascii="宋体" w:hAnsi="宋体"/>
                <w:sz w:val="24"/>
              </w:rPr>
            </w:pPr>
            <w:r>
              <w:rPr>
                <w:rFonts w:hint="eastAsia" w:ascii="宋体" w:hAnsi="宋体" w:cs="宋体"/>
                <w:sz w:val="24"/>
              </w:rPr>
              <w:t>供应商不得存在的情形</w:t>
            </w:r>
          </w:p>
        </w:tc>
        <w:tc>
          <w:tcPr>
            <w:tcW w:w="5666" w:type="dxa"/>
            <w:vAlign w:val="center"/>
          </w:tcPr>
          <w:p w14:paraId="226608BB">
            <w:pPr>
              <w:wordWrap w:val="0"/>
              <w:adjustRightInd w:val="0"/>
              <w:snapToGrid w:val="0"/>
              <w:spacing w:line="360" w:lineRule="auto"/>
              <w:rPr>
                <w:rFonts w:hint="eastAsia" w:ascii="宋体" w:hAnsi="宋体" w:cs="宋体"/>
                <w:sz w:val="24"/>
              </w:rPr>
            </w:pPr>
            <w:r>
              <w:rPr>
                <w:rFonts w:hint="eastAsia" w:ascii="宋体" w:hAnsi="宋体" w:cs="宋体"/>
                <w:sz w:val="24"/>
              </w:rPr>
              <w:t>单位负责人为同一人或者存在直接控股、管理关系的不同供应商，不得参加同一合同项下的政府采购活动。供应商响应文件中提供承诺函，</w:t>
            </w:r>
            <w:r>
              <w:rPr>
                <w:rFonts w:hint="eastAsia" w:ascii="Calibri" w:hAnsi="Calibri"/>
                <w:sz w:val="24"/>
              </w:rPr>
              <w:t>加盖公章</w:t>
            </w:r>
            <w:r>
              <w:rPr>
                <w:rFonts w:hint="eastAsia" w:ascii="宋体" w:hAnsi="宋体" w:cs="宋体"/>
                <w:sz w:val="24"/>
              </w:rPr>
              <w:t>。</w:t>
            </w:r>
          </w:p>
        </w:tc>
      </w:tr>
      <w:tr w14:paraId="0C1C55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90" w:hRule="atLeast"/>
          <w:jc w:val="center"/>
        </w:trPr>
        <w:tc>
          <w:tcPr>
            <w:tcW w:w="956" w:type="dxa"/>
            <w:vAlign w:val="center"/>
          </w:tcPr>
          <w:p w14:paraId="558F8637">
            <w:pPr>
              <w:wordWrap w:val="0"/>
              <w:adjustRightInd w:val="0"/>
              <w:snapToGrid w:val="0"/>
              <w:spacing w:line="360" w:lineRule="auto"/>
              <w:jc w:val="center"/>
              <w:rPr>
                <w:rFonts w:hint="eastAsia" w:ascii="宋体" w:hAnsi="宋体"/>
                <w:sz w:val="24"/>
              </w:rPr>
            </w:pPr>
            <w:bookmarkStart w:id="462" w:name="_Hlk218437590"/>
            <w:r>
              <w:rPr>
                <w:rFonts w:hint="eastAsia" w:ascii="宋体" w:hAnsi="宋体" w:cs="宋体"/>
                <w:sz w:val="24"/>
              </w:rPr>
              <w:t>5</w:t>
            </w:r>
          </w:p>
        </w:tc>
        <w:tc>
          <w:tcPr>
            <w:tcW w:w="2237" w:type="dxa"/>
            <w:vAlign w:val="center"/>
          </w:tcPr>
          <w:p w14:paraId="7E1CDC5F">
            <w:pPr>
              <w:wordWrap w:val="0"/>
              <w:adjustRightInd w:val="0"/>
              <w:snapToGrid w:val="0"/>
              <w:spacing w:line="360" w:lineRule="auto"/>
              <w:jc w:val="center"/>
              <w:rPr>
                <w:rFonts w:hint="eastAsia" w:ascii="宋体" w:hAnsi="宋体" w:cs="宋体"/>
                <w:sz w:val="24"/>
              </w:rPr>
            </w:pPr>
            <w:r>
              <w:rPr>
                <w:rFonts w:hint="eastAsia" w:ascii="宋体" w:hAnsi="宋体"/>
                <w:sz w:val="24"/>
              </w:rPr>
              <w:t>本项目的特定资格要求需提供资料</w:t>
            </w:r>
          </w:p>
        </w:tc>
        <w:tc>
          <w:tcPr>
            <w:tcW w:w="5666" w:type="dxa"/>
            <w:vAlign w:val="center"/>
          </w:tcPr>
          <w:p w14:paraId="343F1409">
            <w:pPr>
              <w:wordWrap w:val="0"/>
              <w:spacing w:line="360" w:lineRule="auto"/>
              <w:rPr>
                <w:rFonts w:hint="eastAsia" w:ascii="宋体" w:hAnsi="宋体"/>
                <w:sz w:val="24"/>
              </w:rPr>
            </w:pPr>
            <w:r>
              <w:rPr>
                <w:rFonts w:hint="eastAsia" w:ascii="宋体" w:hAnsi="宋体"/>
                <w:sz w:val="24"/>
              </w:rPr>
              <w:t>1.供应商提供建筑装修装饰工程专业承包二级及以上资质证书复印件，有效的安全生产许可证复印件；</w:t>
            </w:r>
          </w:p>
          <w:p w14:paraId="72F069EB">
            <w:pPr>
              <w:wordWrap w:val="0"/>
              <w:adjustRightInd w:val="0"/>
              <w:snapToGrid w:val="0"/>
              <w:spacing w:line="360" w:lineRule="auto"/>
              <w:rPr>
                <w:rFonts w:hint="eastAsia" w:ascii="宋体" w:hAnsi="宋体"/>
                <w:sz w:val="24"/>
              </w:rPr>
            </w:pPr>
            <w:r>
              <w:rPr>
                <w:rFonts w:hint="eastAsia" w:ascii="宋体" w:hAnsi="宋体"/>
                <w:sz w:val="24"/>
              </w:rPr>
              <w:t>2.提供拟派项目经理须建筑工程专业二级及以上注册建造师证书复印件，有效的安全生产考核合格证证书复印件，未担任其他在建工程项目的项目经理的承诺书，及供应商为其缴纳的2026年1月1日以来任意月份的社保证明和合同复印件。</w:t>
            </w:r>
          </w:p>
        </w:tc>
      </w:tr>
      <w:tr w14:paraId="7C713A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90" w:hRule="atLeast"/>
          <w:jc w:val="center"/>
        </w:trPr>
        <w:tc>
          <w:tcPr>
            <w:tcW w:w="956" w:type="dxa"/>
            <w:vAlign w:val="center"/>
          </w:tcPr>
          <w:p w14:paraId="360CF141">
            <w:pPr>
              <w:wordWrap w:val="0"/>
              <w:adjustRightInd w:val="0"/>
              <w:snapToGrid w:val="0"/>
              <w:spacing w:line="360" w:lineRule="auto"/>
              <w:jc w:val="center"/>
              <w:rPr>
                <w:rFonts w:hint="eastAsia" w:ascii="宋体" w:hAnsi="宋体" w:cs="宋体"/>
                <w:sz w:val="24"/>
              </w:rPr>
            </w:pPr>
            <w:r>
              <w:rPr>
                <w:rFonts w:hint="eastAsia" w:ascii="宋体" w:hAnsi="宋体" w:cs="宋体"/>
                <w:sz w:val="24"/>
              </w:rPr>
              <w:t>6</w:t>
            </w:r>
          </w:p>
        </w:tc>
        <w:tc>
          <w:tcPr>
            <w:tcW w:w="2237" w:type="dxa"/>
            <w:vAlign w:val="center"/>
          </w:tcPr>
          <w:p w14:paraId="29900B34">
            <w:pPr>
              <w:wordWrap w:val="0"/>
              <w:adjustRightInd w:val="0"/>
              <w:snapToGrid w:val="0"/>
              <w:spacing w:line="360" w:lineRule="auto"/>
              <w:jc w:val="center"/>
              <w:rPr>
                <w:rFonts w:hint="eastAsia" w:ascii="宋体" w:hAnsi="宋体"/>
                <w:sz w:val="24"/>
              </w:rPr>
            </w:pPr>
            <w:r>
              <w:rPr>
                <w:rFonts w:hint="eastAsia" w:ascii="宋体" w:hAnsi="宋体"/>
                <w:sz w:val="24"/>
              </w:rPr>
              <w:t>其他</w:t>
            </w:r>
          </w:p>
        </w:tc>
        <w:tc>
          <w:tcPr>
            <w:tcW w:w="5666" w:type="dxa"/>
            <w:vAlign w:val="center"/>
          </w:tcPr>
          <w:p w14:paraId="160A9366">
            <w:pPr>
              <w:wordWrap w:val="0"/>
              <w:adjustRightInd w:val="0"/>
              <w:snapToGrid w:val="0"/>
              <w:spacing w:line="360" w:lineRule="auto"/>
              <w:rPr>
                <w:rFonts w:hint="eastAsia" w:ascii="宋体" w:hAnsi="宋体" w:cs="宋体"/>
                <w:sz w:val="24"/>
              </w:rPr>
            </w:pPr>
            <w:r>
              <w:rPr>
                <w:rFonts w:hint="eastAsia" w:ascii="宋体" w:hAnsi="宋体" w:cs="宋体"/>
                <w:sz w:val="24"/>
              </w:rPr>
              <w:t>根据《河南省住房和城乡建设厅关于进一步规范建设工程企业资质管理的通知》(豫建行规(2024)7号)规定，供应商参加本项目所用的资质项在全国或发证机关所在省建筑市场监管公共服务平台网站中，资质状况被标注“资质异常”或“注册人员不足”的，按无效响应处理。（如在发证机关所在省建筑市场监管公共服务平台无本企业信息，视为“未被发证机关所在省建筑市场监管公共服务平台标注为资质异常或注册人员不足”）；供应商须同时提供承诺书(格式自拟)、全国建筑市场监管公共服务平台或发证机关所在省建筑市场监管公共服务平台查询结果；</w:t>
            </w:r>
          </w:p>
          <w:p w14:paraId="2EC56ACD">
            <w:pPr>
              <w:wordWrap w:val="0"/>
              <w:adjustRightInd w:val="0"/>
              <w:snapToGrid w:val="0"/>
              <w:spacing w:line="360" w:lineRule="auto"/>
              <w:rPr>
                <w:rFonts w:hint="eastAsia" w:ascii="宋体" w:hAnsi="宋体" w:cs="宋体"/>
                <w:sz w:val="24"/>
              </w:rPr>
            </w:pPr>
            <w:r>
              <w:rPr>
                <w:rFonts w:hint="eastAsia" w:ascii="宋体" w:hAnsi="宋体" w:cs="宋体"/>
                <w:sz w:val="24"/>
              </w:rPr>
              <w:t>查询时间：在提交响应文件截止时间至评审结束之前进行查询。</w:t>
            </w:r>
          </w:p>
          <w:p w14:paraId="669EFD88">
            <w:pPr>
              <w:wordWrap w:val="0"/>
              <w:adjustRightInd w:val="0"/>
              <w:snapToGrid w:val="0"/>
              <w:spacing w:line="360" w:lineRule="auto"/>
              <w:rPr>
                <w:rFonts w:hint="eastAsia" w:ascii="宋体" w:hAnsi="宋体" w:cs="宋体"/>
                <w:sz w:val="24"/>
              </w:rPr>
            </w:pPr>
            <w:r>
              <w:rPr>
                <w:rFonts w:hint="eastAsia" w:ascii="宋体" w:hAnsi="宋体" w:cs="宋体"/>
                <w:sz w:val="24"/>
              </w:rPr>
              <w:t>查询记录方式：采购人或采购代理机构将根据要求进行查询，供应商查询记录以采购人或采购代理机构查询结果为准。供应商自行提供的与网站信息不一致的其他证明材料亦不作为资格审查依据。</w:t>
            </w:r>
          </w:p>
        </w:tc>
      </w:tr>
    </w:tbl>
    <w:p w14:paraId="1ECCD0ED">
      <w:pPr>
        <w:wordWrap w:val="0"/>
        <w:spacing w:line="360" w:lineRule="auto"/>
        <w:rPr>
          <w:rFonts w:hint="eastAsia" w:ascii="宋体" w:hAnsi="宋体"/>
          <w:b/>
          <w:bCs/>
        </w:rPr>
      </w:pPr>
      <w:r>
        <w:rPr>
          <w:rFonts w:hint="eastAsia" w:ascii="宋体" w:hAnsi="宋体"/>
          <w:b/>
          <w:bCs/>
          <w:sz w:val="24"/>
        </w:rPr>
        <w:t>注：1</w:t>
      </w:r>
      <w:r>
        <w:rPr>
          <w:rFonts w:ascii="宋体" w:hAnsi="宋体"/>
          <w:b/>
          <w:bCs/>
          <w:sz w:val="24"/>
        </w:rPr>
        <w:t>.</w:t>
      </w:r>
      <w:r>
        <w:rPr>
          <w:rFonts w:hint="eastAsia" w:ascii="宋体" w:hAnsi="宋体"/>
          <w:b/>
          <w:bCs/>
          <w:sz w:val="24"/>
        </w:rPr>
        <w:t>审查项目有一项不满足则结论为不合格。</w:t>
      </w:r>
    </w:p>
    <w:p w14:paraId="3277E399">
      <w:pPr>
        <w:wordWrap w:val="0"/>
        <w:spacing w:line="360" w:lineRule="auto"/>
        <w:ind w:firstLine="482" w:firstLineChars="200"/>
      </w:pPr>
      <w:r>
        <w:rPr>
          <w:rFonts w:ascii="宋体" w:hAnsi="宋体"/>
          <w:b/>
          <w:bCs/>
          <w:sz w:val="24"/>
        </w:rPr>
        <w:t>2.</w:t>
      </w:r>
      <w:r>
        <w:rPr>
          <w:rFonts w:hint="eastAsia" w:ascii="宋体" w:hAnsi="宋体"/>
          <w:b/>
          <w:bCs/>
          <w:sz w:val="24"/>
        </w:rPr>
        <w:t>供应商应根据竞争性磋商文件要求资格条件提供上述资格证明文件，否则将影响供应商资格审查结果。</w:t>
      </w:r>
      <w:bookmarkEnd w:id="462"/>
    </w:p>
    <w:p w14:paraId="3C6333B5">
      <w:pPr>
        <w:rPr>
          <w:rFonts w:hint="eastAsia" w:ascii="黑体" w:hAnsi="黑体"/>
          <w:sz w:val="24"/>
        </w:rPr>
      </w:pPr>
      <w:bookmarkStart w:id="463" w:name="_Toc7139"/>
      <w:bookmarkStart w:id="464" w:name="_Toc9905"/>
      <w:bookmarkStart w:id="465" w:name="_Toc13797"/>
      <w:bookmarkStart w:id="466" w:name="_Toc7274"/>
      <w:r>
        <w:rPr>
          <w:rFonts w:hint="eastAsia" w:ascii="黑体" w:hAnsi="黑体"/>
          <w:sz w:val="24"/>
        </w:rPr>
        <w:br w:type="page"/>
      </w:r>
    </w:p>
    <w:p w14:paraId="44C37966">
      <w:pPr>
        <w:pStyle w:val="7"/>
        <w:wordWrap w:val="0"/>
        <w:spacing w:before="0" w:after="0" w:line="360" w:lineRule="auto"/>
        <w:rPr>
          <w:rFonts w:hint="eastAsia" w:ascii="黑体" w:hAnsi="黑体"/>
          <w:sz w:val="24"/>
        </w:rPr>
      </w:pPr>
      <w:r>
        <w:rPr>
          <w:rFonts w:hint="eastAsia" w:ascii="黑体" w:hAnsi="黑体"/>
          <w:sz w:val="24"/>
        </w:rPr>
        <w:t>二、符合性审查表</w:t>
      </w:r>
      <w:bookmarkEnd w:id="463"/>
      <w:bookmarkEnd w:id="464"/>
      <w:bookmarkEnd w:id="465"/>
      <w:bookmarkEnd w:id="466"/>
    </w:p>
    <w:tbl>
      <w:tblPr>
        <w:tblStyle w:val="47"/>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52"/>
        <w:gridCol w:w="2047"/>
        <w:gridCol w:w="5900"/>
      </w:tblGrid>
      <w:tr w14:paraId="0F5CAF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5" w:hRule="atLeast"/>
          <w:tblHeader/>
          <w:jc w:val="center"/>
        </w:trPr>
        <w:tc>
          <w:tcPr>
            <w:tcW w:w="852" w:type="dxa"/>
            <w:vAlign w:val="center"/>
          </w:tcPr>
          <w:p w14:paraId="1A15254F">
            <w:pPr>
              <w:wordWrap w:val="0"/>
              <w:spacing w:line="360" w:lineRule="auto"/>
              <w:rPr>
                <w:rFonts w:hint="eastAsia" w:ascii="宋体" w:hAnsi="宋体" w:cs="宋体"/>
                <w:sz w:val="24"/>
              </w:rPr>
            </w:pPr>
            <w:r>
              <w:rPr>
                <w:rFonts w:hint="eastAsia" w:ascii="宋体" w:hAnsi="宋体" w:cs="宋体"/>
                <w:sz w:val="24"/>
              </w:rPr>
              <w:t>序号</w:t>
            </w:r>
          </w:p>
        </w:tc>
        <w:tc>
          <w:tcPr>
            <w:tcW w:w="2047" w:type="dxa"/>
            <w:vAlign w:val="center"/>
          </w:tcPr>
          <w:p w14:paraId="384506B7">
            <w:pPr>
              <w:wordWrap w:val="0"/>
              <w:spacing w:line="360" w:lineRule="auto"/>
              <w:jc w:val="center"/>
              <w:rPr>
                <w:rFonts w:hint="eastAsia" w:ascii="宋体" w:hAnsi="宋体" w:cs="宋体"/>
                <w:sz w:val="24"/>
              </w:rPr>
            </w:pPr>
            <w:r>
              <w:rPr>
                <w:rFonts w:hint="eastAsia" w:ascii="宋体" w:hAnsi="宋体" w:cs="宋体"/>
                <w:sz w:val="24"/>
              </w:rPr>
              <w:t>审查因素</w:t>
            </w:r>
          </w:p>
        </w:tc>
        <w:tc>
          <w:tcPr>
            <w:tcW w:w="5900" w:type="dxa"/>
            <w:vAlign w:val="center"/>
          </w:tcPr>
          <w:p w14:paraId="4B1F6B1A">
            <w:pPr>
              <w:wordWrap w:val="0"/>
              <w:spacing w:line="360" w:lineRule="auto"/>
              <w:jc w:val="center"/>
              <w:rPr>
                <w:rFonts w:hint="eastAsia" w:ascii="宋体" w:hAnsi="宋体" w:cs="宋体"/>
                <w:sz w:val="24"/>
              </w:rPr>
            </w:pPr>
            <w:r>
              <w:rPr>
                <w:rFonts w:hint="eastAsia" w:ascii="宋体" w:hAnsi="宋体" w:cs="宋体"/>
                <w:sz w:val="24"/>
              </w:rPr>
              <w:t>审查内容</w:t>
            </w:r>
          </w:p>
        </w:tc>
      </w:tr>
      <w:tr w14:paraId="1B8397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05" w:hRule="atLeast"/>
          <w:jc w:val="center"/>
        </w:trPr>
        <w:tc>
          <w:tcPr>
            <w:tcW w:w="852" w:type="dxa"/>
            <w:vAlign w:val="center"/>
          </w:tcPr>
          <w:p w14:paraId="71C08AB4">
            <w:pPr>
              <w:wordWrap w:val="0"/>
              <w:adjustRightInd w:val="0"/>
              <w:snapToGrid w:val="0"/>
              <w:spacing w:line="360" w:lineRule="auto"/>
              <w:jc w:val="center"/>
              <w:rPr>
                <w:rFonts w:hint="eastAsia" w:ascii="宋体" w:hAnsi="宋体" w:cs="宋体"/>
                <w:sz w:val="24"/>
              </w:rPr>
            </w:pPr>
            <w:r>
              <w:rPr>
                <w:rFonts w:hint="eastAsia" w:ascii="宋体" w:hAnsi="宋体" w:cs="宋体"/>
                <w:sz w:val="24"/>
              </w:rPr>
              <w:t>1</w:t>
            </w:r>
          </w:p>
        </w:tc>
        <w:tc>
          <w:tcPr>
            <w:tcW w:w="2047" w:type="dxa"/>
            <w:vAlign w:val="center"/>
          </w:tcPr>
          <w:p w14:paraId="02960844">
            <w:pPr>
              <w:wordWrap w:val="0"/>
              <w:adjustRightInd w:val="0"/>
              <w:snapToGrid w:val="0"/>
              <w:spacing w:line="360" w:lineRule="auto"/>
              <w:jc w:val="center"/>
              <w:rPr>
                <w:rFonts w:hint="eastAsia" w:ascii="宋体" w:hAnsi="宋体" w:cs="宋体"/>
                <w:sz w:val="24"/>
              </w:rPr>
            </w:pPr>
            <w:r>
              <w:rPr>
                <w:rFonts w:hint="eastAsia" w:ascii="宋体" w:hAnsi="宋体" w:cs="宋体"/>
                <w:sz w:val="24"/>
              </w:rPr>
              <w:t>法定代表人（或负责人）身份证明书</w:t>
            </w:r>
          </w:p>
        </w:tc>
        <w:tc>
          <w:tcPr>
            <w:tcW w:w="5900" w:type="dxa"/>
            <w:vAlign w:val="center"/>
          </w:tcPr>
          <w:p w14:paraId="50C7C955">
            <w:pPr>
              <w:pStyle w:val="16"/>
              <w:wordWrap w:val="0"/>
              <w:adjustRightInd w:val="0"/>
              <w:snapToGrid w:val="0"/>
              <w:spacing w:line="360" w:lineRule="auto"/>
              <w:ind w:firstLine="0" w:firstLineChars="0"/>
              <w:jc w:val="left"/>
              <w:rPr>
                <w:rFonts w:hint="eastAsia" w:ascii="宋体" w:hAnsi="宋体" w:cs="宋体"/>
                <w:sz w:val="24"/>
              </w:rPr>
            </w:pPr>
            <w:r>
              <w:rPr>
                <w:rFonts w:hint="eastAsia" w:ascii="宋体" w:hAnsi="宋体" w:cs="宋体"/>
                <w:sz w:val="24"/>
              </w:rPr>
              <w:t>提供了符合竞争性磋商文件要求的法定代表人（或负责人）身份证明书。</w:t>
            </w:r>
          </w:p>
        </w:tc>
      </w:tr>
      <w:tr w14:paraId="4EEF19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05" w:hRule="atLeast"/>
          <w:jc w:val="center"/>
        </w:trPr>
        <w:tc>
          <w:tcPr>
            <w:tcW w:w="852" w:type="dxa"/>
            <w:vAlign w:val="center"/>
          </w:tcPr>
          <w:p w14:paraId="22503227">
            <w:pPr>
              <w:wordWrap w:val="0"/>
              <w:adjustRightInd w:val="0"/>
              <w:snapToGrid w:val="0"/>
              <w:spacing w:line="360" w:lineRule="auto"/>
              <w:jc w:val="center"/>
              <w:rPr>
                <w:rFonts w:hint="eastAsia" w:ascii="宋体" w:hAnsi="宋体" w:cs="宋体"/>
                <w:sz w:val="24"/>
              </w:rPr>
            </w:pPr>
            <w:r>
              <w:rPr>
                <w:rFonts w:hint="eastAsia" w:ascii="宋体" w:hAnsi="宋体" w:cs="宋体"/>
                <w:sz w:val="24"/>
              </w:rPr>
              <w:t>2</w:t>
            </w:r>
          </w:p>
        </w:tc>
        <w:tc>
          <w:tcPr>
            <w:tcW w:w="2047" w:type="dxa"/>
            <w:vAlign w:val="center"/>
          </w:tcPr>
          <w:p w14:paraId="79A0B916">
            <w:pPr>
              <w:wordWrap w:val="0"/>
              <w:adjustRightInd w:val="0"/>
              <w:snapToGrid w:val="0"/>
              <w:spacing w:line="360" w:lineRule="auto"/>
              <w:jc w:val="center"/>
              <w:rPr>
                <w:rFonts w:hint="eastAsia" w:ascii="宋体" w:hAnsi="宋体" w:cs="宋体"/>
                <w:sz w:val="24"/>
              </w:rPr>
            </w:pPr>
            <w:r>
              <w:rPr>
                <w:rFonts w:hint="eastAsia" w:ascii="宋体" w:hAnsi="宋体" w:cs="宋体"/>
                <w:sz w:val="24"/>
              </w:rPr>
              <w:t>法定代表人（或负责人）授权委托书</w:t>
            </w:r>
          </w:p>
        </w:tc>
        <w:tc>
          <w:tcPr>
            <w:tcW w:w="5900" w:type="dxa"/>
            <w:vAlign w:val="center"/>
          </w:tcPr>
          <w:p w14:paraId="25E986AB">
            <w:pPr>
              <w:pStyle w:val="16"/>
              <w:wordWrap w:val="0"/>
              <w:adjustRightInd w:val="0"/>
              <w:snapToGrid w:val="0"/>
              <w:spacing w:line="360" w:lineRule="auto"/>
              <w:ind w:firstLine="0" w:firstLineChars="0"/>
              <w:jc w:val="left"/>
              <w:rPr>
                <w:rFonts w:hint="eastAsia" w:ascii="宋体" w:hAnsi="宋体" w:cs="宋体"/>
                <w:sz w:val="24"/>
              </w:rPr>
            </w:pPr>
            <w:r>
              <w:rPr>
                <w:rFonts w:hint="eastAsia" w:ascii="宋体" w:hAnsi="宋体" w:cs="宋体"/>
                <w:sz w:val="24"/>
              </w:rPr>
              <w:t>提供了符合竞争性磋商文件要求的法定代表人（或负责人）授权委托书。</w:t>
            </w:r>
          </w:p>
          <w:p w14:paraId="0AE00366">
            <w:pPr>
              <w:pStyle w:val="16"/>
              <w:wordWrap w:val="0"/>
              <w:adjustRightInd w:val="0"/>
              <w:snapToGrid w:val="0"/>
              <w:spacing w:line="360" w:lineRule="auto"/>
              <w:ind w:firstLine="0" w:firstLineChars="0"/>
              <w:jc w:val="left"/>
              <w:rPr>
                <w:rFonts w:hint="eastAsia" w:ascii="宋体" w:hAnsi="宋体" w:cs="宋体"/>
                <w:sz w:val="24"/>
              </w:rPr>
            </w:pPr>
            <w:r>
              <w:rPr>
                <w:rFonts w:hint="eastAsia" w:ascii="宋体" w:hAnsi="宋体" w:cs="宋体"/>
                <w:sz w:val="24"/>
              </w:rPr>
              <w:t>如果未进行授权，可不提供。</w:t>
            </w:r>
          </w:p>
        </w:tc>
      </w:tr>
      <w:tr w14:paraId="287E11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41" w:hRule="atLeast"/>
          <w:jc w:val="center"/>
        </w:trPr>
        <w:tc>
          <w:tcPr>
            <w:tcW w:w="852" w:type="dxa"/>
            <w:vAlign w:val="center"/>
          </w:tcPr>
          <w:p w14:paraId="45A4B061">
            <w:pPr>
              <w:wordWrap w:val="0"/>
              <w:adjustRightInd w:val="0"/>
              <w:snapToGrid w:val="0"/>
              <w:spacing w:line="360" w:lineRule="auto"/>
              <w:jc w:val="center"/>
              <w:rPr>
                <w:rFonts w:hint="eastAsia" w:ascii="宋体" w:hAnsi="宋体" w:cs="宋体"/>
                <w:sz w:val="24"/>
              </w:rPr>
            </w:pPr>
            <w:r>
              <w:rPr>
                <w:rFonts w:hint="eastAsia" w:ascii="宋体" w:hAnsi="宋体" w:cs="宋体"/>
                <w:sz w:val="24"/>
              </w:rPr>
              <w:t>3</w:t>
            </w:r>
          </w:p>
        </w:tc>
        <w:tc>
          <w:tcPr>
            <w:tcW w:w="2047" w:type="dxa"/>
            <w:vAlign w:val="center"/>
          </w:tcPr>
          <w:p w14:paraId="5A0F5074">
            <w:pPr>
              <w:wordWrap w:val="0"/>
              <w:adjustRightInd w:val="0"/>
              <w:snapToGrid w:val="0"/>
              <w:spacing w:line="360" w:lineRule="auto"/>
              <w:jc w:val="center"/>
              <w:rPr>
                <w:rFonts w:hint="eastAsia" w:ascii="宋体" w:hAnsi="宋体" w:cs="宋体"/>
                <w:sz w:val="24"/>
              </w:rPr>
            </w:pPr>
            <w:r>
              <w:rPr>
                <w:rFonts w:hint="eastAsia" w:ascii="宋体" w:hAnsi="宋体" w:cs="宋体"/>
                <w:sz w:val="24"/>
              </w:rPr>
              <w:t>保证承诺书</w:t>
            </w:r>
          </w:p>
        </w:tc>
        <w:tc>
          <w:tcPr>
            <w:tcW w:w="5900" w:type="dxa"/>
            <w:vAlign w:val="center"/>
          </w:tcPr>
          <w:p w14:paraId="188E5C77">
            <w:pPr>
              <w:pStyle w:val="16"/>
              <w:wordWrap w:val="0"/>
              <w:adjustRightInd w:val="0"/>
              <w:snapToGrid w:val="0"/>
              <w:spacing w:line="360" w:lineRule="auto"/>
              <w:ind w:firstLine="0" w:firstLineChars="0"/>
              <w:jc w:val="left"/>
              <w:rPr>
                <w:rFonts w:hint="eastAsia" w:ascii="宋体" w:hAnsi="宋体" w:cs="宋体"/>
                <w:sz w:val="24"/>
              </w:rPr>
            </w:pPr>
            <w:r>
              <w:rPr>
                <w:rFonts w:hint="eastAsia" w:ascii="宋体" w:hAnsi="宋体" w:cs="宋体"/>
                <w:sz w:val="24"/>
              </w:rPr>
              <w:t>提供了符合竞争性磋商文件要求的《保证承诺书》。格式见《响应文件格式》。</w:t>
            </w:r>
          </w:p>
        </w:tc>
      </w:tr>
      <w:tr w14:paraId="30601F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78" w:hRule="atLeast"/>
          <w:jc w:val="center"/>
        </w:trPr>
        <w:tc>
          <w:tcPr>
            <w:tcW w:w="852" w:type="dxa"/>
            <w:vAlign w:val="center"/>
          </w:tcPr>
          <w:p w14:paraId="076E83E6">
            <w:pPr>
              <w:wordWrap w:val="0"/>
              <w:spacing w:line="360" w:lineRule="auto"/>
              <w:jc w:val="center"/>
              <w:rPr>
                <w:rFonts w:hint="eastAsia" w:ascii="宋体" w:hAnsi="宋体" w:cs="宋体"/>
                <w:sz w:val="24"/>
              </w:rPr>
            </w:pPr>
            <w:r>
              <w:rPr>
                <w:rFonts w:hint="eastAsia" w:ascii="宋体" w:hAnsi="宋体" w:cs="宋体"/>
                <w:sz w:val="24"/>
              </w:rPr>
              <w:t>4</w:t>
            </w:r>
          </w:p>
        </w:tc>
        <w:tc>
          <w:tcPr>
            <w:tcW w:w="2047" w:type="dxa"/>
            <w:vAlign w:val="center"/>
          </w:tcPr>
          <w:p w14:paraId="35C6BC1D">
            <w:pPr>
              <w:wordWrap w:val="0"/>
              <w:spacing w:line="360" w:lineRule="auto"/>
              <w:jc w:val="center"/>
              <w:rPr>
                <w:rFonts w:hint="eastAsia" w:ascii="宋体" w:hAnsi="宋体" w:cs="宋体"/>
                <w:sz w:val="24"/>
              </w:rPr>
            </w:pPr>
            <w:r>
              <w:rPr>
                <w:rFonts w:hint="eastAsia" w:ascii="宋体" w:hAnsi="宋体" w:cs="宋体"/>
                <w:sz w:val="24"/>
              </w:rPr>
              <w:t>响应报价</w:t>
            </w:r>
          </w:p>
        </w:tc>
        <w:tc>
          <w:tcPr>
            <w:tcW w:w="5900" w:type="dxa"/>
            <w:vAlign w:val="center"/>
          </w:tcPr>
          <w:p w14:paraId="242B68CC">
            <w:pPr>
              <w:wordWrap w:val="0"/>
              <w:spacing w:line="360" w:lineRule="auto"/>
              <w:rPr>
                <w:rFonts w:hint="eastAsia" w:ascii="宋体" w:hAnsi="宋体" w:cs="宋体"/>
                <w:sz w:val="24"/>
              </w:rPr>
            </w:pPr>
            <w:r>
              <w:rPr>
                <w:rFonts w:hint="eastAsia" w:ascii="宋体" w:hAnsi="宋体" w:cs="宋体"/>
                <w:sz w:val="24"/>
              </w:rPr>
              <w:t>响应报价未超过竞争性磋商文件规定的项目预算金额或最高限价。</w:t>
            </w:r>
          </w:p>
        </w:tc>
      </w:tr>
      <w:tr w14:paraId="1CA32E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78" w:hRule="atLeast"/>
          <w:jc w:val="center"/>
        </w:trPr>
        <w:tc>
          <w:tcPr>
            <w:tcW w:w="852" w:type="dxa"/>
            <w:vAlign w:val="center"/>
          </w:tcPr>
          <w:p w14:paraId="72B085BC">
            <w:pPr>
              <w:wordWrap w:val="0"/>
              <w:spacing w:line="360" w:lineRule="auto"/>
              <w:jc w:val="center"/>
              <w:rPr>
                <w:rFonts w:hint="eastAsia" w:ascii="宋体" w:hAnsi="宋体" w:cs="宋体"/>
                <w:sz w:val="24"/>
              </w:rPr>
            </w:pPr>
            <w:r>
              <w:rPr>
                <w:rFonts w:hint="eastAsia" w:ascii="宋体" w:hAnsi="宋体" w:cs="宋体"/>
                <w:sz w:val="24"/>
              </w:rPr>
              <w:t>5</w:t>
            </w:r>
          </w:p>
        </w:tc>
        <w:tc>
          <w:tcPr>
            <w:tcW w:w="2047" w:type="dxa"/>
            <w:vAlign w:val="center"/>
          </w:tcPr>
          <w:p w14:paraId="79077913">
            <w:pPr>
              <w:wordWrap w:val="0"/>
              <w:spacing w:line="360" w:lineRule="auto"/>
              <w:jc w:val="center"/>
              <w:rPr>
                <w:rFonts w:hint="eastAsia" w:ascii="宋体" w:hAnsi="宋体" w:cs="宋体"/>
                <w:sz w:val="24"/>
              </w:rPr>
            </w:pPr>
            <w:r>
              <w:rPr>
                <w:rFonts w:hint="eastAsia" w:ascii="宋体" w:hAnsi="宋体" w:cs="宋体"/>
                <w:sz w:val="24"/>
              </w:rPr>
              <w:t>报价唯一性</w:t>
            </w:r>
          </w:p>
        </w:tc>
        <w:tc>
          <w:tcPr>
            <w:tcW w:w="5900" w:type="dxa"/>
            <w:vAlign w:val="center"/>
          </w:tcPr>
          <w:p w14:paraId="2EBCD0CE">
            <w:pPr>
              <w:wordWrap w:val="0"/>
              <w:spacing w:line="360" w:lineRule="auto"/>
              <w:rPr>
                <w:rFonts w:hint="eastAsia" w:ascii="宋体" w:hAnsi="宋体" w:cs="宋体"/>
                <w:sz w:val="24"/>
              </w:rPr>
            </w:pPr>
            <w:r>
              <w:rPr>
                <w:rFonts w:hint="eastAsia" w:ascii="宋体" w:hAnsi="宋体" w:cs="宋体"/>
                <w:sz w:val="24"/>
              </w:rPr>
              <w:t>响应文件未出现可选择性或可调整的报价。</w:t>
            </w:r>
          </w:p>
        </w:tc>
      </w:tr>
      <w:tr w14:paraId="6FDED8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52" w:type="dxa"/>
            <w:vAlign w:val="center"/>
          </w:tcPr>
          <w:p w14:paraId="3B4B1302">
            <w:pPr>
              <w:wordWrap w:val="0"/>
              <w:spacing w:line="360" w:lineRule="auto"/>
              <w:jc w:val="center"/>
              <w:rPr>
                <w:rFonts w:hint="eastAsia" w:ascii="宋体" w:hAnsi="宋体" w:cs="宋体"/>
                <w:sz w:val="24"/>
              </w:rPr>
            </w:pPr>
            <w:r>
              <w:rPr>
                <w:rFonts w:hint="eastAsia" w:ascii="宋体" w:hAnsi="宋体" w:cs="宋体"/>
                <w:sz w:val="24"/>
              </w:rPr>
              <w:t>6</w:t>
            </w:r>
          </w:p>
        </w:tc>
        <w:tc>
          <w:tcPr>
            <w:tcW w:w="2047" w:type="dxa"/>
            <w:vAlign w:val="center"/>
          </w:tcPr>
          <w:p w14:paraId="4A250B51">
            <w:pPr>
              <w:wordWrap w:val="0"/>
              <w:spacing w:line="360" w:lineRule="auto"/>
              <w:jc w:val="center"/>
              <w:rPr>
                <w:rFonts w:hint="eastAsia" w:ascii="宋体" w:hAnsi="宋体" w:cs="宋体"/>
                <w:sz w:val="24"/>
              </w:rPr>
            </w:pPr>
            <w:r>
              <w:rPr>
                <w:rFonts w:hint="eastAsia" w:ascii="宋体" w:hAnsi="宋体" w:cs="宋体"/>
                <w:sz w:val="24"/>
              </w:rPr>
              <w:t>报价的修正（如有）</w:t>
            </w:r>
          </w:p>
        </w:tc>
        <w:tc>
          <w:tcPr>
            <w:tcW w:w="5900" w:type="dxa"/>
            <w:vAlign w:val="center"/>
          </w:tcPr>
          <w:p w14:paraId="0A30093B">
            <w:pPr>
              <w:wordWrap w:val="0"/>
              <w:spacing w:line="360" w:lineRule="auto"/>
              <w:rPr>
                <w:rFonts w:hint="eastAsia" w:ascii="宋体" w:hAnsi="宋体" w:cs="宋体"/>
                <w:sz w:val="24"/>
              </w:rPr>
            </w:pPr>
            <w:r>
              <w:rPr>
                <w:rFonts w:hint="eastAsia" w:ascii="宋体" w:hAnsi="宋体" w:cs="宋体"/>
                <w:sz w:val="24"/>
              </w:rPr>
              <w:t>不涉及报价修正，或响应文件报价出现前后不一致时，供应商对修正后的报价予以确认。（如有）</w:t>
            </w:r>
          </w:p>
        </w:tc>
      </w:tr>
      <w:tr w14:paraId="1A6C66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174" w:hRule="atLeast"/>
          <w:jc w:val="center"/>
        </w:trPr>
        <w:tc>
          <w:tcPr>
            <w:tcW w:w="852" w:type="dxa"/>
            <w:vAlign w:val="center"/>
          </w:tcPr>
          <w:p w14:paraId="53116159">
            <w:pPr>
              <w:wordWrap w:val="0"/>
              <w:spacing w:line="360" w:lineRule="auto"/>
              <w:jc w:val="center"/>
              <w:rPr>
                <w:rFonts w:hint="eastAsia" w:ascii="宋体" w:hAnsi="宋体" w:cs="宋体"/>
                <w:sz w:val="24"/>
              </w:rPr>
            </w:pPr>
            <w:r>
              <w:rPr>
                <w:rFonts w:hint="eastAsia" w:ascii="宋体" w:hAnsi="宋体" w:cs="宋体"/>
                <w:sz w:val="24"/>
              </w:rPr>
              <w:t>7</w:t>
            </w:r>
          </w:p>
        </w:tc>
        <w:tc>
          <w:tcPr>
            <w:tcW w:w="2047" w:type="dxa"/>
            <w:vAlign w:val="center"/>
          </w:tcPr>
          <w:p w14:paraId="5CD07C28">
            <w:pPr>
              <w:wordWrap w:val="0"/>
              <w:spacing w:line="360" w:lineRule="auto"/>
              <w:jc w:val="center"/>
              <w:rPr>
                <w:rFonts w:hint="eastAsia" w:ascii="宋体" w:hAnsi="宋体" w:cs="宋体"/>
                <w:sz w:val="24"/>
              </w:rPr>
            </w:pPr>
            <w:r>
              <w:rPr>
                <w:rFonts w:hint="eastAsia" w:ascii="宋体" w:hAnsi="宋体" w:cs="宋体"/>
                <w:sz w:val="24"/>
              </w:rPr>
              <w:t>报价合理性</w:t>
            </w:r>
          </w:p>
        </w:tc>
        <w:tc>
          <w:tcPr>
            <w:tcW w:w="5900" w:type="dxa"/>
            <w:vAlign w:val="center"/>
          </w:tcPr>
          <w:p w14:paraId="4537E8CB">
            <w:pPr>
              <w:wordWrap w:val="0"/>
              <w:spacing w:line="360" w:lineRule="auto"/>
              <w:rPr>
                <w:rFonts w:hint="eastAsia" w:ascii="宋体" w:hAnsi="宋体" w:cs="宋体"/>
                <w:sz w:val="24"/>
              </w:rPr>
            </w:pPr>
            <w:r>
              <w:rPr>
                <w:rFonts w:hint="eastAsia" w:ascii="宋体" w:hAnsi="宋体" w:cs="宋体"/>
                <w:sz w:val="24"/>
              </w:rPr>
              <w:t>①报价合理，且供应商的报价不属于异常低价提交响应文件（响应）所列情形中任意一种；</w:t>
            </w:r>
          </w:p>
          <w:p w14:paraId="0CEA7A8F">
            <w:pPr>
              <w:wordWrap w:val="0"/>
              <w:spacing w:line="360" w:lineRule="auto"/>
              <w:rPr>
                <w:rFonts w:hint="eastAsia" w:ascii="宋体" w:hAnsi="宋体" w:cs="宋体"/>
                <w:sz w:val="24"/>
              </w:rPr>
            </w:pPr>
            <w:r>
              <w:rPr>
                <w:rFonts w:hint="eastAsia" w:ascii="宋体" w:hAnsi="宋体" w:cs="宋体"/>
                <w:sz w:val="24"/>
              </w:rPr>
              <w:t>②供应商的报价属于异常低价提交响应文件（响应）所列情形中任意一种，且磋商小组发出价格澄清后，能够及时回复且磋商小组审查后认可其报价合理的。</w:t>
            </w:r>
          </w:p>
        </w:tc>
      </w:tr>
      <w:tr w14:paraId="0EF8CEA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78" w:hRule="atLeast"/>
          <w:jc w:val="center"/>
        </w:trPr>
        <w:tc>
          <w:tcPr>
            <w:tcW w:w="852" w:type="dxa"/>
            <w:vAlign w:val="center"/>
          </w:tcPr>
          <w:p w14:paraId="4B92656B">
            <w:pPr>
              <w:wordWrap w:val="0"/>
              <w:spacing w:line="360" w:lineRule="auto"/>
              <w:jc w:val="center"/>
              <w:rPr>
                <w:rFonts w:hint="eastAsia" w:ascii="宋体" w:hAnsi="宋体" w:cs="宋体"/>
                <w:sz w:val="24"/>
              </w:rPr>
            </w:pPr>
            <w:r>
              <w:rPr>
                <w:rFonts w:hint="eastAsia" w:ascii="宋体" w:hAnsi="宋体" w:cs="宋体"/>
                <w:sz w:val="24"/>
              </w:rPr>
              <w:t>8</w:t>
            </w:r>
          </w:p>
        </w:tc>
        <w:tc>
          <w:tcPr>
            <w:tcW w:w="2047" w:type="dxa"/>
            <w:vAlign w:val="center"/>
          </w:tcPr>
          <w:p w14:paraId="4A499C07">
            <w:pPr>
              <w:wordWrap w:val="0"/>
              <w:spacing w:line="360" w:lineRule="auto"/>
              <w:jc w:val="center"/>
              <w:rPr>
                <w:rFonts w:hint="eastAsia" w:ascii="宋体" w:hAnsi="宋体" w:cs="宋体"/>
                <w:sz w:val="24"/>
              </w:rPr>
            </w:pPr>
            <w:r>
              <w:rPr>
                <w:rFonts w:hint="eastAsia" w:ascii="宋体" w:hAnsi="宋体" w:cs="宋体"/>
                <w:sz w:val="24"/>
              </w:rPr>
              <w:t>响应文件有效期</w:t>
            </w:r>
          </w:p>
        </w:tc>
        <w:tc>
          <w:tcPr>
            <w:tcW w:w="5900" w:type="dxa"/>
            <w:vAlign w:val="center"/>
          </w:tcPr>
          <w:p w14:paraId="04F39070">
            <w:pPr>
              <w:wordWrap w:val="0"/>
              <w:spacing w:line="360" w:lineRule="auto"/>
              <w:rPr>
                <w:rFonts w:hint="eastAsia" w:ascii="宋体" w:hAnsi="宋体" w:cs="宋体"/>
                <w:sz w:val="24"/>
              </w:rPr>
            </w:pPr>
            <w:r>
              <w:rPr>
                <w:rFonts w:hint="eastAsia" w:ascii="宋体" w:hAnsi="宋体" w:cs="宋体"/>
                <w:sz w:val="24"/>
              </w:rPr>
              <w:t>响应文件中承诺的响应文件有效期满足竞争性磋商文件中载明的提交响应文件有效期。</w:t>
            </w:r>
          </w:p>
        </w:tc>
      </w:tr>
      <w:tr w14:paraId="589965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78" w:hRule="atLeast"/>
          <w:jc w:val="center"/>
        </w:trPr>
        <w:tc>
          <w:tcPr>
            <w:tcW w:w="852" w:type="dxa"/>
            <w:vAlign w:val="center"/>
          </w:tcPr>
          <w:p w14:paraId="7A1C14A9">
            <w:pPr>
              <w:wordWrap w:val="0"/>
              <w:spacing w:line="360" w:lineRule="auto"/>
              <w:jc w:val="center"/>
              <w:rPr>
                <w:rFonts w:hint="eastAsia" w:ascii="宋体" w:hAnsi="宋体" w:cs="宋体"/>
                <w:sz w:val="24"/>
              </w:rPr>
            </w:pPr>
            <w:r>
              <w:rPr>
                <w:rFonts w:hint="eastAsia" w:ascii="宋体" w:hAnsi="宋体" w:cs="宋体"/>
                <w:sz w:val="24"/>
              </w:rPr>
              <w:t>9</w:t>
            </w:r>
          </w:p>
        </w:tc>
        <w:tc>
          <w:tcPr>
            <w:tcW w:w="2047" w:type="dxa"/>
            <w:vAlign w:val="center"/>
          </w:tcPr>
          <w:p w14:paraId="2251823F">
            <w:pPr>
              <w:wordWrap w:val="0"/>
              <w:spacing w:line="360" w:lineRule="auto"/>
              <w:jc w:val="center"/>
              <w:rPr>
                <w:rFonts w:hint="eastAsia" w:ascii="宋体" w:hAnsi="宋体" w:cs="宋体"/>
                <w:sz w:val="24"/>
              </w:rPr>
            </w:pPr>
            <w:r>
              <w:rPr>
                <w:rFonts w:hint="eastAsia" w:ascii="宋体" w:hAnsi="宋体" w:cs="宋体"/>
                <w:sz w:val="24"/>
              </w:rPr>
              <w:t>响应文件签字、盖章</w:t>
            </w:r>
          </w:p>
        </w:tc>
        <w:tc>
          <w:tcPr>
            <w:tcW w:w="5900" w:type="dxa"/>
            <w:vAlign w:val="center"/>
          </w:tcPr>
          <w:p w14:paraId="2BFE5F43">
            <w:pPr>
              <w:wordWrap w:val="0"/>
              <w:spacing w:line="360" w:lineRule="auto"/>
              <w:rPr>
                <w:rFonts w:hint="eastAsia" w:ascii="宋体" w:hAnsi="宋体" w:cs="宋体"/>
                <w:sz w:val="24"/>
              </w:rPr>
            </w:pPr>
            <w:bookmarkStart w:id="467" w:name="OLE_LINK42"/>
            <w:bookmarkStart w:id="468" w:name="OLE_LINK39"/>
            <w:r>
              <w:rPr>
                <w:rFonts w:hint="eastAsia" w:ascii="宋体" w:hAnsi="宋体" w:cs="宋体"/>
                <w:sz w:val="24"/>
              </w:rPr>
              <w:t>按照竞争性磋商文件的要求</w:t>
            </w:r>
            <w:bookmarkEnd w:id="467"/>
            <w:bookmarkEnd w:id="468"/>
            <w:r>
              <w:rPr>
                <w:rFonts w:hint="eastAsia" w:ascii="宋体" w:hAnsi="宋体" w:cs="宋体"/>
                <w:sz w:val="24"/>
              </w:rPr>
              <w:t>，签字盖章。</w:t>
            </w:r>
          </w:p>
        </w:tc>
      </w:tr>
      <w:tr w14:paraId="0A26BF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9" w:hRule="atLeast"/>
          <w:jc w:val="center"/>
        </w:trPr>
        <w:tc>
          <w:tcPr>
            <w:tcW w:w="852" w:type="dxa"/>
            <w:vAlign w:val="center"/>
          </w:tcPr>
          <w:p w14:paraId="0FE74396">
            <w:pPr>
              <w:wordWrap w:val="0"/>
              <w:spacing w:line="360" w:lineRule="auto"/>
              <w:jc w:val="center"/>
              <w:rPr>
                <w:rFonts w:hint="eastAsia" w:ascii="宋体" w:hAnsi="宋体" w:cs="宋体"/>
                <w:sz w:val="24"/>
              </w:rPr>
            </w:pPr>
            <w:r>
              <w:rPr>
                <w:rFonts w:hint="eastAsia" w:ascii="宋体" w:hAnsi="宋体" w:cs="宋体"/>
                <w:sz w:val="24"/>
              </w:rPr>
              <w:t>10</w:t>
            </w:r>
          </w:p>
        </w:tc>
        <w:tc>
          <w:tcPr>
            <w:tcW w:w="2047" w:type="dxa"/>
            <w:vAlign w:val="center"/>
          </w:tcPr>
          <w:p w14:paraId="36187DDA">
            <w:pPr>
              <w:wordWrap w:val="0"/>
              <w:spacing w:line="360" w:lineRule="auto"/>
              <w:jc w:val="center"/>
              <w:rPr>
                <w:rFonts w:hint="eastAsia" w:ascii="宋体" w:hAnsi="宋体" w:cs="宋体"/>
                <w:sz w:val="24"/>
              </w:rPr>
            </w:pPr>
            <w:r>
              <w:rPr>
                <w:rFonts w:hint="eastAsia" w:ascii="宋体" w:hAnsi="宋体" w:cs="宋体"/>
                <w:sz w:val="24"/>
              </w:rPr>
              <w:t>工期</w:t>
            </w:r>
          </w:p>
        </w:tc>
        <w:tc>
          <w:tcPr>
            <w:tcW w:w="5900" w:type="dxa"/>
            <w:vAlign w:val="center"/>
          </w:tcPr>
          <w:p w14:paraId="64A0DC0D">
            <w:pPr>
              <w:wordWrap w:val="0"/>
              <w:spacing w:line="360" w:lineRule="auto"/>
              <w:rPr>
                <w:rFonts w:hint="eastAsia" w:ascii="宋体" w:hAnsi="宋体" w:cs="宋体"/>
                <w:sz w:val="24"/>
              </w:rPr>
            </w:pPr>
            <w:r>
              <w:rPr>
                <w:rFonts w:hint="eastAsia" w:ascii="宋体" w:hAnsi="宋体" w:cs="宋体"/>
                <w:sz w:val="24"/>
              </w:rPr>
              <w:t>150日历天。</w:t>
            </w:r>
          </w:p>
        </w:tc>
      </w:tr>
      <w:tr w14:paraId="686635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9" w:hRule="atLeast"/>
          <w:jc w:val="center"/>
        </w:trPr>
        <w:tc>
          <w:tcPr>
            <w:tcW w:w="852" w:type="dxa"/>
            <w:vAlign w:val="center"/>
          </w:tcPr>
          <w:p w14:paraId="0B9FD12F">
            <w:pPr>
              <w:wordWrap w:val="0"/>
              <w:spacing w:line="360" w:lineRule="auto"/>
              <w:jc w:val="center"/>
              <w:rPr>
                <w:rFonts w:hint="eastAsia" w:ascii="宋体" w:hAnsi="宋体" w:cs="宋体"/>
                <w:sz w:val="24"/>
              </w:rPr>
            </w:pPr>
            <w:r>
              <w:rPr>
                <w:rFonts w:hint="eastAsia" w:ascii="宋体" w:hAnsi="宋体" w:cs="宋体"/>
                <w:sz w:val="24"/>
              </w:rPr>
              <w:t>11</w:t>
            </w:r>
          </w:p>
        </w:tc>
        <w:tc>
          <w:tcPr>
            <w:tcW w:w="2047" w:type="dxa"/>
            <w:vAlign w:val="center"/>
          </w:tcPr>
          <w:p w14:paraId="0D28B91E">
            <w:pPr>
              <w:wordWrap w:val="0"/>
              <w:spacing w:line="360" w:lineRule="auto"/>
              <w:jc w:val="center"/>
              <w:rPr>
                <w:rFonts w:hint="eastAsia" w:ascii="宋体" w:hAnsi="宋体" w:cs="宋体"/>
                <w:sz w:val="24"/>
              </w:rPr>
            </w:pPr>
            <w:r>
              <w:rPr>
                <w:rFonts w:hint="eastAsia" w:ascii="宋体" w:hAnsi="宋体" w:cs="宋体"/>
                <w:sz w:val="24"/>
              </w:rPr>
              <w:t>缺陷责任期</w:t>
            </w:r>
          </w:p>
        </w:tc>
        <w:tc>
          <w:tcPr>
            <w:tcW w:w="5900" w:type="dxa"/>
            <w:vAlign w:val="center"/>
          </w:tcPr>
          <w:p w14:paraId="6E525A7C">
            <w:pPr>
              <w:wordWrap w:val="0"/>
              <w:spacing w:line="360" w:lineRule="auto"/>
              <w:rPr>
                <w:rFonts w:hint="eastAsia" w:ascii="宋体" w:hAnsi="宋体" w:cs="宋体"/>
                <w:sz w:val="24"/>
              </w:rPr>
            </w:pPr>
            <w:r>
              <w:rPr>
                <w:rFonts w:hint="eastAsia" w:ascii="宋体" w:hAnsi="宋体" w:cs="宋体"/>
                <w:bCs/>
                <w:sz w:val="24"/>
              </w:rPr>
              <w:t>自工程通过竣工验收合格之日起24个月</w:t>
            </w:r>
            <w:r>
              <w:rPr>
                <w:rFonts w:hint="eastAsia" w:ascii="宋体" w:hAnsi="宋体" w:cs="宋体"/>
                <w:sz w:val="24"/>
              </w:rPr>
              <w:t>。</w:t>
            </w:r>
          </w:p>
        </w:tc>
      </w:tr>
      <w:tr w14:paraId="08B3D5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9" w:hRule="atLeast"/>
          <w:jc w:val="center"/>
        </w:trPr>
        <w:tc>
          <w:tcPr>
            <w:tcW w:w="852" w:type="dxa"/>
            <w:vAlign w:val="center"/>
          </w:tcPr>
          <w:p w14:paraId="342A7235">
            <w:pPr>
              <w:wordWrap w:val="0"/>
              <w:spacing w:line="360" w:lineRule="auto"/>
              <w:jc w:val="center"/>
              <w:rPr>
                <w:rFonts w:hint="eastAsia" w:ascii="宋体" w:hAnsi="宋体" w:cs="宋体"/>
                <w:sz w:val="24"/>
              </w:rPr>
            </w:pPr>
            <w:r>
              <w:rPr>
                <w:rFonts w:hint="eastAsia" w:ascii="宋体" w:hAnsi="宋体" w:cs="宋体"/>
                <w:sz w:val="24"/>
              </w:rPr>
              <w:t>12</w:t>
            </w:r>
          </w:p>
        </w:tc>
        <w:tc>
          <w:tcPr>
            <w:tcW w:w="2047" w:type="dxa"/>
            <w:vAlign w:val="center"/>
          </w:tcPr>
          <w:p w14:paraId="5B6C1D57">
            <w:pPr>
              <w:wordWrap w:val="0"/>
              <w:spacing w:line="360" w:lineRule="auto"/>
              <w:jc w:val="center"/>
              <w:rPr>
                <w:rFonts w:hint="eastAsia" w:ascii="宋体" w:hAnsi="宋体" w:cs="宋体"/>
                <w:sz w:val="24"/>
              </w:rPr>
            </w:pPr>
            <w:r>
              <w:rPr>
                <w:rFonts w:hint="eastAsia" w:ascii="宋体" w:hAnsi="宋体" w:cs="宋体"/>
                <w:sz w:val="24"/>
              </w:rPr>
              <w:t>质量标准</w:t>
            </w:r>
          </w:p>
        </w:tc>
        <w:tc>
          <w:tcPr>
            <w:tcW w:w="5900" w:type="dxa"/>
            <w:vAlign w:val="center"/>
          </w:tcPr>
          <w:p w14:paraId="5DAE7463">
            <w:pPr>
              <w:wordWrap w:val="0"/>
              <w:spacing w:line="360" w:lineRule="auto"/>
              <w:rPr>
                <w:rFonts w:hint="eastAsia" w:ascii="宋体" w:hAnsi="宋体" w:cs="宋体"/>
                <w:sz w:val="24"/>
              </w:rPr>
            </w:pPr>
            <w:r>
              <w:rPr>
                <w:rFonts w:hint="eastAsia" w:ascii="宋体" w:hAnsi="宋体" w:cs="宋体"/>
                <w:sz w:val="24"/>
              </w:rPr>
              <w:t>合格，满足国家相关质量验收标准。</w:t>
            </w:r>
          </w:p>
        </w:tc>
      </w:tr>
      <w:tr w14:paraId="515386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9" w:hRule="atLeast"/>
          <w:jc w:val="center"/>
        </w:trPr>
        <w:tc>
          <w:tcPr>
            <w:tcW w:w="852" w:type="dxa"/>
            <w:vAlign w:val="center"/>
          </w:tcPr>
          <w:p w14:paraId="760DB4CA">
            <w:pPr>
              <w:wordWrap w:val="0"/>
              <w:spacing w:line="360" w:lineRule="auto"/>
              <w:jc w:val="center"/>
              <w:rPr>
                <w:rFonts w:hint="eastAsia" w:ascii="宋体" w:hAnsi="宋体" w:cs="宋体"/>
                <w:sz w:val="24"/>
              </w:rPr>
            </w:pPr>
            <w:r>
              <w:rPr>
                <w:rFonts w:hint="eastAsia" w:ascii="宋体" w:hAnsi="宋体" w:cs="宋体"/>
                <w:sz w:val="24"/>
              </w:rPr>
              <w:t>13</w:t>
            </w:r>
          </w:p>
        </w:tc>
        <w:tc>
          <w:tcPr>
            <w:tcW w:w="2047" w:type="dxa"/>
            <w:vAlign w:val="center"/>
          </w:tcPr>
          <w:p w14:paraId="06DD9F53">
            <w:pPr>
              <w:wordWrap w:val="0"/>
              <w:spacing w:line="360" w:lineRule="auto"/>
              <w:jc w:val="center"/>
              <w:rPr>
                <w:rFonts w:hint="eastAsia" w:ascii="宋体" w:hAnsi="宋体" w:cs="宋体"/>
                <w:sz w:val="24"/>
              </w:rPr>
            </w:pPr>
            <w:r>
              <w:rPr>
                <w:rFonts w:hint="eastAsia" w:ascii="宋体" w:hAnsi="宋体" w:cs="宋体"/>
                <w:sz w:val="24"/>
              </w:rPr>
              <w:t>付款方式</w:t>
            </w:r>
          </w:p>
        </w:tc>
        <w:tc>
          <w:tcPr>
            <w:tcW w:w="5900" w:type="dxa"/>
            <w:vAlign w:val="center"/>
          </w:tcPr>
          <w:p w14:paraId="7F35E307">
            <w:pPr>
              <w:wordWrap w:val="0"/>
              <w:spacing w:line="360" w:lineRule="auto"/>
              <w:rPr>
                <w:rFonts w:hint="eastAsia" w:ascii="宋体" w:hAnsi="宋体" w:cs="宋体"/>
                <w:sz w:val="24"/>
              </w:rPr>
            </w:pPr>
            <w:r>
              <w:rPr>
                <w:rFonts w:hint="eastAsia" w:ascii="宋体" w:hAnsi="宋体" w:cs="宋体"/>
                <w:sz w:val="24"/>
              </w:rPr>
              <w:t>符合竞争性磋商文件要求。</w:t>
            </w:r>
          </w:p>
        </w:tc>
      </w:tr>
      <w:tr w14:paraId="4D7AC9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9" w:hRule="atLeast"/>
          <w:jc w:val="center"/>
        </w:trPr>
        <w:tc>
          <w:tcPr>
            <w:tcW w:w="852" w:type="dxa"/>
            <w:vAlign w:val="center"/>
          </w:tcPr>
          <w:p w14:paraId="0C56A3AF">
            <w:pPr>
              <w:wordWrap w:val="0"/>
              <w:spacing w:line="360" w:lineRule="auto"/>
              <w:jc w:val="center"/>
              <w:rPr>
                <w:rFonts w:hint="eastAsia" w:ascii="宋体" w:hAnsi="宋体" w:cs="宋体"/>
                <w:sz w:val="24"/>
              </w:rPr>
            </w:pPr>
            <w:r>
              <w:rPr>
                <w:rFonts w:hint="eastAsia" w:ascii="宋体" w:hAnsi="宋体" w:cs="宋体"/>
                <w:sz w:val="24"/>
              </w:rPr>
              <w:t>14</w:t>
            </w:r>
          </w:p>
        </w:tc>
        <w:tc>
          <w:tcPr>
            <w:tcW w:w="2047" w:type="dxa"/>
            <w:vAlign w:val="center"/>
          </w:tcPr>
          <w:p w14:paraId="72D23AC0">
            <w:pPr>
              <w:wordWrap w:val="0"/>
              <w:spacing w:line="360" w:lineRule="auto"/>
              <w:jc w:val="center"/>
              <w:rPr>
                <w:rFonts w:hint="eastAsia" w:ascii="宋体" w:hAnsi="宋体" w:cs="宋体"/>
                <w:sz w:val="24"/>
              </w:rPr>
            </w:pPr>
            <w:r>
              <w:rPr>
                <w:rFonts w:hint="eastAsia" w:ascii="宋体" w:hAnsi="宋体" w:cs="宋体"/>
                <w:sz w:val="24"/>
              </w:rPr>
              <w:t>其他实质性要求</w:t>
            </w:r>
          </w:p>
        </w:tc>
        <w:tc>
          <w:tcPr>
            <w:tcW w:w="5900" w:type="dxa"/>
            <w:vAlign w:val="center"/>
          </w:tcPr>
          <w:p w14:paraId="0624D136">
            <w:pPr>
              <w:wordWrap w:val="0"/>
              <w:spacing w:line="360" w:lineRule="auto"/>
              <w:rPr>
                <w:rFonts w:hint="eastAsia" w:ascii="宋体" w:hAnsi="宋体" w:cs="宋体"/>
                <w:sz w:val="24"/>
              </w:rPr>
            </w:pPr>
            <w:r>
              <w:rPr>
                <w:rFonts w:hint="eastAsia" w:ascii="宋体" w:hAnsi="宋体" w:cs="宋体"/>
                <w:sz w:val="24"/>
              </w:rPr>
              <w:t>采购文件中规定的其他实质性要求。</w:t>
            </w:r>
          </w:p>
        </w:tc>
      </w:tr>
    </w:tbl>
    <w:p w14:paraId="7A7EE529">
      <w:pPr>
        <w:pStyle w:val="5"/>
        <w:wordWrap w:val="0"/>
        <w:spacing w:line="360" w:lineRule="auto"/>
        <w:ind w:firstLine="542" w:firstLineChars="225"/>
      </w:pPr>
      <w:r>
        <w:rPr>
          <w:rFonts w:hint="eastAsia" w:ascii="宋体" w:hAnsi="宋体"/>
          <w:b/>
          <w:bCs/>
          <w:sz w:val="24"/>
        </w:rPr>
        <w:t>注：1.审查项目有一项不满足则结论为不合格。</w:t>
      </w:r>
    </w:p>
    <w:p w14:paraId="712A4B01">
      <w:pPr>
        <w:wordWrap w:val="0"/>
        <w:spacing w:line="360" w:lineRule="auto"/>
        <w:ind w:firstLine="482" w:firstLineChars="200"/>
        <w:rPr>
          <w:rFonts w:hint="eastAsia" w:ascii="宋体" w:hAnsi="宋体"/>
          <w:b/>
          <w:bCs/>
          <w:sz w:val="24"/>
        </w:rPr>
      </w:pPr>
      <w:r>
        <w:rPr>
          <w:rFonts w:ascii="宋体" w:hAnsi="宋体"/>
          <w:b/>
          <w:bCs/>
          <w:sz w:val="24"/>
        </w:rPr>
        <w:t>2.</w:t>
      </w:r>
      <w:r>
        <w:rPr>
          <w:rFonts w:hint="eastAsia" w:ascii="宋体" w:hAnsi="宋体"/>
          <w:b/>
          <w:bCs/>
          <w:sz w:val="24"/>
        </w:rPr>
        <w:t>供应商应根据竞争性磋商文件要求提供证明材料，否则将影响供应商审查结果。</w:t>
      </w:r>
    </w:p>
    <w:p w14:paraId="7E8C61F7">
      <w:pPr>
        <w:tabs>
          <w:tab w:val="left" w:pos="965"/>
          <w:tab w:val="left" w:pos="992"/>
        </w:tabs>
        <w:wordWrap w:val="0"/>
        <w:spacing w:line="360" w:lineRule="auto"/>
        <w:ind w:firstLine="619"/>
        <w:jc w:val="center"/>
        <w:rPr>
          <w:rFonts w:hint="eastAsia" w:ascii="黑体" w:hAnsi="黑体" w:eastAsia="黑体" w:cs="宋体"/>
          <w:bCs/>
          <w:sz w:val="28"/>
          <w:szCs w:val="28"/>
        </w:rPr>
      </w:pPr>
    </w:p>
    <w:p w14:paraId="6A9743A1">
      <w:pPr>
        <w:pStyle w:val="5"/>
        <w:wordWrap w:val="0"/>
        <w:spacing w:line="360" w:lineRule="auto"/>
        <w:rPr>
          <w:rFonts w:hint="eastAsia" w:ascii="黑体" w:hAnsi="黑体" w:eastAsia="黑体" w:cs="宋体"/>
          <w:bCs/>
          <w:sz w:val="28"/>
          <w:szCs w:val="28"/>
        </w:rPr>
      </w:pPr>
    </w:p>
    <w:p w14:paraId="480A5DEA">
      <w:pPr>
        <w:pStyle w:val="46"/>
        <w:wordWrap w:val="0"/>
        <w:spacing w:line="360" w:lineRule="auto"/>
        <w:rPr>
          <w:rFonts w:hint="eastAsia" w:ascii="黑体" w:hAnsi="黑体" w:eastAsia="黑体" w:cs="宋体"/>
          <w:bCs/>
          <w:sz w:val="28"/>
          <w:szCs w:val="28"/>
        </w:rPr>
      </w:pPr>
    </w:p>
    <w:p w14:paraId="50C1BF76">
      <w:pPr>
        <w:pStyle w:val="46"/>
        <w:wordWrap w:val="0"/>
        <w:spacing w:line="360" w:lineRule="auto"/>
        <w:rPr>
          <w:rFonts w:hint="eastAsia" w:ascii="黑体" w:hAnsi="黑体" w:eastAsia="黑体" w:cs="宋体"/>
          <w:bCs/>
          <w:sz w:val="28"/>
          <w:szCs w:val="28"/>
        </w:rPr>
      </w:pPr>
    </w:p>
    <w:p w14:paraId="33DAE976">
      <w:pPr>
        <w:rPr>
          <w:rFonts w:hint="eastAsia" w:ascii="黑体" w:hAnsi="黑体"/>
          <w:sz w:val="24"/>
        </w:rPr>
      </w:pPr>
      <w:bookmarkStart w:id="469" w:name="_Toc24019"/>
      <w:bookmarkStart w:id="470" w:name="_Toc23839"/>
      <w:bookmarkStart w:id="471" w:name="_Toc29277"/>
      <w:r>
        <w:rPr>
          <w:rFonts w:hint="eastAsia" w:ascii="黑体" w:hAnsi="黑体"/>
          <w:sz w:val="24"/>
        </w:rPr>
        <w:br w:type="page"/>
      </w:r>
    </w:p>
    <w:p w14:paraId="703B144E">
      <w:pPr>
        <w:pStyle w:val="7"/>
        <w:wordWrap w:val="0"/>
        <w:spacing w:before="0" w:after="0" w:line="360" w:lineRule="auto"/>
        <w:rPr>
          <w:rFonts w:hint="eastAsia" w:ascii="黑体" w:hAnsi="黑体"/>
          <w:sz w:val="24"/>
        </w:rPr>
      </w:pPr>
      <w:bookmarkStart w:id="472" w:name="_Toc17297"/>
      <w:r>
        <w:rPr>
          <w:rFonts w:hint="eastAsia" w:ascii="黑体" w:hAnsi="黑体"/>
          <w:sz w:val="24"/>
        </w:rPr>
        <w:t>三、评审标准表</w:t>
      </w:r>
      <w:bookmarkEnd w:id="469"/>
      <w:bookmarkEnd w:id="470"/>
      <w:bookmarkEnd w:id="471"/>
      <w:bookmarkEnd w:id="472"/>
    </w:p>
    <w:tbl>
      <w:tblPr>
        <w:tblStyle w:val="47"/>
        <w:tblW w:w="5317" w:type="pct"/>
        <w:tblInd w:w="-3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383"/>
        <w:gridCol w:w="1369"/>
        <w:gridCol w:w="6837"/>
      </w:tblGrid>
      <w:tr w14:paraId="4071A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384" w:type="dxa"/>
            <w:tcMar>
              <w:top w:w="57" w:type="dxa"/>
              <w:left w:w="57" w:type="dxa"/>
              <w:bottom w:w="57" w:type="dxa"/>
              <w:right w:w="57" w:type="dxa"/>
            </w:tcMar>
            <w:vAlign w:val="center"/>
          </w:tcPr>
          <w:p w14:paraId="2586D645">
            <w:pPr>
              <w:spacing w:line="360" w:lineRule="auto"/>
              <w:jc w:val="center"/>
              <w:rPr>
                <w:rFonts w:hint="eastAsia" w:ascii="宋体" w:hAnsi="宋体" w:cs="宋体"/>
                <w:bCs/>
                <w:kern w:val="1"/>
                <w:sz w:val="24"/>
              </w:rPr>
            </w:pPr>
            <w:r>
              <w:rPr>
                <w:rFonts w:hint="eastAsia" w:ascii="宋体" w:hAnsi="宋体" w:cs="宋体"/>
                <w:bCs/>
                <w:sz w:val="24"/>
              </w:rPr>
              <w:t>条款内容</w:t>
            </w:r>
          </w:p>
        </w:tc>
        <w:tc>
          <w:tcPr>
            <w:tcW w:w="1370" w:type="dxa"/>
            <w:tcMar>
              <w:top w:w="57" w:type="dxa"/>
              <w:left w:w="57" w:type="dxa"/>
              <w:bottom w:w="57" w:type="dxa"/>
              <w:right w:w="57" w:type="dxa"/>
            </w:tcMar>
            <w:vAlign w:val="center"/>
          </w:tcPr>
          <w:p w14:paraId="40D6D821">
            <w:pPr>
              <w:spacing w:line="360" w:lineRule="auto"/>
              <w:jc w:val="center"/>
              <w:rPr>
                <w:rFonts w:hint="eastAsia" w:ascii="宋体" w:hAnsi="宋体" w:cs="宋体"/>
                <w:bCs/>
                <w:kern w:val="1"/>
                <w:sz w:val="24"/>
              </w:rPr>
            </w:pPr>
            <w:r>
              <w:rPr>
                <w:rFonts w:hint="eastAsia" w:ascii="宋体" w:hAnsi="宋体" w:cs="宋体"/>
                <w:bCs/>
                <w:sz w:val="24"/>
              </w:rPr>
              <w:t>评审因素</w:t>
            </w:r>
          </w:p>
        </w:tc>
        <w:tc>
          <w:tcPr>
            <w:tcW w:w="6847" w:type="dxa"/>
            <w:tcMar>
              <w:top w:w="57" w:type="dxa"/>
              <w:left w:w="57" w:type="dxa"/>
              <w:bottom w:w="57" w:type="dxa"/>
              <w:right w:w="57" w:type="dxa"/>
            </w:tcMar>
            <w:vAlign w:val="center"/>
          </w:tcPr>
          <w:p w14:paraId="0D2E3346">
            <w:pPr>
              <w:spacing w:line="360" w:lineRule="auto"/>
              <w:jc w:val="center"/>
              <w:rPr>
                <w:rFonts w:hint="eastAsia" w:ascii="宋体" w:hAnsi="宋体" w:cs="宋体"/>
                <w:bCs/>
                <w:kern w:val="1"/>
                <w:sz w:val="24"/>
              </w:rPr>
            </w:pPr>
            <w:r>
              <w:rPr>
                <w:rFonts w:hint="eastAsia" w:ascii="宋体" w:hAnsi="宋体" w:cs="宋体"/>
                <w:bCs/>
                <w:sz w:val="24"/>
              </w:rPr>
              <w:t>编列内容</w:t>
            </w:r>
          </w:p>
        </w:tc>
      </w:tr>
      <w:tr w14:paraId="79DFE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384" w:type="dxa"/>
            <w:tcMar>
              <w:top w:w="57" w:type="dxa"/>
              <w:left w:w="57" w:type="dxa"/>
              <w:bottom w:w="57" w:type="dxa"/>
              <w:right w:w="57" w:type="dxa"/>
            </w:tcMar>
            <w:vAlign w:val="center"/>
          </w:tcPr>
          <w:p w14:paraId="639DE87D">
            <w:pPr>
              <w:spacing w:line="360" w:lineRule="auto"/>
              <w:jc w:val="center"/>
              <w:rPr>
                <w:rFonts w:hint="eastAsia" w:ascii="宋体" w:hAnsi="宋体" w:cs="宋体"/>
                <w:bCs/>
                <w:kern w:val="1"/>
                <w:sz w:val="24"/>
              </w:rPr>
            </w:pPr>
            <w:r>
              <w:rPr>
                <w:rFonts w:hint="eastAsia" w:ascii="宋体" w:hAnsi="宋体" w:cs="宋体"/>
                <w:bCs/>
                <w:kern w:val="1"/>
                <w:sz w:val="24"/>
              </w:rPr>
              <w:t>分值构成</w:t>
            </w:r>
          </w:p>
          <w:p w14:paraId="3BECF1EE">
            <w:pPr>
              <w:spacing w:line="360" w:lineRule="auto"/>
              <w:jc w:val="center"/>
              <w:rPr>
                <w:rFonts w:hint="eastAsia" w:ascii="宋体" w:hAnsi="宋体" w:cs="宋体"/>
                <w:bCs/>
                <w:kern w:val="0"/>
                <w:sz w:val="24"/>
              </w:rPr>
            </w:pPr>
            <w:r>
              <w:rPr>
                <w:rFonts w:hint="eastAsia" w:ascii="宋体" w:hAnsi="宋体" w:cs="宋体"/>
                <w:bCs/>
                <w:kern w:val="1"/>
                <w:sz w:val="24"/>
              </w:rPr>
              <w:t>（100分）</w:t>
            </w:r>
          </w:p>
        </w:tc>
        <w:tc>
          <w:tcPr>
            <w:tcW w:w="1370" w:type="dxa"/>
            <w:tcMar>
              <w:top w:w="57" w:type="dxa"/>
              <w:left w:w="57" w:type="dxa"/>
              <w:bottom w:w="57" w:type="dxa"/>
              <w:right w:w="57" w:type="dxa"/>
            </w:tcMar>
            <w:vAlign w:val="center"/>
          </w:tcPr>
          <w:p w14:paraId="0C0A0E3B">
            <w:pPr>
              <w:tabs>
                <w:tab w:val="left" w:pos="566"/>
              </w:tabs>
              <w:spacing w:line="360" w:lineRule="auto"/>
              <w:jc w:val="center"/>
              <w:rPr>
                <w:rFonts w:hint="eastAsia" w:ascii="宋体" w:hAnsi="宋体" w:cs="宋体"/>
                <w:bCs/>
                <w:kern w:val="0"/>
                <w:sz w:val="24"/>
              </w:rPr>
            </w:pPr>
            <w:r>
              <w:rPr>
                <w:rFonts w:hint="eastAsia" w:ascii="宋体" w:hAnsi="宋体" w:cs="宋体"/>
                <w:bCs/>
                <w:kern w:val="1"/>
                <w:sz w:val="24"/>
              </w:rPr>
              <w:t>分值构成</w:t>
            </w:r>
          </w:p>
        </w:tc>
        <w:tc>
          <w:tcPr>
            <w:tcW w:w="6847" w:type="dxa"/>
            <w:tcMar>
              <w:top w:w="57" w:type="dxa"/>
              <w:left w:w="57" w:type="dxa"/>
              <w:bottom w:w="57" w:type="dxa"/>
              <w:right w:w="57" w:type="dxa"/>
            </w:tcMar>
            <w:vAlign w:val="center"/>
          </w:tcPr>
          <w:p w14:paraId="78D0ADF2">
            <w:pPr>
              <w:spacing w:line="360" w:lineRule="auto"/>
              <w:rPr>
                <w:rFonts w:hint="eastAsia" w:ascii="宋体" w:hAnsi="宋体" w:cs="宋体"/>
                <w:bCs/>
                <w:kern w:val="1"/>
                <w:sz w:val="24"/>
              </w:rPr>
            </w:pPr>
            <w:r>
              <w:rPr>
                <w:rFonts w:hint="eastAsia" w:ascii="宋体" w:hAnsi="宋体" w:cs="宋体"/>
                <w:bCs/>
                <w:kern w:val="1"/>
                <w:sz w:val="24"/>
              </w:rPr>
              <w:t>报价部分（40分）</w:t>
            </w:r>
          </w:p>
          <w:p w14:paraId="78AE05CF">
            <w:pPr>
              <w:spacing w:line="360" w:lineRule="auto"/>
              <w:rPr>
                <w:rFonts w:hint="eastAsia" w:ascii="宋体" w:hAnsi="宋体" w:cs="宋体"/>
                <w:bCs/>
                <w:kern w:val="1"/>
                <w:sz w:val="24"/>
              </w:rPr>
            </w:pPr>
            <w:r>
              <w:rPr>
                <w:rFonts w:hint="eastAsia" w:ascii="宋体" w:hAnsi="宋体" w:cs="宋体"/>
                <w:bCs/>
                <w:kern w:val="1"/>
                <w:sz w:val="24"/>
              </w:rPr>
              <w:t>技术部分（35分）</w:t>
            </w:r>
          </w:p>
          <w:p w14:paraId="4721E1CA">
            <w:pPr>
              <w:spacing w:line="360" w:lineRule="auto"/>
              <w:rPr>
                <w:rFonts w:hint="eastAsia" w:ascii="宋体" w:hAnsi="宋体" w:cs="宋体"/>
                <w:bCs/>
                <w:sz w:val="24"/>
              </w:rPr>
            </w:pPr>
            <w:r>
              <w:rPr>
                <w:rFonts w:hint="eastAsia" w:ascii="宋体" w:hAnsi="宋体" w:cs="宋体"/>
                <w:bCs/>
                <w:kern w:val="1"/>
                <w:sz w:val="24"/>
              </w:rPr>
              <w:t>综合部分（25分）</w:t>
            </w:r>
          </w:p>
        </w:tc>
      </w:tr>
      <w:tr w14:paraId="4FF24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384" w:type="dxa"/>
            <w:tcMar>
              <w:top w:w="57" w:type="dxa"/>
              <w:left w:w="57" w:type="dxa"/>
              <w:bottom w:w="57" w:type="dxa"/>
              <w:right w:w="57" w:type="dxa"/>
            </w:tcMar>
            <w:vAlign w:val="center"/>
          </w:tcPr>
          <w:p w14:paraId="1E5AAE00">
            <w:pPr>
              <w:autoSpaceDE w:val="0"/>
              <w:autoSpaceDN w:val="0"/>
              <w:adjustRightInd w:val="0"/>
              <w:spacing w:before="50" w:line="360" w:lineRule="auto"/>
              <w:ind w:left="59" w:leftChars="28" w:right="96" w:firstLine="4" w:firstLineChars="2"/>
              <w:jc w:val="center"/>
              <w:rPr>
                <w:rFonts w:hint="eastAsia" w:ascii="宋体" w:hAnsi="宋体" w:cs="宋体"/>
                <w:bCs/>
                <w:kern w:val="0"/>
                <w:sz w:val="24"/>
              </w:rPr>
            </w:pPr>
            <w:r>
              <w:rPr>
                <w:rFonts w:hint="eastAsia" w:ascii="宋体" w:hAnsi="宋体" w:cs="宋体"/>
                <w:bCs/>
                <w:kern w:val="0"/>
                <w:sz w:val="24"/>
              </w:rPr>
              <w:t>报价部分（40分）</w:t>
            </w:r>
          </w:p>
        </w:tc>
        <w:tc>
          <w:tcPr>
            <w:tcW w:w="1370" w:type="dxa"/>
            <w:tcMar>
              <w:top w:w="57" w:type="dxa"/>
              <w:left w:w="57" w:type="dxa"/>
              <w:bottom w:w="57" w:type="dxa"/>
              <w:right w:w="57" w:type="dxa"/>
            </w:tcMar>
            <w:vAlign w:val="center"/>
          </w:tcPr>
          <w:p w14:paraId="17D1EC7A">
            <w:pPr>
              <w:autoSpaceDE w:val="0"/>
              <w:autoSpaceDN w:val="0"/>
              <w:adjustRightInd w:val="0"/>
              <w:spacing w:before="50" w:line="360" w:lineRule="auto"/>
              <w:ind w:right="97" w:firstLine="67" w:firstLineChars="28"/>
              <w:jc w:val="center"/>
              <w:rPr>
                <w:rFonts w:hint="eastAsia" w:ascii="宋体" w:hAnsi="宋体" w:cs="宋体"/>
                <w:bCs/>
                <w:kern w:val="0"/>
                <w:sz w:val="24"/>
              </w:rPr>
            </w:pPr>
            <w:r>
              <w:rPr>
                <w:rFonts w:hint="eastAsia" w:ascii="宋体" w:hAnsi="宋体" w:cs="宋体"/>
                <w:bCs/>
                <w:kern w:val="0"/>
                <w:sz w:val="24"/>
              </w:rPr>
              <w:t>磋商报价（40分）</w:t>
            </w:r>
          </w:p>
        </w:tc>
        <w:tc>
          <w:tcPr>
            <w:tcW w:w="6847" w:type="dxa"/>
            <w:tcMar>
              <w:top w:w="57" w:type="dxa"/>
              <w:left w:w="57" w:type="dxa"/>
              <w:bottom w:w="57" w:type="dxa"/>
              <w:right w:w="57" w:type="dxa"/>
            </w:tcMar>
            <w:vAlign w:val="center"/>
          </w:tcPr>
          <w:p w14:paraId="6B69B9D1">
            <w:pPr>
              <w:pStyle w:val="166"/>
              <w:spacing w:line="360" w:lineRule="auto"/>
              <w:rPr>
                <w:rFonts w:hint="eastAsia" w:hAnsi="宋体" w:cs="宋体"/>
                <w:bCs/>
                <w:color w:val="auto"/>
              </w:rPr>
            </w:pPr>
            <w:r>
              <w:rPr>
                <w:rFonts w:hint="eastAsia" w:hAnsi="宋体" w:cs="宋体"/>
                <w:bCs/>
                <w:color w:val="auto"/>
              </w:rPr>
              <w:t>评审报价得分采用低价优先法计算，即满足竞争性磋商文件实质性要求且最后报价扣除后最低的为评审基准价，但是在评审过程中需要考虑以下异常低价审查程序和价格扣除标准，符合扣除的需要扣除后作为评审价格进行计算。</w:t>
            </w:r>
          </w:p>
          <w:p w14:paraId="520A7B4A">
            <w:pPr>
              <w:pStyle w:val="166"/>
              <w:spacing w:line="360" w:lineRule="auto"/>
              <w:rPr>
                <w:rFonts w:hint="eastAsia" w:hAnsi="宋体" w:cs="宋体"/>
                <w:bCs/>
                <w:color w:val="auto"/>
              </w:rPr>
            </w:pPr>
            <w:r>
              <w:rPr>
                <w:rFonts w:hint="eastAsia" w:hAnsi="宋体" w:cs="宋体"/>
                <w:bCs/>
                <w:color w:val="auto"/>
              </w:rPr>
              <w:t>1.报价得分=（评审基准价/评审报价）×40。</w:t>
            </w:r>
          </w:p>
          <w:p w14:paraId="7728A32A">
            <w:pPr>
              <w:pStyle w:val="166"/>
              <w:spacing w:line="360" w:lineRule="auto"/>
              <w:rPr>
                <w:rFonts w:hint="eastAsia" w:hAnsi="宋体" w:cs="宋体"/>
                <w:bCs/>
                <w:color w:val="auto"/>
              </w:rPr>
            </w:pPr>
            <w:r>
              <w:rPr>
                <w:rFonts w:hint="eastAsia" w:hAnsi="宋体" w:cs="宋体"/>
                <w:bCs/>
                <w:color w:val="auto"/>
              </w:rPr>
              <w:t>2.本项目最后报价扣除前中出现本章总则中异常低价情形之一的，磋商小组应当启动异常低价审查程序。</w:t>
            </w:r>
          </w:p>
          <w:p w14:paraId="6D0887ED">
            <w:pPr>
              <w:pStyle w:val="166"/>
              <w:spacing w:line="360" w:lineRule="auto"/>
              <w:rPr>
                <w:rFonts w:hint="eastAsia" w:hAnsi="宋体" w:cs="宋体"/>
                <w:bCs/>
                <w:color w:val="auto"/>
              </w:rPr>
            </w:pPr>
            <w:r>
              <w:rPr>
                <w:rFonts w:hint="eastAsia" w:hAnsi="宋体" w:cs="宋体"/>
                <w:bCs/>
                <w:color w:val="auto"/>
              </w:rPr>
              <w:t>3.供应商在接到磋商小组的通知后，未在规定的时间内提交最后报价的，按无效响应处理，磋商小组将不再评审该供应商递交的响应文件。</w:t>
            </w:r>
          </w:p>
          <w:p w14:paraId="7B539118">
            <w:pPr>
              <w:pStyle w:val="166"/>
              <w:spacing w:line="360" w:lineRule="auto"/>
              <w:rPr>
                <w:rFonts w:hint="eastAsia" w:hAnsi="宋体" w:cs="宋体"/>
                <w:bCs/>
                <w:color w:val="auto"/>
                <w:szCs w:val="24"/>
              </w:rPr>
            </w:pPr>
            <w:r>
              <w:rPr>
                <w:rFonts w:hint="eastAsia" w:hAnsi="宋体" w:cs="宋体"/>
                <w:bCs/>
                <w:color w:val="auto"/>
              </w:rPr>
              <w:t>报价得分按四舍五入，保留小数点后两位。</w:t>
            </w:r>
          </w:p>
        </w:tc>
      </w:tr>
      <w:tr w14:paraId="12B5E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6" w:hRule="atLeast"/>
        </w:trPr>
        <w:tc>
          <w:tcPr>
            <w:tcW w:w="1384" w:type="dxa"/>
            <w:vMerge w:val="restart"/>
            <w:tcMar>
              <w:top w:w="57" w:type="dxa"/>
              <w:left w:w="57" w:type="dxa"/>
              <w:bottom w:w="57" w:type="dxa"/>
              <w:right w:w="57" w:type="dxa"/>
            </w:tcMar>
            <w:vAlign w:val="center"/>
          </w:tcPr>
          <w:p w14:paraId="1D4BB6A8">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7CAAFEBA">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46FB3283">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2DCD98B1">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4367949E">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77BD54D3">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356C2447">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10B89AED">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151C357D">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763CC982">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150B7CE9">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74C3B3B5">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r>
              <w:rPr>
                <w:rFonts w:hint="eastAsia" w:ascii="宋体" w:hAnsi="宋体" w:cs="宋体"/>
                <w:bCs/>
                <w:kern w:val="0"/>
                <w:sz w:val="24"/>
              </w:rPr>
              <w:t>技术部分</w:t>
            </w:r>
          </w:p>
          <w:p w14:paraId="12D22862">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r>
              <w:rPr>
                <w:rFonts w:hint="eastAsia" w:ascii="宋体" w:hAnsi="宋体" w:cs="宋体"/>
                <w:bCs/>
                <w:kern w:val="0"/>
                <w:sz w:val="24"/>
              </w:rPr>
              <w:t>（35分）</w:t>
            </w:r>
          </w:p>
          <w:p w14:paraId="2363F45F">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4CA29FE7">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15DD2E06">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613B4C22">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3AE497C8">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6E9FAEEB">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7F065059">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30456496">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7130AAE0">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73185227">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071488E6">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39D4943B">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2B476983">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6DA78467">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4E8F5E00">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6D160621">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00F621EB">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7D7FE6A5">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2EC04393">
            <w:pPr>
              <w:autoSpaceDE w:val="0"/>
              <w:autoSpaceDN w:val="0"/>
              <w:adjustRightInd w:val="0"/>
              <w:spacing w:before="50" w:line="360" w:lineRule="auto"/>
              <w:ind w:right="97"/>
              <w:rPr>
                <w:rFonts w:hint="eastAsia" w:ascii="宋体" w:hAnsi="宋体" w:cs="宋体"/>
                <w:bCs/>
                <w:kern w:val="0"/>
                <w:sz w:val="24"/>
              </w:rPr>
            </w:pPr>
          </w:p>
          <w:p w14:paraId="20ED388B">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479EF3AE">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37F7231E">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1F0B05A0">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04E388CB">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28039A08">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p>
          <w:p w14:paraId="2D38E6EB">
            <w:pPr>
              <w:autoSpaceDE w:val="0"/>
              <w:autoSpaceDN w:val="0"/>
              <w:adjustRightInd w:val="0"/>
              <w:spacing w:before="50" w:line="360" w:lineRule="auto"/>
              <w:ind w:right="97"/>
              <w:rPr>
                <w:rFonts w:hint="eastAsia" w:ascii="宋体" w:hAnsi="宋体" w:cs="宋体"/>
                <w:bCs/>
                <w:kern w:val="0"/>
                <w:sz w:val="24"/>
              </w:rPr>
            </w:pPr>
          </w:p>
          <w:p w14:paraId="7AFFA02E">
            <w:pPr>
              <w:autoSpaceDE w:val="0"/>
              <w:autoSpaceDN w:val="0"/>
              <w:adjustRightInd w:val="0"/>
              <w:spacing w:before="50" w:line="360" w:lineRule="auto"/>
              <w:ind w:right="97"/>
              <w:rPr>
                <w:rFonts w:hint="eastAsia" w:ascii="宋体" w:hAnsi="宋体" w:cs="宋体"/>
                <w:bCs/>
                <w:kern w:val="0"/>
                <w:sz w:val="24"/>
              </w:rPr>
            </w:pPr>
          </w:p>
          <w:p w14:paraId="3BB10A9C">
            <w:pPr>
              <w:autoSpaceDE w:val="0"/>
              <w:autoSpaceDN w:val="0"/>
              <w:adjustRightInd w:val="0"/>
              <w:spacing w:before="50" w:line="360" w:lineRule="auto"/>
              <w:ind w:right="97"/>
              <w:rPr>
                <w:rFonts w:hint="eastAsia" w:ascii="宋体" w:hAnsi="宋体" w:cs="宋体"/>
                <w:bCs/>
                <w:kern w:val="0"/>
                <w:sz w:val="24"/>
              </w:rPr>
            </w:pPr>
          </w:p>
          <w:p w14:paraId="11F0CCEE">
            <w:pPr>
              <w:autoSpaceDE w:val="0"/>
              <w:autoSpaceDN w:val="0"/>
              <w:adjustRightInd w:val="0"/>
              <w:spacing w:before="50" w:line="360" w:lineRule="auto"/>
              <w:ind w:right="97"/>
              <w:rPr>
                <w:rFonts w:hint="eastAsia" w:ascii="宋体" w:hAnsi="宋体" w:cs="宋体"/>
                <w:bCs/>
                <w:kern w:val="0"/>
                <w:sz w:val="24"/>
              </w:rPr>
            </w:pPr>
          </w:p>
          <w:p w14:paraId="5DF27A29">
            <w:pPr>
              <w:autoSpaceDE w:val="0"/>
              <w:autoSpaceDN w:val="0"/>
              <w:adjustRightInd w:val="0"/>
              <w:spacing w:before="50" w:line="360" w:lineRule="auto"/>
              <w:ind w:right="97"/>
              <w:rPr>
                <w:rFonts w:hint="eastAsia" w:ascii="宋体" w:hAnsi="宋体" w:cs="宋体"/>
                <w:bCs/>
                <w:kern w:val="0"/>
                <w:sz w:val="24"/>
              </w:rPr>
            </w:pPr>
          </w:p>
        </w:tc>
        <w:tc>
          <w:tcPr>
            <w:tcW w:w="1370" w:type="dxa"/>
            <w:vMerge w:val="restart"/>
            <w:tcMar>
              <w:top w:w="57" w:type="dxa"/>
              <w:left w:w="57" w:type="dxa"/>
              <w:bottom w:w="57" w:type="dxa"/>
              <w:right w:w="57" w:type="dxa"/>
            </w:tcMar>
            <w:vAlign w:val="center"/>
          </w:tcPr>
          <w:p w14:paraId="3A455D79">
            <w:pPr>
              <w:spacing w:line="360" w:lineRule="auto"/>
              <w:jc w:val="center"/>
              <w:rPr>
                <w:rFonts w:hint="eastAsia" w:ascii="宋体" w:hAnsi="宋体" w:cs="宋体"/>
                <w:bCs/>
                <w:kern w:val="0"/>
                <w:sz w:val="24"/>
              </w:rPr>
            </w:pPr>
          </w:p>
          <w:p w14:paraId="121FB7FD">
            <w:pPr>
              <w:spacing w:line="360" w:lineRule="auto"/>
              <w:jc w:val="center"/>
              <w:rPr>
                <w:rFonts w:hint="eastAsia" w:ascii="宋体" w:hAnsi="宋体" w:cs="宋体"/>
                <w:bCs/>
                <w:kern w:val="0"/>
                <w:sz w:val="24"/>
              </w:rPr>
            </w:pPr>
            <w:r>
              <w:rPr>
                <w:rFonts w:hint="eastAsia" w:ascii="宋体" w:hAnsi="宋体" w:cs="宋体"/>
                <w:bCs/>
                <w:kern w:val="0"/>
                <w:sz w:val="24"/>
              </w:rPr>
              <w:t>施工组织设计（35分）</w:t>
            </w:r>
          </w:p>
        </w:tc>
        <w:tc>
          <w:tcPr>
            <w:tcW w:w="6847" w:type="dxa"/>
            <w:tcMar>
              <w:top w:w="57" w:type="dxa"/>
              <w:left w:w="57" w:type="dxa"/>
              <w:bottom w:w="57" w:type="dxa"/>
              <w:right w:w="57" w:type="dxa"/>
            </w:tcMar>
            <w:vAlign w:val="center"/>
          </w:tcPr>
          <w:p w14:paraId="65E20DE5">
            <w:pPr>
              <w:pStyle w:val="166"/>
              <w:spacing w:line="360" w:lineRule="auto"/>
              <w:rPr>
                <w:rFonts w:hint="eastAsia" w:hAnsi="宋体" w:cs="宋体"/>
                <w:b/>
                <w:color w:val="auto"/>
                <w:szCs w:val="24"/>
              </w:rPr>
            </w:pPr>
            <w:r>
              <w:rPr>
                <w:rFonts w:hint="eastAsia" w:hAnsi="宋体" w:cs="宋体"/>
                <w:b/>
                <w:color w:val="auto"/>
                <w:szCs w:val="24"/>
              </w:rPr>
              <w:t>主要施工方案与技术措施（6分）</w:t>
            </w:r>
          </w:p>
          <w:p w14:paraId="2C3BF1BE">
            <w:pPr>
              <w:spacing w:before="48" w:after="48" w:line="360" w:lineRule="auto"/>
              <w:jc w:val="left"/>
              <w:rPr>
                <w:rFonts w:hint="eastAsia" w:ascii="宋体" w:hAnsi="宋体" w:cs="宋体"/>
                <w:bCs/>
                <w:sz w:val="24"/>
              </w:rPr>
            </w:pPr>
            <w:r>
              <w:rPr>
                <w:rFonts w:hint="eastAsia" w:ascii="宋体" w:hAnsi="宋体" w:cs="宋体"/>
                <w:bCs/>
                <w:sz w:val="24"/>
              </w:rPr>
              <w:t>本项评审因素需要包含的具体内容有①工程特点、②施工重点与难点、③结构加固专向施工方案、④施工工艺、⑤施工机械、⑥进场施工机械配置。</w:t>
            </w:r>
            <w:r>
              <w:rPr>
                <w:rFonts w:ascii="宋体" w:hAnsi="宋体" w:cs="宋体"/>
                <w:sz w:val="24"/>
              </w:rPr>
              <w:t>包括以上</w:t>
            </w:r>
            <w:r>
              <w:rPr>
                <w:rFonts w:hint="eastAsia" w:ascii="宋体" w:hAnsi="宋体" w:cs="宋体"/>
                <w:sz w:val="24"/>
              </w:rPr>
              <w:t>6</w:t>
            </w:r>
            <w:r>
              <w:rPr>
                <w:rFonts w:ascii="宋体" w:hAnsi="宋体" w:cs="宋体"/>
                <w:sz w:val="24"/>
              </w:rPr>
              <w:t>项内容的得</w:t>
            </w:r>
            <w:r>
              <w:rPr>
                <w:rFonts w:hint="eastAsia" w:ascii="宋体" w:hAnsi="宋体" w:cs="宋体"/>
                <w:sz w:val="24"/>
              </w:rPr>
              <w:t>6</w:t>
            </w:r>
            <w:r>
              <w:rPr>
                <w:rFonts w:ascii="宋体" w:hAnsi="宋体" w:cs="宋体"/>
                <w:sz w:val="24"/>
              </w:rPr>
              <w:t>分，每缺少一项内容扣</w:t>
            </w:r>
            <w:r>
              <w:rPr>
                <w:rFonts w:hint="eastAsia" w:ascii="宋体" w:hAnsi="宋体" w:cs="宋体"/>
                <w:sz w:val="24"/>
              </w:rPr>
              <w:t>1</w:t>
            </w:r>
            <w:r>
              <w:rPr>
                <w:rFonts w:ascii="宋体" w:hAnsi="宋体" w:cs="宋体"/>
                <w:sz w:val="24"/>
              </w:rPr>
              <w:t>分；单项内容中存在</w:t>
            </w:r>
            <w:r>
              <w:rPr>
                <w:rFonts w:hint="eastAsia" w:ascii="宋体" w:hAnsi="宋体" w:cs="宋体"/>
                <w:sz w:val="24"/>
              </w:rPr>
              <w:t>缺陷</w:t>
            </w:r>
            <w:r>
              <w:rPr>
                <w:rFonts w:ascii="宋体" w:hAnsi="宋体" w:cs="宋体"/>
                <w:sz w:val="24"/>
              </w:rPr>
              <w:t>的，每有一处扣</w:t>
            </w:r>
            <w:r>
              <w:rPr>
                <w:rFonts w:hint="eastAsia" w:ascii="宋体" w:hAnsi="宋体" w:cs="宋体"/>
                <w:sz w:val="24"/>
              </w:rPr>
              <w:t>0.</w:t>
            </w:r>
            <w:r>
              <w:rPr>
                <w:rFonts w:ascii="宋体" w:hAnsi="宋体" w:cs="宋体"/>
                <w:sz w:val="24"/>
              </w:rPr>
              <w:t>5分，单项最多扣</w:t>
            </w:r>
            <w:r>
              <w:rPr>
                <w:rFonts w:hint="eastAsia" w:ascii="宋体" w:hAnsi="宋体" w:cs="宋体"/>
                <w:sz w:val="24"/>
              </w:rPr>
              <w:t>1</w:t>
            </w:r>
            <w:r>
              <w:rPr>
                <w:rFonts w:ascii="宋体" w:hAnsi="宋体" w:cs="宋体"/>
                <w:sz w:val="24"/>
              </w:rPr>
              <w:t>分，扣完为止。</w:t>
            </w:r>
          </w:p>
        </w:tc>
      </w:tr>
      <w:tr w14:paraId="7AF02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384" w:type="dxa"/>
            <w:vMerge w:val="continue"/>
            <w:tcMar>
              <w:top w:w="57" w:type="dxa"/>
              <w:left w:w="57" w:type="dxa"/>
              <w:bottom w:w="57" w:type="dxa"/>
              <w:right w:w="57" w:type="dxa"/>
            </w:tcMar>
            <w:vAlign w:val="center"/>
          </w:tcPr>
          <w:p w14:paraId="66823125">
            <w:pPr>
              <w:autoSpaceDE w:val="0"/>
              <w:autoSpaceDN w:val="0"/>
              <w:adjustRightInd w:val="0"/>
              <w:spacing w:before="50" w:line="360" w:lineRule="auto"/>
              <w:ind w:left="59" w:leftChars="28" w:right="97" w:firstLine="4" w:firstLineChars="2"/>
              <w:rPr>
                <w:rFonts w:hint="eastAsia" w:ascii="宋体" w:hAnsi="宋体" w:cs="宋体"/>
                <w:bCs/>
                <w:kern w:val="0"/>
                <w:sz w:val="24"/>
              </w:rPr>
            </w:pPr>
          </w:p>
        </w:tc>
        <w:tc>
          <w:tcPr>
            <w:tcW w:w="1370" w:type="dxa"/>
            <w:vMerge w:val="continue"/>
            <w:tcMar>
              <w:top w:w="57" w:type="dxa"/>
              <w:left w:w="57" w:type="dxa"/>
              <w:bottom w:w="57" w:type="dxa"/>
              <w:right w:w="57" w:type="dxa"/>
            </w:tcMar>
            <w:vAlign w:val="center"/>
          </w:tcPr>
          <w:p w14:paraId="2BA444DD">
            <w:pPr>
              <w:spacing w:line="360" w:lineRule="auto"/>
              <w:jc w:val="center"/>
              <w:rPr>
                <w:rFonts w:hint="eastAsia" w:ascii="宋体" w:hAnsi="宋体" w:cs="宋体"/>
                <w:bCs/>
                <w:kern w:val="0"/>
                <w:sz w:val="24"/>
              </w:rPr>
            </w:pPr>
          </w:p>
        </w:tc>
        <w:tc>
          <w:tcPr>
            <w:tcW w:w="6847" w:type="dxa"/>
            <w:tcMar>
              <w:top w:w="57" w:type="dxa"/>
              <w:left w:w="57" w:type="dxa"/>
              <w:bottom w:w="57" w:type="dxa"/>
              <w:right w:w="57" w:type="dxa"/>
            </w:tcMar>
            <w:vAlign w:val="center"/>
          </w:tcPr>
          <w:p w14:paraId="57F2A5C1">
            <w:pPr>
              <w:pStyle w:val="166"/>
              <w:spacing w:line="360" w:lineRule="auto"/>
              <w:rPr>
                <w:rFonts w:hint="eastAsia" w:hAnsi="宋体" w:cs="宋体"/>
                <w:bCs/>
                <w:color w:val="auto"/>
                <w:szCs w:val="24"/>
              </w:rPr>
            </w:pPr>
            <w:r>
              <w:rPr>
                <w:rFonts w:hint="eastAsia" w:hAnsi="宋体" w:cs="宋体"/>
                <w:b/>
                <w:color w:val="auto"/>
                <w:szCs w:val="24"/>
              </w:rPr>
              <w:t>质量管理体系与措施（9分）</w:t>
            </w:r>
          </w:p>
          <w:p w14:paraId="12CDC44B">
            <w:pPr>
              <w:spacing w:before="48" w:after="48" w:line="360" w:lineRule="auto"/>
              <w:jc w:val="left"/>
            </w:pPr>
            <w:r>
              <w:rPr>
                <w:rFonts w:hint="eastAsia" w:ascii="宋体" w:hAnsi="宋体" w:cs="宋体"/>
                <w:bCs/>
                <w:sz w:val="24"/>
              </w:rPr>
              <w:t>本项评审因素需要包含的具体内容有①组织机构、②指挥系统、③质量监控系统、④联络协调系统、⑤质量管理体系、⑥施工技术标准、⑦施工质量检验制度、⑧综合施工质量水平评定考核制度、⑨施工措施。</w:t>
            </w:r>
            <w:r>
              <w:rPr>
                <w:rFonts w:ascii="宋体" w:hAnsi="宋体" w:cs="宋体"/>
                <w:sz w:val="24"/>
              </w:rPr>
              <w:t>包括以上</w:t>
            </w:r>
            <w:r>
              <w:rPr>
                <w:rFonts w:hint="eastAsia" w:ascii="宋体" w:hAnsi="宋体" w:cs="宋体"/>
                <w:sz w:val="24"/>
              </w:rPr>
              <w:t>9</w:t>
            </w:r>
            <w:r>
              <w:rPr>
                <w:rFonts w:ascii="宋体" w:hAnsi="宋体" w:cs="宋体"/>
                <w:sz w:val="24"/>
              </w:rPr>
              <w:t>项内容的得</w:t>
            </w:r>
            <w:r>
              <w:rPr>
                <w:rFonts w:hint="eastAsia" w:ascii="宋体" w:hAnsi="宋体" w:cs="宋体"/>
                <w:sz w:val="24"/>
              </w:rPr>
              <w:t>9</w:t>
            </w:r>
            <w:r>
              <w:rPr>
                <w:rFonts w:ascii="宋体" w:hAnsi="宋体" w:cs="宋体"/>
                <w:sz w:val="24"/>
              </w:rPr>
              <w:t>分，每缺少一项内容扣</w:t>
            </w:r>
            <w:r>
              <w:rPr>
                <w:rFonts w:hint="eastAsia" w:ascii="宋体" w:hAnsi="宋体" w:cs="宋体"/>
                <w:sz w:val="24"/>
              </w:rPr>
              <w:t>1</w:t>
            </w:r>
            <w:r>
              <w:rPr>
                <w:rFonts w:ascii="宋体" w:hAnsi="宋体" w:cs="宋体"/>
                <w:sz w:val="24"/>
              </w:rPr>
              <w:t>分；单项内容中存在</w:t>
            </w:r>
            <w:r>
              <w:rPr>
                <w:rFonts w:hint="eastAsia" w:ascii="宋体" w:hAnsi="宋体" w:cs="宋体"/>
                <w:sz w:val="24"/>
              </w:rPr>
              <w:t>缺陷</w:t>
            </w:r>
            <w:r>
              <w:rPr>
                <w:rFonts w:ascii="宋体" w:hAnsi="宋体" w:cs="宋体"/>
                <w:sz w:val="24"/>
              </w:rPr>
              <w:t>的，每有一处扣</w:t>
            </w:r>
            <w:r>
              <w:rPr>
                <w:rFonts w:hint="eastAsia" w:ascii="宋体" w:hAnsi="宋体" w:cs="宋体"/>
                <w:sz w:val="24"/>
              </w:rPr>
              <w:t>0.</w:t>
            </w:r>
            <w:r>
              <w:rPr>
                <w:rFonts w:ascii="宋体" w:hAnsi="宋体" w:cs="宋体"/>
                <w:sz w:val="24"/>
              </w:rPr>
              <w:t>5分，单项最多扣</w:t>
            </w:r>
            <w:r>
              <w:rPr>
                <w:rFonts w:hint="eastAsia" w:ascii="宋体" w:hAnsi="宋体" w:cs="宋体"/>
                <w:sz w:val="24"/>
              </w:rPr>
              <w:t>1</w:t>
            </w:r>
            <w:r>
              <w:rPr>
                <w:rFonts w:ascii="宋体" w:hAnsi="宋体" w:cs="宋体"/>
                <w:sz w:val="24"/>
              </w:rPr>
              <w:t>分，扣完为止。</w:t>
            </w:r>
          </w:p>
        </w:tc>
      </w:tr>
      <w:tr w14:paraId="3B13D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1" w:hRule="atLeast"/>
        </w:trPr>
        <w:tc>
          <w:tcPr>
            <w:tcW w:w="1384" w:type="dxa"/>
            <w:vMerge w:val="continue"/>
            <w:tcMar>
              <w:top w:w="57" w:type="dxa"/>
              <w:left w:w="57" w:type="dxa"/>
              <w:bottom w:w="57" w:type="dxa"/>
              <w:right w:w="57" w:type="dxa"/>
            </w:tcMar>
            <w:vAlign w:val="center"/>
          </w:tcPr>
          <w:p w14:paraId="6A6CF6FD">
            <w:pPr>
              <w:autoSpaceDE w:val="0"/>
              <w:autoSpaceDN w:val="0"/>
              <w:adjustRightInd w:val="0"/>
              <w:spacing w:before="50" w:line="360" w:lineRule="auto"/>
              <w:ind w:left="59" w:leftChars="28" w:right="97" w:firstLine="4" w:firstLineChars="2"/>
              <w:rPr>
                <w:rFonts w:hint="eastAsia" w:ascii="宋体" w:hAnsi="宋体" w:cs="宋体"/>
                <w:bCs/>
                <w:kern w:val="0"/>
                <w:sz w:val="24"/>
              </w:rPr>
            </w:pPr>
          </w:p>
        </w:tc>
        <w:tc>
          <w:tcPr>
            <w:tcW w:w="1370" w:type="dxa"/>
            <w:vMerge w:val="continue"/>
            <w:tcMar>
              <w:top w:w="57" w:type="dxa"/>
              <w:left w:w="57" w:type="dxa"/>
              <w:bottom w:w="57" w:type="dxa"/>
              <w:right w:w="57" w:type="dxa"/>
            </w:tcMar>
            <w:vAlign w:val="center"/>
          </w:tcPr>
          <w:p w14:paraId="714C3288">
            <w:pPr>
              <w:spacing w:line="360" w:lineRule="auto"/>
              <w:jc w:val="center"/>
              <w:rPr>
                <w:rFonts w:hint="eastAsia" w:ascii="宋体" w:hAnsi="宋体" w:cs="宋体"/>
                <w:bCs/>
                <w:kern w:val="0"/>
                <w:sz w:val="24"/>
              </w:rPr>
            </w:pPr>
          </w:p>
        </w:tc>
        <w:tc>
          <w:tcPr>
            <w:tcW w:w="6847" w:type="dxa"/>
            <w:tcMar>
              <w:top w:w="57" w:type="dxa"/>
              <w:left w:w="57" w:type="dxa"/>
              <w:bottom w:w="57" w:type="dxa"/>
              <w:right w:w="57" w:type="dxa"/>
            </w:tcMar>
            <w:vAlign w:val="center"/>
          </w:tcPr>
          <w:p w14:paraId="133B7775">
            <w:pPr>
              <w:pStyle w:val="166"/>
              <w:spacing w:line="360" w:lineRule="auto"/>
              <w:rPr>
                <w:rFonts w:hint="eastAsia" w:hAnsi="宋体" w:cs="宋体"/>
                <w:b/>
                <w:color w:val="auto"/>
                <w:szCs w:val="24"/>
              </w:rPr>
            </w:pPr>
            <w:r>
              <w:rPr>
                <w:rFonts w:hint="eastAsia" w:hAnsi="宋体" w:cs="宋体"/>
                <w:b/>
                <w:color w:val="auto"/>
                <w:szCs w:val="24"/>
              </w:rPr>
              <w:t>安全管理体系与措施（6分）</w:t>
            </w:r>
          </w:p>
          <w:p w14:paraId="6B627448">
            <w:pPr>
              <w:spacing w:before="48" w:after="48" w:line="360" w:lineRule="auto"/>
              <w:rPr>
                <w:rFonts w:hint="eastAsia" w:hAnsi="宋体" w:cs="宋体"/>
                <w:bCs/>
              </w:rPr>
            </w:pPr>
            <w:r>
              <w:rPr>
                <w:rFonts w:hint="eastAsia" w:ascii="宋体" w:hAnsi="宋体" w:cs="宋体"/>
                <w:bCs/>
                <w:sz w:val="24"/>
              </w:rPr>
              <w:t>本项评审因素需要包含的具体内容有①安全生产保障体系、②安全管理制度、③安全管理目标、④全员安全责任制、⑤现场安全管理组织机构、⑥人员配备。包括以上6项内容的得6分，每缺少一项内容扣1分；单项内容中存在缺陷的，每有一处扣0.5分，单项最多扣1分，扣完为止。</w:t>
            </w:r>
          </w:p>
        </w:tc>
      </w:tr>
      <w:tr w14:paraId="3F4CB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1" w:hRule="atLeast"/>
        </w:trPr>
        <w:tc>
          <w:tcPr>
            <w:tcW w:w="1384" w:type="dxa"/>
            <w:vMerge w:val="continue"/>
            <w:tcMar>
              <w:top w:w="57" w:type="dxa"/>
              <w:left w:w="57" w:type="dxa"/>
              <w:bottom w:w="57" w:type="dxa"/>
              <w:right w:w="57" w:type="dxa"/>
            </w:tcMar>
            <w:vAlign w:val="center"/>
          </w:tcPr>
          <w:p w14:paraId="0259630A">
            <w:pPr>
              <w:autoSpaceDE w:val="0"/>
              <w:autoSpaceDN w:val="0"/>
              <w:adjustRightInd w:val="0"/>
              <w:spacing w:before="50" w:line="360" w:lineRule="auto"/>
              <w:ind w:left="59" w:leftChars="28" w:right="97" w:firstLine="4" w:firstLineChars="2"/>
              <w:rPr>
                <w:rFonts w:hint="eastAsia" w:ascii="宋体" w:hAnsi="宋体" w:cs="宋体"/>
                <w:bCs/>
                <w:kern w:val="0"/>
                <w:sz w:val="24"/>
              </w:rPr>
            </w:pPr>
          </w:p>
        </w:tc>
        <w:tc>
          <w:tcPr>
            <w:tcW w:w="1370" w:type="dxa"/>
            <w:vMerge w:val="continue"/>
            <w:tcMar>
              <w:top w:w="57" w:type="dxa"/>
              <w:left w:w="57" w:type="dxa"/>
              <w:bottom w:w="57" w:type="dxa"/>
              <w:right w:w="57" w:type="dxa"/>
            </w:tcMar>
            <w:vAlign w:val="center"/>
          </w:tcPr>
          <w:p w14:paraId="3A391EF2">
            <w:pPr>
              <w:spacing w:line="360" w:lineRule="auto"/>
              <w:jc w:val="center"/>
              <w:rPr>
                <w:rFonts w:hint="eastAsia" w:ascii="宋体" w:hAnsi="宋体" w:cs="宋体"/>
                <w:bCs/>
                <w:kern w:val="0"/>
                <w:sz w:val="24"/>
              </w:rPr>
            </w:pPr>
          </w:p>
        </w:tc>
        <w:tc>
          <w:tcPr>
            <w:tcW w:w="6847" w:type="dxa"/>
            <w:tcMar>
              <w:top w:w="57" w:type="dxa"/>
              <w:left w:w="57" w:type="dxa"/>
              <w:bottom w:w="57" w:type="dxa"/>
              <w:right w:w="57" w:type="dxa"/>
            </w:tcMar>
            <w:vAlign w:val="center"/>
          </w:tcPr>
          <w:p w14:paraId="3C64F91E">
            <w:pPr>
              <w:spacing w:before="48" w:after="48" w:line="360" w:lineRule="auto"/>
              <w:rPr>
                <w:rFonts w:hint="eastAsia" w:ascii="宋体" w:hAnsi="宋体" w:cs="宋体"/>
                <w:b/>
                <w:sz w:val="24"/>
              </w:rPr>
            </w:pPr>
            <w:r>
              <w:rPr>
                <w:rFonts w:hint="eastAsia" w:ascii="宋体" w:hAnsi="宋体" w:cs="宋体"/>
                <w:b/>
                <w:sz w:val="24"/>
              </w:rPr>
              <w:t>施工材料（3分）</w:t>
            </w:r>
          </w:p>
          <w:p w14:paraId="08B5BE28">
            <w:pPr>
              <w:spacing w:before="48" w:after="48" w:line="360" w:lineRule="auto"/>
              <w:rPr>
                <w:rFonts w:hint="eastAsia" w:hAnsi="宋体" w:cs="宋体"/>
                <w:bCs/>
              </w:rPr>
            </w:pPr>
            <w:r>
              <w:rPr>
                <w:rFonts w:hint="eastAsia" w:ascii="宋体" w:hAnsi="宋体" w:cs="宋体"/>
                <w:bCs/>
                <w:sz w:val="24"/>
              </w:rPr>
              <w:t>本项评审因素需要包含的具体内容有①拟采用的所有材料需满足采购人有关主材（材料）要求、②提供材料质量、性能等特点描述、③正规品质厂商生产的合格产品的材料清单。包括以上3项内容的得3分，每缺少一项内容扣1分；单项内容中存在缺陷的，每有一处扣0.5分，单项最多扣1分，扣完为止。</w:t>
            </w:r>
          </w:p>
        </w:tc>
      </w:tr>
      <w:tr w14:paraId="3B128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1" w:hRule="atLeast"/>
        </w:trPr>
        <w:tc>
          <w:tcPr>
            <w:tcW w:w="1384" w:type="dxa"/>
            <w:vMerge w:val="continue"/>
            <w:tcMar>
              <w:top w:w="57" w:type="dxa"/>
              <w:left w:w="57" w:type="dxa"/>
              <w:bottom w:w="57" w:type="dxa"/>
              <w:right w:w="57" w:type="dxa"/>
            </w:tcMar>
            <w:vAlign w:val="center"/>
          </w:tcPr>
          <w:p w14:paraId="7D449602">
            <w:pPr>
              <w:autoSpaceDE w:val="0"/>
              <w:autoSpaceDN w:val="0"/>
              <w:adjustRightInd w:val="0"/>
              <w:spacing w:before="50" w:line="360" w:lineRule="auto"/>
              <w:ind w:left="59" w:leftChars="28" w:right="97" w:firstLine="4" w:firstLineChars="2"/>
              <w:rPr>
                <w:rFonts w:hint="eastAsia" w:ascii="宋体" w:hAnsi="宋体" w:cs="宋体"/>
                <w:bCs/>
                <w:kern w:val="0"/>
                <w:sz w:val="24"/>
              </w:rPr>
            </w:pPr>
          </w:p>
        </w:tc>
        <w:tc>
          <w:tcPr>
            <w:tcW w:w="1370" w:type="dxa"/>
            <w:vMerge w:val="continue"/>
            <w:tcMar>
              <w:top w:w="57" w:type="dxa"/>
              <w:left w:w="57" w:type="dxa"/>
              <w:bottom w:w="57" w:type="dxa"/>
              <w:right w:w="57" w:type="dxa"/>
            </w:tcMar>
            <w:vAlign w:val="center"/>
          </w:tcPr>
          <w:p w14:paraId="4B3BBE1E">
            <w:pPr>
              <w:spacing w:line="360" w:lineRule="auto"/>
              <w:jc w:val="center"/>
              <w:rPr>
                <w:rFonts w:hint="eastAsia" w:ascii="宋体" w:hAnsi="宋体" w:cs="宋体"/>
                <w:bCs/>
                <w:kern w:val="0"/>
                <w:sz w:val="24"/>
              </w:rPr>
            </w:pPr>
          </w:p>
        </w:tc>
        <w:tc>
          <w:tcPr>
            <w:tcW w:w="6847" w:type="dxa"/>
            <w:tcMar>
              <w:top w:w="57" w:type="dxa"/>
              <w:left w:w="57" w:type="dxa"/>
              <w:bottom w:w="57" w:type="dxa"/>
              <w:right w:w="57" w:type="dxa"/>
            </w:tcMar>
            <w:vAlign w:val="center"/>
          </w:tcPr>
          <w:p w14:paraId="4DF9543F">
            <w:pPr>
              <w:pStyle w:val="166"/>
              <w:spacing w:line="360" w:lineRule="auto"/>
              <w:rPr>
                <w:rFonts w:hint="eastAsia" w:hAnsi="宋体" w:cs="宋体"/>
                <w:b/>
                <w:color w:val="auto"/>
                <w:szCs w:val="24"/>
              </w:rPr>
            </w:pPr>
            <w:r>
              <w:rPr>
                <w:rFonts w:hint="eastAsia" w:hAnsi="宋体" w:cs="宋体"/>
                <w:b/>
                <w:color w:val="auto"/>
                <w:szCs w:val="24"/>
              </w:rPr>
              <w:t>工程进度计划与措施（3分）</w:t>
            </w:r>
          </w:p>
          <w:p w14:paraId="7121DC6F">
            <w:pPr>
              <w:pStyle w:val="166"/>
              <w:spacing w:line="360" w:lineRule="auto"/>
              <w:rPr>
                <w:rFonts w:hint="eastAsia" w:hAnsi="宋体" w:cs="宋体"/>
                <w:bCs/>
                <w:color w:val="auto"/>
              </w:rPr>
            </w:pPr>
            <w:r>
              <w:rPr>
                <w:rFonts w:hint="eastAsia" w:hAnsi="宋体" w:cs="宋体"/>
                <w:bCs/>
                <w:color w:val="auto"/>
                <w:szCs w:val="24"/>
              </w:rPr>
              <w:t>本项评审因素需要包含的具体内容有①施工进度计划图；②针对可能影响进度的因素提出具体保障措施；③进度滞后纠偏机制。包括以上3项内容的得3分，每缺少一项内容扣1分；单项内容中存在缺陷的，每有一处扣0.5分，单项最多扣1分，扣完为止。</w:t>
            </w:r>
          </w:p>
        </w:tc>
      </w:tr>
      <w:tr w14:paraId="51326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1" w:hRule="atLeast"/>
        </w:trPr>
        <w:tc>
          <w:tcPr>
            <w:tcW w:w="1384" w:type="dxa"/>
            <w:vMerge w:val="continue"/>
            <w:tcMar>
              <w:top w:w="57" w:type="dxa"/>
              <w:left w:w="57" w:type="dxa"/>
              <w:bottom w:w="57" w:type="dxa"/>
              <w:right w:w="57" w:type="dxa"/>
            </w:tcMar>
            <w:vAlign w:val="center"/>
          </w:tcPr>
          <w:p w14:paraId="521AE0FA">
            <w:pPr>
              <w:autoSpaceDE w:val="0"/>
              <w:autoSpaceDN w:val="0"/>
              <w:adjustRightInd w:val="0"/>
              <w:spacing w:before="50" w:line="360" w:lineRule="auto"/>
              <w:ind w:left="59" w:leftChars="28" w:right="97" w:firstLine="4" w:firstLineChars="2"/>
              <w:rPr>
                <w:rFonts w:hint="eastAsia" w:ascii="宋体" w:hAnsi="宋体" w:cs="宋体"/>
                <w:bCs/>
                <w:kern w:val="0"/>
                <w:sz w:val="24"/>
              </w:rPr>
            </w:pPr>
          </w:p>
        </w:tc>
        <w:tc>
          <w:tcPr>
            <w:tcW w:w="1370" w:type="dxa"/>
            <w:vMerge w:val="continue"/>
            <w:tcMar>
              <w:top w:w="57" w:type="dxa"/>
              <w:left w:w="57" w:type="dxa"/>
              <w:bottom w:w="57" w:type="dxa"/>
              <w:right w:w="57" w:type="dxa"/>
            </w:tcMar>
            <w:vAlign w:val="center"/>
          </w:tcPr>
          <w:p w14:paraId="6C35CA35">
            <w:pPr>
              <w:spacing w:line="360" w:lineRule="auto"/>
              <w:jc w:val="center"/>
              <w:rPr>
                <w:rFonts w:hint="eastAsia" w:ascii="宋体" w:hAnsi="宋体" w:cs="宋体"/>
                <w:bCs/>
                <w:kern w:val="0"/>
                <w:sz w:val="24"/>
              </w:rPr>
            </w:pPr>
          </w:p>
        </w:tc>
        <w:tc>
          <w:tcPr>
            <w:tcW w:w="6847" w:type="dxa"/>
            <w:tcMar>
              <w:top w:w="57" w:type="dxa"/>
              <w:left w:w="57" w:type="dxa"/>
              <w:bottom w:w="57" w:type="dxa"/>
              <w:right w:w="57" w:type="dxa"/>
            </w:tcMar>
            <w:vAlign w:val="center"/>
          </w:tcPr>
          <w:p w14:paraId="669B48F7">
            <w:pPr>
              <w:pStyle w:val="166"/>
              <w:spacing w:line="360" w:lineRule="auto"/>
              <w:rPr>
                <w:rFonts w:hint="eastAsia" w:hAnsi="宋体" w:cs="宋体"/>
                <w:b/>
                <w:color w:val="auto"/>
                <w:szCs w:val="24"/>
              </w:rPr>
            </w:pPr>
            <w:r>
              <w:rPr>
                <w:rFonts w:hint="eastAsia" w:hAnsi="宋体" w:cs="宋体"/>
                <w:b/>
                <w:color w:val="auto"/>
                <w:szCs w:val="24"/>
              </w:rPr>
              <w:t>文明施工、环境保护管理体系及施工现场扬尘治理措施（3分）</w:t>
            </w:r>
          </w:p>
          <w:p w14:paraId="6E4B135B">
            <w:pPr>
              <w:pStyle w:val="166"/>
              <w:spacing w:line="360" w:lineRule="auto"/>
              <w:rPr>
                <w:rFonts w:hint="eastAsia" w:hAnsi="宋体" w:cs="宋体"/>
                <w:bCs/>
                <w:color w:val="auto"/>
                <w:szCs w:val="24"/>
              </w:rPr>
            </w:pPr>
            <w:bookmarkStart w:id="473" w:name="OLE_LINK374"/>
            <w:bookmarkStart w:id="474" w:name="OLE_LINK327"/>
            <w:bookmarkStart w:id="475" w:name="OLE_LINK321"/>
            <w:r>
              <w:rPr>
                <w:rFonts w:hint="eastAsia" w:hAnsi="宋体" w:cs="宋体"/>
                <w:bCs/>
                <w:color w:val="auto"/>
              </w:rPr>
              <w:t>本项评审因素需要包含的具体内容有①</w:t>
            </w:r>
            <w:r>
              <w:rPr>
                <w:rFonts w:hint="eastAsia" w:hAnsi="宋体" w:cs="宋体"/>
                <w:bCs/>
                <w:color w:val="auto"/>
                <w:szCs w:val="24"/>
              </w:rPr>
              <w:t>施工总平面图布置</w:t>
            </w:r>
            <w:r>
              <w:rPr>
                <w:rFonts w:hint="eastAsia" w:hAnsi="宋体" w:cs="宋体"/>
                <w:bCs/>
                <w:color w:val="auto"/>
              </w:rPr>
              <w:t>、②</w:t>
            </w:r>
            <w:r>
              <w:rPr>
                <w:rFonts w:hint="eastAsia" w:hAnsi="宋体" w:cs="宋体"/>
                <w:bCs/>
                <w:color w:val="auto"/>
                <w:szCs w:val="24"/>
              </w:rPr>
              <w:t>现场施工区、生活区、办公区等设置</w:t>
            </w:r>
            <w:r>
              <w:rPr>
                <w:rFonts w:hint="eastAsia" w:hAnsi="宋体" w:cs="宋体"/>
                <w:bCs/>
                <w:color w:val="auto"/>
              </w:rPr>
              <w:t>、③</w:t>
            </w:r>
            <w:r>
              <w:rPr>
                <w:rFonts w:hint="eastAsia" w:hAnsi="宋体" w:cs="宋体"/>
                <w:bCs/>
                <w:color w:val="auto"/>
                <w:szCs w:val="24"/>
              </w:rPr>
              <w:t>施工现场扬尘治理方案措施</w:t>
            </w:r>
            <w:r>
              <w:rPr>
                <w:rFonts w:hint="eastAsia" w:hAnsi="宋体" w:cs="宋体"/>
                <w:bCs/>
                <w:color w:val="auto"/>
              </w:rPr>
              <w:t>。包括以上3项内容的得3分，每缺少一项内容扣1分；单项内容中存在缺陷的，每有一处扣0.5分，单项最多扣1分，扣完为止。</w:t>
            </w:r>
            <w:bookmarkEnd w:id="473"/>
            <w:bookmarkEnd w:id="474"/>
            <w:bookmarkEnd w:id="475"/>
          </w:p>
        </w:tc>
      </w:tr>
      <w:tr w14:paraId="26B2F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384" w:type="dxa"/>
            <w:vMerge w:val="continue"/>
            <w:tcMar>
              <w:top w:w="57" w:type="dxa"/>
              <w:left w:w="57" w:type="dxa"/>
              <w:bottom w:w="57" w:type="dxa"/>
              <w:right w:w="57" w:type="dxa"/>
            </w:tcMar>
            <w:vAlign w:val="center"/>
          </w:tcPr>
          <w:p w14:paraId="1662D28B">
            <w:pPr>
              <w:autoSpaceDE w:val="0"/>
              <w:autoSpaceDN w:val="0"/>
              <w:adjustRightInd w:val="0"/>
              <w:spacing w:before="50" w:line="360" w:lineRule="auto"/>
              <w:ind w:left="59" w:leftChars="28" w:right="97" w:firstLine="4" w:firstLineChars="2"/>
              <w:rPr>
                <w:rFonts w:hint="eastAsia" w:ascii="宋体" w:hAnsi="宋体" w:cs="宋体"/>
                <w:bCs/>
                <w:kern w:val="0"/>
                <w:sz w:val="24"/>
              </w:rPr>
            </w:pPr>
          </w:p>
        </w:tc>
        <w:tc>
          <w:tcPr>
            <w:tcW w:w="1370" w:type="dxa"/>
            <w:vMerge w:val="continue"/>
            <w:tcMar>
              <w:top w:w="57" w:type="dxa"/>
              <w:left w:w="57" w:type="dxa"/>
              <w:bottom w:w="57" w:type="dxa"/>
              <w:right w:w="57" w:type="dxa"/>
            </w:tcMar>
            <w:vAlign w:val="center"/>
          </w:tcPr>
          <w:p w14:paraId="6833CC80">
            <w:pPr>
              <w:spacing w:line="360" w:lineRule="auto"/>
              <w:jc w:val="center"/>
              <w:rPr>
                <w:rFonts w:hint="eastAsia" w:ascii="宋体" w:hAnsi="宋体" w:cs="宋体"/>
                <w:bCs/>
                <w:kern w:val="0"/>
                <w:sz w:val="24"/>
              </w:rPr>
            </w:pPr>
          </w:p>
        </w:tc>
        <w:tc>
          <w:tcPr>
            <w:tcW w:w="6847" w:type="dxa"/>
            <w:tcMar>
              <w:top w:w="57" w:type="dxa"/>
              <w:left w:w="57" w:type="dxa"/>
              <w:bottom w:w="57" w:type="dxa"/>
              <w:right w:w="57" w:type="dxa"/>
            </w:tcMar>
            <w:vAlign w:val="center"/>
          </w:tcPr>
          <w:p w14:paraId="26393892">
            <w:pPr>
              <w:pStyle w:val="166"/>
              <w:spacing w:line="360" w:lineRule="auto"/>
              <w:rPr>
                <w:rFonts w:hint="eastAsia" w:hAnsi="宋体" w:cs="宋体"/>
                <w:b/>
                <w:color w:val="auto"/>
                <w:szCs w:val="24"/>
                <w:lang w:val="zh-CN"/>
              </w:rPr>
            </w:pPr>
            <w:bookmarkStart w:id="476" w:name="OLE_LINK50"/>
            <w:r>
              <w:rPr>
                <w:rFonts w:hint="eastAsia" w:hAnsi="宋体" w:cs="宋体"/>
                <w:b/>
                <w:color w:val="auto"/>
                <w:szCs w:val="24"/>
              </w:rPr>
              <w:t>采用新工艺、新技术、新设备、新材料、BIM等的程度（3分</w:t>
            </w:r>
            <w:r>
              <w:rPr>
                <w:rFonts w:hint="eastAsia" w:hAnsi="宋体" w:cs="宋体"/>
                <w:b/>
                <w:color w:val="auto"/>
                <w:szCs w:val="24"/>
                <w:lang w:val="zh-CN"/>
              </w:rPr>
              <w:t>）</w:t>
            </w:r>
            <w:bookmarkEnd w:id="476"/>
          </w:p>
          <w:p w14:paraId="7C3C0C5B">
            <w:pPr>
              <w:pStyle w:val="166"/>
              <w:spacing w:line="360" w:lineRule="auto"/>
              <w:rPr>
                <w:rFonts w:hint="eastAsia" w:hAnsi="宋体" w:cs="宋体"/>
                <w:bCs/>
                <w:color w:val="auto"/>
                <w:szCs w:val="24"/>
              </w:rPr>
            </w:pPr>
            <w:r>
              <w:rPr>
                <w:rFonts w:hint="eastAsia" w:hAnsi="宋体" w:cs="宋体"/>
                <w:bCs/>
                <w:color w:val="auto"/>
              </w:rPr>
              <w:t>本项评审因素需要包含的具体内容有①新工艺、新技术、新材料②新设备（含工器具、智能设备等）、③应用BIM技术优化施工。包括以上3项内容的得3分，每缺少一项内容扣1分；单项内容中存在缺陷的，每有一处扣0.5分，单项最多扣1分，扣完为止。</w:t>
            </w:r>
          </w:p>
        </w:tc>
      </w:tr>
      <w:tr w14:paraId="6A803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384" w:type="dxa"/>
            <w:vMerge w:val="continue"/>
            <w:tcMar>
              <w:top w:w="57" w:type="dxa"/>
              <w:left w:w="57" w:type="dxa"/>
              <w:bottom w:w="57" w:type="dxa"/>
              <w:right w:w="57" w:type="dxa"/>
            </w:tcMar>
            <w:vAlign w:val="center"/>
          </w:tcPr>
          <w:p w14:paraId="3BE0801F">
            <w:pPr>
              <w:autoSpaceDE w:val="0"/>
              <w:autoSpaceDN w:val="0"/>
              <w:adjustRightInd w:val="0"/>
              <w:spacing w:before="50" w:line="360" w:lineRule="auto"/>
              <w:ind w:left="59" w:leftChars="28" w:right="97" w:firstLine="4" w:firstLineChars="2"/>
              <w:rPr>
                <w:rFonts w:hint="eastAsia" w:ascii="宋体" w:hAnsi="宋体" w:cs="宋体"/>
                <w:bCs/>
                <w:kern w:val="0"/>
                <w:sz w:val="24"/>
              </w:rPr>
            </w:pPr>
          </w:p>
        </w:tc>
        <w:tc>
          <w:tcPr>
            <w:tcW w:w="1370" w:type="dxa"/>
            <w:vMerge w:val="continue"/>
            <w:tcMar>
              <w:top w:w="57" w:type="dxa"/>
              <w:left w:w="57" w:type="dxa"/>
              <w:bottom w:w="57" w:type="dxa"/>
              <w:right w:w="57" w:type="dxa"/>
            </w:tcMar>
            <w:vAlign w:val="center"/>
          </w:tcPr>
          <w:p w14:paraId="2EA0003A">
            <w:pPr>
              <w:spacing w:line="360" w:lineRule="auto"/>
              <w:jc w:val="center"/>
              <w:rPr>
                <w:rFonts w:hint="eastAsia" w:ascii="宋体" w:hAnsi="宋体" w:cs="宋体"/>
                <w:bCs/>
                <w:kern w:val="0"/>
                <w:sz w:val="24"/>
              </w:rPr>
            </w:pPr>
          </w:p>
        </w:tc>
        <w:tc>
          <w:tcPr>
            <w:tcW w:w="6847" w:type="dxa"/>
            <w:tcMar>
              <w:top w:w="57" w:type="dxa"/>
              <w:left w:w="57" w:type="dxa"/>
              <w:bottom w:w="57" w:type="dxa"/>
              <w:right w:w="57" w:type="dxa"/>
            </w:tcMar>
            <w:vAlign w:val="center"/>
          </w:tcPr>
          <w:p w14:paraId="4B35782D">
            <w:pPr>
              <w:pStyle w:val="166"/>
              <w:spacing w:line="360" w:lineRule="auto"/>
              <w:rPr>
                <w:rFonts w:hint="eastAsia" w:hAnsi="宋体" w:cs="宋体"/>
                <w:b/>
                <w:color w:val="auto"/>
                <w:szCs w:val="24"/>
              </w:rPr>
            </w:pPr>
            <w:r>
              <w:rPr>
                <w:rFonts w:hint="eastAsia" w:hAnsi="宋体" w:cs="宋体"/>
                <w:b/>
                <w:color w:val="auto"/>
                <w:szCs w:val="24"/>
              </w:rPr>
              <w:t>施工现场实施信息化监控和数据处理（2分）</w:t>
            </w:r>
          </w:p>
          <w:p w14:paraId="5D503EA5">
            <w:pPr>
              <w:pStyle w:val="166"/>
              <w:spacing w:line="360" w:lineRule="auto"/>
              <w:rPr>
                <w:rFonts w:hint="eastAsia" w:hAnsi="宋体" w:cs="宋体"/>
                <w:bCs/>
                <w:color w:val="auto"/>
                <w:szCs w:val="24"/>
              </w:rPr>
            </w:pPr>
            <w:r>
              <w:rPr>
                <w:rFonts w:hint="eastAsia" w:hAnsi="宋体" w:cs="宋体"/>
                <w:bCs/>
                <w:color w:val="auto"/>
                <w:szCs w:val="24"/>
              </w:rPr>
              <w:t>本项评审因素需要包含的具体内容有①施工现场实施信息化监控②数据处理系统布置。包括以上2项内容的得2分，每缺少一项内容扣1分；单项内容中存在缺陷的，每有一处扣0.5分，单项最多扣1分，扣完为止。</w:t>
            </w:r>
          </w:p>
        </w:tc>
      </w:tr>
      <w:tr w14:paraId="34DAD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16" w:hRule="atLeast"/>
        </w:trPr>
        <w:tc>
          <w:tcPr>
            <w:tcW w:w="1384" w:type="dxa"/>
            <w:vMerge w:val="restart"/>
            <w:tcMar>
              <w:top w:w="57" w:type="dxa"/>
              <w:left w:w="57" w:type="dxa"/>
              <w:bottom w:w="57" w:type="dxa"/>
              <w:right w:w="57" w:type="dxa"/>
            </w:tcMar>
            <w:vAlign w:val="center"/>
          </w:tcPr>
          <w:p w14:paraId="5443A775">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r>
              <w:rPr>
                <w:rFonts w:hint="eastAsia" w:ascii="宋体" w:hAnsi="宋体" w:cs="宋体"/>
                <w:bCs/>
                <w:kern w:val="0"/>
                <w:sz w:val="24"/>
              </w:rPr>
              <w:t>综合部分</w:t>
            </w:r>
          </w:p>
          <w:p w14:paraId="427C23AC">
            <w:pPr>
              <w:autoSpaceDE w:val="0"/>
              <w:autoSpaceDN w:val="0"/>
              <w:adjustRightInd w:val="0"/>
              <w:spacing w:before="50" w:line="360" w:lineRule="auto"/>
              <w:ind w:left="59" w:leftChars="28" w:right="97" w:firstLine="4" w:firstLineChars="2"/>
              <w:jc w:val="center"/>
              <w:rPr>
                <w:rFonts w:hint="eastAsia" w:ascii="宋体" w:hAnsi="宋体" w:cs="宋体"/>
                <w:bCs/>
                <w:kern w:val="0"/>
                <w:sz w:val="24"/>
              </w:rPr>
            </w:pPr>
            <w:r>
              <w:rPr>
                <w:rFonts w:hint="eastAsia" w:ascii="宋体" w:hAnsi="宋体" w:cs="宋体"/>
                <w:bCs/>
                <w:kern w:val="0"/>
                <w:sz w:val="24"/>
              </w:rPr>
              <w:t>（25分）</w:t>
            </w:r>
          </w:p>
          <w:p w14:paraId="2F71541A">
            <w:pPr>
              <w:autoSpaceDE w:val="0"/>
              <w:autoSpaceDN w:val="0"/>
              <w:adjustRightInd w:val="0"/>
              <w:spacing w:before="50" w:line="360" w:lineRule="auto"/>
              <w:ind w:left="59" w:leftChars="28" w:right="97" w:firstLine="4" w:firstLineChars="2"/>
              <w:rPr>
                <w:rFonts w:hint="eastAsia" w:ascii="宋体" w:hAnsi="宋体" w:cs="宋体"/>
                <w:bCs/>
                <w:kern w:val="0"/>
                <w:sz w:val="24"/>
              </w:rPr>
            </w:pPr>
          </w:p>
        </w:tc>
        <w:tc>
          <w:tcPr>
            <w:tcW w:w="1370" w:type="dxa"/>
            <w:tcMar>
              <w:top w:w="57" w:type="dxa"/>
              <w:left w:w="57" w:type="dxa"/>
              <w:bottom w:w="57" w:type="dxa"/>
              <w:right w:w="57" w:type="dxa"/>
            </w:tcMar>
            <w:vAlign w:val="center"/>
          </w:tcPr>
          <w:p w14:paraId="29B44263">
            <w:pPr>
              <w:spacing w:line="360" w:lineRule="auto"/>
              <w:jc w:val="center"/>
              <w:rPr>
                <w:rFonts w:hint="eastAsia" w:ascii="宋体" w:hAnsi="宋体" w:cs="宋体"/>
                <w:bCs/>
                <w:kern w:val="0"/>
                <w:sz w:val="24"/>
              </w:rPr>
            </w:pPr>
            <w:r>
              <w:rPr>
                <w:rFonts w:hint="eastAsia" w:ascii="宋体" w:hAnsi="宋体" w:cs="宋体"/>
                <w:bCs/>
                <w:kern w:val="0"/>
                <w:sz w:val="24"/>
              </w:rPr>
              <w:t>企业业绩（7分）</w:t>
            </w:r>
          </w:p>
        </w:tc>
        <w:tc>
          <w:tcPr>
            <w:tcW w:w="6847" w:type="dxa"/>
            <w:tcMar>
              <w:top w:w="57" w:type="dxa"/>
              <w:left w:w="57" w:type="dxa"/>
              <w:bottom w:w="57" w:type="dxa"/>
              <w:right w:w="57" w:type="dxa"/>
            </w:tcMar>
            <w:vAlign w:val="center"/>
          </w:tcPr>
          <w:p w14:paraId="03639ABF">
            <w:pPr>
              <w:spacing w:before="48" w:after="48" w:line="360" w:lineRule="auto"/>
              <w:rPr>
                <w:rFonts w:hint="eastAsia" w:ascii="宋体" w:hAnsi="宋体" w:cs="宋体"/>
                <w:bCs/>
                <w:sz w:val="24"/>
              </w:rPr>
            </w:pPr>
            <w:r>
              <w:rPr>
                <w:rFonts w:hint="eastAsia" w:ascii="宋体" w:hAnsi="宋体" w:cs="宋体"/>
                <w:bCs/>
                <w:sz w:val="24"/>
              </w:rPr>
              <w:t>供应商提供自2023年7月1日以来（以合同签订时间为准）已完成的类似项目业绩，每提供一份得1分，最多得7分。</w:t>
            </w:r>
          </w:p>
          <w:p w14:paraId="1F344F81">
            <w:pPr>
              <w:adjustRightInd w:val="0"/>
              <w:spacing w:line="360" w:lineRule="auto"/>
              <w:ind w:right="90" w:rightChars="43"/>
              <w:jc w:val="left"/>
              <w:rPr>
                <w:rFonts w:hint="eastAsia" w:hAnsi="宋体" w:cs="宋体"/>
                <w:bCs/>
              </w:rPr>
            </w:pPr>
            <w:r>
              <w:rPr>
                <w:rFonts w:hint="eastAsia" w:ascii="宋体" w:hAnsi="宋体" w:cs="宋体"/>
                <w:bCs/>
                <w:sz w:val="24"/>
              </w:rPr>
              <w:t>注：</w:t>
            </w:r>
            <w:bookmarkStart w:id="477" w:name="OLE_LINK274"/>
            <w:bookmarkStart w:id="478" w:name="OLE_LINK277"/>
            <w:bookmarkStart w:id="479" w:name="OLE_LINK276"/>
            <w:bookmarkStart w:id="480" w:name="OLE_LINK275"/>
            <w:r>
              <w:rPr>
                <w:rFonts w:hint="eastAsia" w:ascii="宋体" w:hAnsi="宋体" w:cs="宋体"/>
                <w:bCs/>
                <w:sz w:val="24"/>
              </w:rPr>
              <w:t>响应文件中</w:t>
            </w:r>
            <w:r>
              <w:rPr>
                <w:rFonts w:hint="eastAsia" w:ascii="宋体" w:hAnsi="宋体" w:cs="宋体"/>
                <w:bCs/>
                <w:sz w:val="24"/>
                <w:lang w:val="zh-CN"/>
              </w:rPr>
              <w:t>供应商应</w:t>
            </w:r>
            <w:r>
              <w:rPr>
                <w:rFonts w:hint="eastAsia" w:ascii="宋体" w:hAnsi="宋体" w:cs="宋体"/>
                <w:bCs/>
                <w:sz w:val="24"/>
              </w:rPr>
              <w:t>提供中标通知书、合同协议书、竣工验收报告。</w:t>
            </w:r>
            <w:bookmarkEnd w:id="477"/>
            <w:bookmarkEnd w:id="478"/>
            <w:bookmarkEnd w:id="479"/>
            <w:bookmarkEnd w:id="480"/>
            <w:r>
              <w:rPr>
                <w:rFonts w:hint="eastAsia" w:ascii="宋体" w:hAnsi="宋体" w:cs="宋体"/>
                <w:bCs/>
                <w:sz w:val="24"/>
              </w:rPr>
              <w:t>项目经理业绩与企业业绩可重复计算。</w:t>
            </w:r>
          </w:p>
        </w:tc>
      </w:tr>
      <w:tr w14:paraId="5834E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5" w:hRule="atLeast"/>
        </w:trPr>
        <w:tc>
          <w:tcPr>
            <w:tcW w:w="1384" w:type="dxa"/>
            <w:vMerge w:val="continue"/>
            <w:tcMar>
              <w:top w:w="57" w:type="dxa"/>
              <w:left w:w="57" w:type="dxa"/>
              <w:bottom w:w="57" w:type="dxa"/>
              <w:right w:w="57" w:type="dxa"/>
            </w:tcMar>
            <w:vAlign w:val="center"/>
          </w:tcPr>
          <w:p w14:paraId="49A783DE">
            <w:pPr>
              <w:autoSpaceDE w:val="0"/>
              <w:autoSpaceDN w:val="0"/>
              <w:adjustRightInd w:val="0"/>
              <w:spacing w:before="50" w:line="360" w:lineRule="auto"/>
              <w:ind w:left="59" w:leftChars="28" w:right="97" w:firstLine="4" w:firstLineChars="2"/>
              <w:rPr>
                <w:rFonts w:hint="eastAsia" w:ascii="宋体" w:hAnsi="宋体" w:cs="宋体"/>
                <w:bCs/>
                <w:kern w:val="0"/>
                <w:sz w:val="24"/>
              </w:rPr>
            </w:pPr>
          </w:p>
        </w:tc>
        <w:tc>
          <w:tcPr>
            <w:tcW w:w="1370" w:type="dxa"/>
            <w:tcMar>
              <w:top w:w="57" w:type="dxa"/>
              <w:left w:w="57" w:type="dxa"/>
              <w:bottom w:w="57" w:type="dxa"/>
              <w:right w:w="57" w:type="dxa"/>
            </w:tcMar>
            <w:vAlign w:val="center"/>
          </w:tcPr>
          <w:p w14:paraId="3A7AB8B6">
            <w:pPr>
              <w:adjustRightInd w:val="0"/>
              <w:spacing w:line="360" w:lineRule="auto"/>
              <w:jc w:val="center"/>
              <w:rPr>
                <w:rFonts w:hint="eastAsia" w:ascii="宋体" w:hAnsi="宋体" w:cs="宋体"/>
                <w:bCs/>
                <w:kern w:val="0"/>
                <w:sz w:val="24"/>
              </w:rPr>
            </w:pPr>
            <w:r>
              <w:rPr>
                <w:rFonts w:hint="eastAsia" w:ascii="宋体" w:hAnsi="宋体" w:cs="宋体"/>
                <w:bCs/>
                <w:sz w:val="24"/>
              </w:rPr>
              <w:t>项目经理业绩（5分）</w:t>
            </w:r>
          </w:p>
        </w:tc>
        <w:tc>
          <w:tcPr>
            <w:tcW w:w="6847" w:type="dxa"/>
            <w:tcMar>
              <w:top w:w="57" w:type="dxa"/>
              <w:left w:w="57" w:type="dxa"/>
              <w:bottom w:w="57" w:type="dxa"/>
              <w:right w:w="57" w:type="dxa"/>
            </w:tcMar>
            <w:vAlign w:val="center"/>
          </w:tcPr>
          <w:p w14:paraId="110CE886">
            <w:pPr>
              <w:spacing w:before="48" w:after="48" w:line="360" w:lineRule="auto"/>
              <w:rPr>
                <w:rFonts w:hint="eastAsia" w:ascii="宋体" w:hAnsi="宋体" w:cs="宋体"/>
                <w:bCs/>
                <w:sz w:val="24"/>
              </w:rPr>
            </w:pPr>
            <w:r>
              <w:rPr>
                <w:rFonts w:hint="eastAsia" w:ascii="宋体" w:hAnsi="宋体" w:cs="宋体"/>
                <w:bCs/>
                <w:sz w:val="24"/>
              </w:rPr>
              <w:t>拟派项目经理2023年7月1日以来（以签订合同时间为准）已完成的与本项目类似的工程业绩,每提供一份合同得1分，最多得5分。</w:t>
            </w:r>
          </w:p>
          <w:p w14:paraId="37411E51">
            <w:pPr>
              <w:spacing w:before="48" w:after="48" w:line="360" w:lineRule="auto"/>
              <w:rPr>
                <w:rFonts w:hint="eastAsia" w:ascii="宋体" w:hAnsi="宋体" w:cs="宋体"/>
                <w:bCs/>
                <w:sz w:val="24"/>
              </w:rPr>
            </w:pPr>
            <w:r>
              <w:rPr>
                <w:rFonts w:hint="eastAsia" w:ascii="宋体" w:hAnsi="宋体" w:cs="宋体"/>
                <w:bCs/>
                <w:sz w:val="24"/>
              </w:rPr>
              <w:t>注：响应文件中</w:t>
            </w:r>
            <w:r>
              <w:rPr>
                <w:rFonts w:hint="eastAsia" w:ascii="宋体" w:hAnsi="宋体" w:cs="宋体"/>
                <w:bCs/>
                <w:sz w:val="24"/>
                <w:lang w:val="zh-CN"/>
              </w:rPr>
              <w:t>供应商应</w:t>
            </w:r>
            <w:r>
              <w:rPr>
                <w:rFonts w:hint="eastAsia" w:ascii="宋体" w:hAnsi="宋体" w:cs="宋体"/>
                <w:bCs/>
                <w:sz w:val="24"/>
              </w:rPr>
              <w:t>提供中标通知书、合同协议书、竣工验收报告。项目经理业绩与企业业绩可重复计算。</w:t>
            </w:r>
          </w:p>
        </w:tc>
      </w:tr>
      <w:tr w14:paraId="6324B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5" w:hRule="atLeast"/>
        </w:trPr>
        <w:tc>
          <w:tcPr>
            <w:tcW w:w="1384" w:type="dxa"/>
            <w:vMerge w:val="continue"/>
            <w:tcMar>
              <w:top w:w="57" w:type="dxa"/>
              <w:left w:w="57" w:type="dxa"/>
              <w:bottom w:w="57" w:type="dxa"/>
              <w:right w:w="57" w:type="dxa"/>
            </w:tcMar>
            <w:vAlign w:val="center"/>
          </w:tcPr>
          <w:p w14:paraId="00ABF19F">
            <w:pPr>
              <w:autoSpaceDE w:val="0"/>
              <w:autoSpaceDN w:val="0"/>
              <w:adjustRightInd w:val="0"/>
              <w:spacing w:before="50" w:line="360" w:lineRule="auto"/>
              <w:ind w:left="59" w:leftChars="28" w:right="97" w:firstLine="4" w:firstLineChars="2"/>
              <w:rPr>
                <w:rFonts w:hint="eastAsia" w:ascii="宋体" w:hAnsi="宋体" w:cs="宋体"/>
                <w:bCs/>
                <w:kern w:val="0"/>
                <w:sz w:val="24"/>
              </w:rPr>
            </w:pPr>
          </w:p>
        </w:tc>
        <w:tc>
          <w:tcPr>
            <w:tcW w:w="1370" w:type="dxa"/>
            <w:tcMar>
              <w:top w:w="57" w:type="dxa"/>
              <w:left w:w="57" w:type="dxa"/>
              <w:bottom w:w="57" w:type="dxa"/>
              <w:right w:w="57" w:type="dxa"/>
            </w:tcMar>
            <w:vAlign w:val="center"/>
          </w:tcPr>
          <w:p w14:paraId="5F6102B4">
            <w:pPr>
              <w:spacing w:line="360" w:lineRule="auto"/>
              <w:jc w:val="center"/>
              <w:rPr>
                <w:rFonts w:hint="eastAsia" w:ascii="宋体" w:hAnsi="宋体" w:cs="宋体"/>
                <w:bCs/>
                <w:kern w:val="0"/>
                <w:sz w:val="24"/>
              </w:rPr>
            </w:pPr>
            <w:r>
              <w:rPr>
                <w:rFonts w:hint="eastAsia" w:ascii="宋体" w:hAnsi="宋体" w:cs="宋体"/>
                <w:bCs/>
                <w:kern w:val="0"/>
                <w:sz w:val="24"/>
              </w:rPr>
              <w:t>项目管理人员（3分）</w:t>
            </w:r>
          </w:p>
        </w:tc>
        <w:tc>
          <w:tcPr>
            <w:tcW w:w="6847" w:type="dxa"/>
            <w:tcMar>
              <w:top w:w="57" w:type="dxa"/>
              <w:left w:w="57" w:type="dxa"/>
              <w:bottom w:w="57" w:type="dxa"/>
              <w:right w:w="57" w:type="dxa"/>
            </w:tcMar>
            <w:vAlign w:val="center"/>
          </w:tcPr>
          <w:p w14:paraId="27B19819">
            <w:pPr>
              <w:spacing w:before="48" w:after="48" w:line="360" w:lineRule="auto"/>
              <w:rPr>
                <w:rFonts w:hint="eastAsia" w:ascii="宋体" w:hAnsi="宋体" w:cs="宋体"/>
                <w:bCs/>
                <w:sz w:val="24"/>
              </w:rPr>
            </w:pPr>
            <w:r>
              <w:rPr>
                <w:rFonts w:hint="eastAsia" w:ascii="宋体" w:hAnsi="宋体" w:cs="宋体"/>
                <w:bCs/>
                <w:sz w:val="24"/>
              </w:rPr>
              <w:t>项目人员配备齐全，应包含施工员、质量员、安全员、材料员、预算员需具有有效的岗位证书（岗位证书的名称可以不完全一致，只要是表达的是同一岗位证书即可），提供齐全的得3分，不齐全不得分；需提供合同、相应职称、岗位证书以及本公司为其缴纳的社保证明。</w:t>
            </w:r>
          </w:p>
        </w:tc>
      </w:tr>
      <w:tr w14:paraId="1B60C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4" w:hRule="atLeast"/>
        </w:trPr>
        <w:tc>
          <w:tcPr>
            <w:tcW w:w="1384" w:type="dxa"/>
            <w:vMerge w:val="continue"/>
            <w:tcMar>
              <w:top w:w="57" w:type="dxa"/>
              <w:left w:w="57" w:type="dxa"/>
              <w:bottom w:w="57" w:type="dxa"/>
              <w:right w:w="57" w:type="dxa"/>
            </w:tcMar>
            <w:vAlign w:val="center"/>
          </w:tcPr>
          <w:p w14:paraId="131FC58F">
            <w:pPr>
              <w:autoSpaceDE w:val="0"/>
              <w:autoSpaceDN w:val="0"/>
              <w:adjustRightInd w:val="0"/>
              <w:spacing w:before="50" w:line="360" w:lineRule="auto"/>
              <w:ind w:left="59" w:leftChars="28" w:right="97" w:firstLine="4" w:firstLineChars="2"/>
              <w:rPr>
                <w:rFonts w:hint="eastAsia" w:ascii="宋体" w:hAnsi="宋体" w:cs="宋体"/>
                <w:bCs/>
                <w:kern w:val="0"/>
                <w:sz w:val="24"/>
              </w:rPr>
            </w:pPr>
          </w:p>
        </w:tc>
        <w:tc>
          <w:tcPr>
            <w:tcW w:w="1370" w:type="dxa"/>
            <w:tcMar>
              <w:top w:w="57" w:type="dxa"/>
              <w:left w:w="57" w:type="dxa"/>
              <w:bottom w:w="57" w:type="dxa"/>
              <w:right w:w="57" w:type="dxa"/>
            </w:tcMar>
            <w:vAlign w:val="center"/>
          </w:tcPr>
          <w:p w14:paraId="44EACC6D">
            <w:pPr>
              <w:spacing w:line="360" w:lineRule="auto"/>
              <w:jc w:val="center"/>
              <w:rPr>
                <w:rFonts w:hint="eastAsia" w:ascii="宋体" w:hAnsi="宋体" w:cs="宋体"/>
                <w:bCs/>
                <w:kern w:val="0"/>
                <w:sz w:val="24"/>
              </w:rPr>
            </w:pPr>
            <w:r>
              <w:rPr>
                <w:rFonts w:hint="eastAsia" w:ascii="宋体" w:hAnsi="宋体" w:cs="宋体"/>
                <w:bCs/>
                <w:kern w:val="0"/>
                <w:sz w:val="24"/>
              </w:rPr>
              <w:t>企业认证体系（3分）</w:t>
            </w:r>
          </w:p>
        </w:tc>
        <w:tc>
          <w:tcPr>
            <w:tcW w:w="6847" w:type="dxa"/>
            <w:tcMar>
              <w:top w:w="57" w:type="dxa"/>
              <w:left w:w="57" w:type="dxa"/>
              <w:bottom w:w="57" w:type="dxa"/>
              <w:right w:w="57" w:type="dxa"/>
            </w:tcMar>
            <w:vAlign w:val="center"/>
          </w:tcPr>
          <w:p w14:paraId="7EB14464">
            <w:pPr>
              <w:spacing w:before="48" w:after="48" w:line="360" w:lineRule="auto"/>
              <w:rPr>
                <w:rFonts w:hint="eastAsia" w:ascii="宋体" w:hAnsi="宋体" w:cs="宋体"/>
                <w:bCs/>
                <w:sz w:val="24"/>
              </w:rPr>
            </w:pPr>
            <w:r>
              <w:rPr>
                <w:rFonts w:hint="eastAsia" w:ascii="宋体" w:hAnsi="宋体" w:cs="宋体"/>
                <w:bCs/>
                <w:sz w:val="24"/>
              </w:rPr>
              <w:t>具有有效的质量体系认证证书；</w:t>
            </w:r>
          </w:p>
          <w:p w14:paraId="7199A583">
            <w:pPr>
              <w:spacing w:before="48" w:after="48" w:line="360" w:lineRule="auto"/>
              <w:rPr>
                <w:rFonts w:hint="eastAsia" w:ascii="宋体" w:hAnsi="宋体" w:cs="宋体"/>
                <w:bCs/>
                <w:sz w:val="24"/>
              </w:rPr>
            </w:pPr>
            <w:r>
              <w:rPr>
                <w:rFonts w:hint="eastAsia" w:ascii="宋体" w:hAnsi="宋体" w:cs="宋体"/>
                <w:bCs/>
                <w:sz w:val="24"/>
              </w:rPr>
              <w:t>具有有效的环境管理体系认证证书；</w:t>
            </w:r>
          </w:p>
          <w:p w14:paraId="2E6F9617">
            <w:pPr>
              <w:spacing w:before="48" w:after="48" w:line="360" w:lineRule="auto"/>
              <w:rPr>
                <w:rFonts w:hint="eastAsia" w:ascii="宋体" w:hAnsi="宋体" w:cs="宋体"/>
                <w:bCs/>
                <w:sz w:val="24"/>
              </w:rPr>
            </w:pPr>
            <w:r>
              <w:rPr>
                <w:rFonts w:hint="eastAsia" w:ascii="宋体" w:hAnsi="宋体" w:cs="宋体"/>
                <w:bCs/>
                <w:sz w:val="24"/>
              </w:rPr>
              <w:t>具有有效的职业健康安全管理体系认证证书；</w:t>
            </w:r>
          </w:p>
          <w:p w14:paraId="09DDC1CE">
            <w:pPr>
              <w:spacing w:before="48" w:after="48" w:line="360" w:lineRule="auto"/>
              <w:rPr>
                <w:rFonts w:hint="eastAsia" w:ascii="宋体" w:hAnsi="宋体" w:cs="宋体"/>
                <w:bCs/>
                <w:sz w:val="24"/>
              </w:rPr>
            </w:pPr>
            <w:r>
              <w:rPr>
                <w:rFonts w:hint="eastAsia" w:ascii="宋体" w:hAnsi="宋体" w:cs="宋体"/>
                <w:bCs/>
                <w:sz w:val="24"/>
              </w:rPr>
              <w:t>每提供一份得1分，最高得3分；需提供证书复印件和《全国认证认可信息公共服务平台》查询结果网页截图。</w:t>
            </w:r>
          </w:p>
        </w:tc>
      </w:tr>
      <w:tr w14:paraId="5EAB8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95" w:hRule="atLeast"/>
        </w:trPr>
        <w:tc>
          <w:tcPr>
            <w:tcW w:w="1384" w:type="dxa"/>
            <w:vMerge w:val="continue"/>
            <w:tcMar>
              <w:top w:w="57" w:type="dxa"/>
              <w:left w:w="57" w:type="dxa"/>
              <w:bottom w:w="57" w:type="dxa"/>
              <w:right w:w="57" w:type="dxa"/>
            </w:tcMar>
            <w:vAlign w:val="center"/>
          </w:tcPr>
          <w:p w14:paraId="69BEE460">
            <w:pPr>
              <w:autoSpaceDE w:val="0"/>
              <w:autoSpaceDN w:val="0"/>
              <w:adjustRightInd w:val="0"/>
              <w:spacing w:before="50" w:line="360" w:lineRule="auto"/>
              <w:ind w:left="59" w:leftChars="28" w:right="97" w:firstLine="4" w:firstLineChars="2"/>
              <w:rPr>
                <w:rFonts w:hint="eastAsia" w:ascii="宋体" w:hAnsi="宋体" w:cs="宋体"/>
                <w:bCs/>
                <w:kern w:val="0"/>
                <w:sz w:val="24"/>
              </w:rPr>
            </w:pPr>
          </w:p>
        </w:tc>
        <w:tc>
          <w:tcPr>
            <w:tcW w:w="1370" w:type="dxa"/>
            <w:tcMar>
              <w:top w:w="57" w:type="dxa"/>
              <w:left w:w="57" w:type="dxa"/>
              <w:bottom w:w="57" w:type="dxa"/>
              <w:right w:w="57" w:type="dxa"/>
            </w:tcMar>
            <w:vAlign w:val="center"/>
          </w:tcPr>
          <w:p w14:paraId="5B4C27DE">
            <w:pPr>
              <w:adjustRightInd w:val="0"/>
              <w:spacing w:line="360" w:lineRule="auto"/>
              <w:jc w:val="center"/>
              <w:rPr>
                <w:rFonts w:hint="eastAsia" w:ascii="宋体" w:hAnsi="宋体" w:cs="宋体"/>
                <w:sz w:val="24"/>
              </w:rPr>
            </w:pPr>
            <w:r>
              <w:rPr>
                <w:rFonts w:hint="eastAsia" w:ascii="宋体" w:hAnsi="宋体" w:cs="宋体"/>
                <w:sz w:val="24"/>
              </w:rPr>
              <w:t>政策体现</w:t>
            </w:r>
          </w:p>
          <w:p w14:paraId="13A24632">
            <w:pPr>
              <w:adjustRightInd w:val="0"/>
              <w:spacing w:line="360" w:lineRule="auto"/>
              <w:jc w:val="center"/>
              <w:rPr>
                <w:rFonts w:hint="eastAsia" w:ascii="宋体" w:hAnsi="宋体" w:cs="宋体"/>
                <w:bCs/>
                <w:kern w:val="0"/>
                <w:sz w:val="24"/>
              </w:rPr>
            </w:pPr>
            <w:r>
              <w:rPr>
                <w:rFonts w:hint="eastAsia" w:ascii="宋体" w:hAnsi="宋体" w:cs="宋体"/>
                <w:sz w:val="24"/>
              </w:rPr>
              <w:t>（2分）</w:t>
            </w:r>
          </w:p>
        </w:tc>
        <w:tc>
          <w:tcPr>
            <w:tcW w:w="6847" w:type="dxa"/>
            <w:tcMar>
              <w:top w:w="57" w:type="dxa"/>
              <w:left w:w="57" w:type="dxa"/>
              <w:bottom w:w="57" w:type="dxa"/>
              <w:right w:w="57" w:type="dxa"/>
            </w:tcMar>
            <w:vAlign w:val="center"/>
          </w:tcPr>
          <w:p w14:paraId="536B97C5">
            <w:pPr>
              <w:spacing w:line="360" w:lineRule="auto"/>
              <w:jc w:val="left"/>
              <w:rPr>
                <w:rFonts w:hint="eastAsia" w:ascii="宋体" w:hAnsi="宋体" w:cs="宋体"/>
                <w:bCs/>
                <w:sz w:val="24"/>
              </w:rPr>
            </w:pPr>
            <w:r>
              <w:rPr>
                <w:rFonts w:hint="eastAsia" w:ascii="宋体" w:hAnsi="宋体" w:cs="宋体"/>
                <w:bCs/>
                <w:sz w:val="24"/>
              </w:rPr>
              <w:t>供应商提供所投产品由国家认可的认证机构出具的节能产品认证(除强制采购节能产品外)和环境标志产品认证证书扫描件的，每提供一份证书扫描件得 0.5分，最多得2分。</w:t>
            </w:r>
          </w:p>
          <w:p w14:paraId="61AA55D4">
            <w:pPr>
              <w:spacing w:line="360" w:lineRule="auto"/>
              <w:jc w:val="left"/>
              <w:rPr>
                <w:rFonts w:hint="eastAsia" w:ascii="宋体" w:hAnsi="宋体" w:cs="宋体"/>
                <w:bCs/>
                <w:sz w:val="24"/>
              </w:rPr>
            </w:pPr>
            <w:r>
              <w:rPr>
                <w:rFonts w:hint="eastAsia" w:ascii="宋体" w:hAnsi="宋体" w:cs="宋体"/>
                <w:bCs/>
                <w:sz w:val="24"/>
              </w:rPr>
              <w:t>《节能产品政府采购品目清单》《环境标志产品政府采购品目清单》《参与实施政府采购节能产品认证机构名录》《参与实施政府采购环境标志产品认证机构名录》详见附件1。</w:t>
            </w:r>
          </w:p>
        </w:tc>
      </w:tr>
      <w:tr w14:paraId="46E7C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09" w:hRule="atLeast"/>
        </w:trPr>
        <w:tc>
          <w:tcPr>
            <w:tcW w:w="1384" w:type="dxa"/>
            <w:vMerge w:val="continue"/>
            <w:tcMar>
              <w:top w:w="57" w:type="dxa"/>
              <w:left w:w="57" w:type="dxa"/>
              <w:bottom w:w="57" w:type="dxa"/>
              <w:right w:w="57" w:type="dxa"/>
            </w:tcMar>
            <w:vAlign w:val="center"/>
          </w:tcPr>
          <w:p w14:paraId="75DE9483">
            <w:pPr>
              <w:autoSpaceDE w:val="0"/>
              <w:autoSpaceDN w:val="0"/>
              <w:adjustRightInd w:val="0"/>
              <w:spacing w:before="50" w:line="360" w:lineRule="auto"/>
              <w:ind w:left="59" w:leftChars="28" w:right="97" w:firstLine="4" w:firstLineChars="2"/>
              <w:rPr>
                <w:rFonts w:hint="eastAsia" w:ascii="宋体" w:hAnsi="宋体" w:cs="宋体"/>
                <w:bCs/>
                <w:kern w:val="0"/>
                <w:sz w:val="24"/>
              </w:rPr>
            </w:pPr>
          </w:p>
        </w:tc>
        <w:tc>
          <w:tcPr>
            <w:tcW w:w="1370" w:type="dxa"/>
            <w:tcMar>
              <w:top w:w="57" w:type="dxa"/>
              <w:left w:w="57" w:type="dxa"/>
              <w:bottom w:w="57" w:type="dxa"/>
              <w:right w:w="57" w:type="dxa"/>
            </w:tcMar>
            <w:vAlign w:val="center"/>
          </w:tcPr>
          <w:p w14:paraId="76F449D7">
            <w:pPr>
              <w:wordWrap w:val="0"/>
              <w:spacing w:line="360" w:lineRule="auto"/>
              <w:jc w:val="center"/>
              <w:rPr>
                <w:rFonts w:hint="eastAsia" w:ascii="宋体" w:hAnsi="宋体" w:cs="宋体"/>
                <w:bCs/>
                <w:kern w:val="0"/>
                <w:sz w:val="24"/>
              </w:rPr>
            </w:pPr>
            <w:r>
              <w:rPr>
                <w:rFonts w:hint="eastAsia" w:ascii="宋体" w:hAnsi="宋体" w:cs="宋体"/>
                <w:bCs/>
                <w:kern w:val="0"/>
                <w:sz w:val="24"/>
              </w:rPr>
              <w:t>服务承诺</w:t>
            </w:r>
            <w:r>
              <w:rPr>
                <w:rFonts w:hint="eastAsia" w:hAnsi="宋体" w:cs="宋体"/>
                <w:bCs/>
                <w:sz w:val="24"/>
              </w:rPr>
              <w:t>及其他综合实力</w:t>
            </w:r>
            <w:r>
              <w:rPr>
                <w:rFonts w:hint="eastAsia" w:ascii="宋体" w:hAnsi="宋体" w:cs="宋体"/>
                <w:bCs/>
                <w:kern w:val="0"/>
                <w:sz w:val="24"/>
              </w:rPr>
              <w:t>（5分）</w:t>
            </w:r>
          </w:p>
        </w:tc>
        <w:tc>
          <w:tcPr>
            <w:tcW w:w="6847" w:type="dxa"/>
            <w:tcMar>
              <w:top w:w="57" w:type="dxa"/>
              <w:left w:w="57" w:type="dxa"/>
              <w:bottom w:w="57" w:type="dxa"/>
              <w:right w:w="57" w:type="dxa"/>
            </w:tcMar>
            <w:vAlign w:val="center"/>
          </w:tcPr>
          <w:p w14:paraId="14C1BECF">
            <w:pPr>
              <w:wordWrap w:val="0"/>
              <w:spacing w:before="48" w:after="48" w:line="360" w:lineRule="auto"/>
              <w:rPr>
                <w:rFonts w:hint="eastAsia" w:ascii="宋体" w:hAnsi="宋体" w:cs="宋体"/>
                <w:bCs/>
                <w:sz w:val="24"/>
              </w:rPr>
            </w:pPr>
            <w:r>
              <w:rPr>
                <w:rFonts w:hint="eastAsia" w:ascii="宋体" w:hAnsi="宋体" w:cs="宋体"/>
                <w:bCs/>
                <w:sz w:val="24"/>
              </w:rPr>
              <w:t>1.提供关键人员在岗、安全施工、不拖欠农民工工资等方面的承诺及措施。提供质量保修期内/外的承诺及措施，以及针对本项目的其他优惠条件。</w:t>
            </w:r>
          </w:p>
          <w:p w14:paraId="67C1CEDB">
            <w:pPr>
              <w:wordWrap w:val="0"/>
              <w:spacing w:before="48" w:after="48" w:line="360" w:lineRule="auto"/>
              <w:rPr>
                <w:rFonts w:hint="eastAsia" w:ascii="宋体" w:hAnsi="宋体" w:cs="宋体"/>
                <w:bCs/>
                <w:sz w:val="24"/>
              </w:rPr>
            </w:pPr>
            <w:r>
              <w:rPr>
                <w:rFonts w:hint="eastAsia" w:ascii="宋体" w:hAnsi="宋体" w:cs="宋体"/>
                <w:bCs/>
                <w:sz w:val="24"/>
              </w:rPr>
              <w:t>以上内容齐全且针对本项目，符合本项目实际需求的得3分；</w:t>
            </w:r>
          </w:p>
          <w:p w14:paraId="1129A897">
            <w:pPr>
              <w:wordWrap w:val="0"/>
              <w:spacing w:before="48" w:after="48" w:line="360" w:lineRule="auto"/>
              <w:rPr>
                <w:rFonts w:hint="eastAsia" w:ascii="宋体" w:hAnsi="宋体" w:cs="宋体"/>
                <w:bCs/>
                <w:sz w:val="24"/>
              </w:rPr>
            </w:pPr>
            <w:r>
              <w:rPr>
                <w:rFonts w:hint="eastAsia" w:ascii="宋体" w:hAnsi="宋体" w:cs="宋体"/>
                <w:bCs/>
                <w:sz w:val="24"/>
              </w:rPr>
              <w:t>每缺少一项内容或内容明显错误或内容非针对本项目或内容不能满足本项目实际需求的，每一项扣1分，扣完为止。本项最多得分3分。</w:t>
            </w:r>
          </w:p>
          <w:p w14:paraId="06355418">
            <w:pPr>
              <w:wordWrap w:val="0"/>
              <w:spacing w:before="48" w:after="48" w:line="360" w:lineRule="auto"/>
              <w:rPr>
                <w:rFonts w:hint="eastAsia" w:ascii="宋体" w:hAnsi="宋体" w:cs="宋体"/>
                <w:bCs/>
                <w:sz w:val="24"/>
              </w:rPr>
            </w:pPr>
            <w:r>
              <w:rPr>
                <w:rFonts w:hint="eastAsia" w:ascii="宋体" w:hAnsi="宋体" w:cs="宋体"/>
                <w:bCs/>
                <w:sz w:val="24"/>
              </w:rPr>
              <w:t>2.供应商施工期间需严格落实“‘人证合一’现场考勤管理制度”，并提供考勤样表及处罚方案。</w:t>
            </w:r>
            <w:r>
              <w:rPr>
                <w:rFonts w:hint="eastAsia" w:ascii="宋体" w:hAnsi="宋体" w:cs="宋体"/>
                <w:bCs/>
                <w:sz w:val="24"/>
                <w:lang w:val="zh-CN"/>
              </w:rPr>
              <w:t>供应商应</w:t>
            </w:r>
            <w:r>
              <w:rPr>
                <w:rFonts w:hint="eastAsia" w:ascii="宋体" w:hAnsi="宋体" w:cs="宋体"/>
                <w:bCs/>
                <w:sz w:val="24"/>
              </w:rPr>
              <w:t>提供采用的考勤记录样表；对未落实考勤制度或弄虚作假行为的内部处理方案。以上内容齐全且针对本项目，符合本项目实际需求的得2分；每缺少一项内容或内容明显错误或内容非针对本项目或内容不能满足本项目实际需求的，每一项扣1分，扣完为止。</w:t>
            </w:r>
          </w:p>
        </w:tc>
      </w:tr>
      <w:tr w14:paraId="509EF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309" w:hRule="atLeast"/>
        </w:trPr>
        <w:tc>
          <w:tcPr>
            <w:tcW w:w="9601" w:type="dxa"/>
            <w:gridSpan w:val="3"/>
            <w:tcMar>
              <w:top w:w="57" w:type="dxa"/>
              <w:left w:w="57" w:type="dxa"/>
              <w:bottom w:w="57" w:type="dxa"/>
              <w:right w:w="57" w:type="dxa"/>
            </w:tcMar>
            <w:vAlign w:val="center"/>
          </w:tcPr>
          <w:p w14:paraId="450E4CA4">
            <w:pPr>
              <w:wordWrap w:val="0"/>
              <w:spacing w:before="48" w:after="48" w:line="360" w:lineRule="auto"/>
              <w:rPr>
                <w:rFonts w:hint="eastAsia" w:ascii="宋体" w:hAnsi="宋体" w:cs="宋体"/>
                <w:bCs/>
                <w:sz w:val="24"/>
              </w:rPr>
            </w:pPr>
            <w:r>
              <w:rPr>
                <w:rFonts w:ascii="宋体" w:hAnsi="宋体" w:cs="宋体"/>
                <w:sz w:val="24"/>
              </w:rPr>
              <w:t>【注：“</w:t>
            </w:r>
            <w:r>
              <w:rPr>
                <w:rFonts w:hint="eastAsia" w:ascii="宋体" w:hAnsi="宋体" w:cs="宋体"/>
                <w:sz w:val="24"/>
              </w:rPr>
              <w:t>缺陷</w:t>
            </w:r>
            <w:r>
              <w:rPr>
                <w:rFonts w:ascii="宋体" w:hAnsi="宋体" w:cs="宋体"/>
                <w:sz w:val="24"/>
              </w:rPr>
              <w:t>”是指：标准规范等描述错误的内容；存在套用其他项目方案不适用本项目实际情况的情形；存在项目名称，实施地点与本项目不一致；内容不符合相关国家或行业规范要求、缺少关键节点、</w:t>
            </w:r>
            <w:r>
              <w:rPr>
                <w:rFonts w:hint="eastAsia" w:ascii="宋体" w:hAnsi="宋体" w:cs="宋体"/>
                <w:bCs/>
                <w:sz w:val="24"/>
              </w:rPr>
              <w:t>不利于项目实施、</w:t>
            </w:r>
            <w:r>
              <w:rPr>
                <w:rFonts w:ascii="宋体" w:hAnsi="宋体" w:cs="宋体"/>
                <w:sz w:val="24"/>
              </w:rPr>
              <w:t>前后内容互相矛盾的情形；存在不可能实现的夸大情形；内容简略或简单复制本项目采购需求、表述不清不符合采购需求的情形。】</w:t>
            </w:r>
          </w:p>
        </w:tc>
      </w:tr>
    </w:tbl>
    <w:p w14:paraId="7E0E5880">
      <w:r>
        <w:rPr>
          <w:rFonts w:hint="eastAsia"/>
        </w:rPr>
        <w:br w:type="page"/>
      </w:r>
    </w:p>
    <w:p w14:paraId="07661BFE">
      <w:pPr>
        <w:wordWrap w:val="0"/>
        <w:spacing w:line="360" w:lineRule="auto"/>
        <w:rPr>
          <w:rFonts w:hint="eastAsia" w:ascii="黑体" w:hAnsi="黑体" w:eastAsia="黑体" w:cs="宋体"/>
          <w:bCs/>
          <w:sz w:val="24"/>
        </w:rPr>
      </w:pPr>
      <w:r>
        <w:rPr>
          <w:rFonts w:hint="eastAsia" w:ascii="黑体" w:hAnsi="黑体" w:eastAsia="黑体" w:cs="宋体"/>
          <w:bCs/>
          <w:sz w:val="24"/>
        </w:rPr>
        <w:t>四、总则</w:t>
      </w:r>
    </w:p>
    <w:p w14:paraId="734C8B8E">
      <w:pPr>
        <w:pStyle w:val="7"/>
        <w:wordWrap w:val="0"/>
        <w:spacing w:before="0" w:after="0" w:line="360" w:lineRule="auto"/>
        <w:rPr>
          <w:rFonts w:hint="eastAsia" w:ascii="黑体" w:hAnsi="黑体"/>
          <w:b w:val="0"/>
          <w:bCs w:val="0"/>
          <w:sz w:val="24"/>
        </w:rPr>
      </w:pPr>
      <w:bookmarkStart w:id="481" w:name="_Toc12618"/>
      <w:bookmarkStart w:id="482" w:name="_Toc178172033"/>
      <w:bookmarkStart w:id="483" w:name="_Toc20904"/>
      <w:bookmarkStart w:id="484" w:name="_Toc10221"/>
      <w:bookmarkStart w:id="485" w:name="_Toc27165"/>
      <w:r>
        <w:rPr>
          <w:rFonts w:hint="eastAsia" w:ascii="黑体" w:hAnsi="黑体"/>
          <w:b w:val="0"/>
          <w:bCs w:val="0"/>
          <w:sz w:val="24"/>
        </w:rPr>
        <w:t>（一）评审参照依据</w:t>
      </w:r>
      <w:bookmarkEnd w:id="481"/>
      <w:bookmarkEnd w:id="482"/>
      <w:bookmarkEnd w:id="483"/>
      <w:bookmarkEnd w:id="484"/>
      <w:bookmarkEnd w:id="485"/>
    </w:p>
    <w:p w14:paraId="5A92ADD6">
      <w:pPr>
        <w:pStyle w:val="5"/>
        <w:wordWrap w:val="0"/>
        <w:snapToGrid w:val="0"/>
        <w:spacing w:after="0" w:line="360" w:lineRule="auto"/>
        <w:ind w:firstLine="480" w:firstLineChars="200"/>
        <w:jc w:val="left"/>
        <w:rPr>
          <w:rFonts w:hint="eastAsia" w:ascii="宋体" w:hAnsi="宋体"/>
          <w:bCs/>
          <w:sz w:val="24"/>
          <w:szCs w:val="24"/>
        </w:rPr>
      </w:pPr>
      <w:r>
        <w:rPr>
          <w:rFonts w:hint="eastAsia" w:ascii="宋体" w:hAnsi="宋体"/>
          <w:bCs/>
          <w:sz w:val="24"/>
          <w:szCs w:val="24"/>
        </w:rPr>
        <w:t>1.《中华人民共和国政府采购法》；</w:t>
      </w:r>
    </w:p>
    <w:p w14:paraId="4823D045">
      <w:pPr>
        <w:pStyle w:val="5"/>
        <w:wordWrap w:val="0"/>
        <w:snapToGrid w:val="0"/>
        <w:spacing w:after="0" w:line="360" w:lineRule="auto"/>
        <w:ind w:firstLine="480" w:firstLineChars="200"/>
        <w:jc w:val="left"/>
        <w:rPr>
          <w:rFonts w:hint="eastAsia" w:ascii="宋体" w:hAnsi="宋体"/>
          <w:bCs/>
          <w:sz w:val="24"/>
          <w:szCs w:val="24"/>
        </w:rPr>
      </w:pPr>
      <w:r>
        <w:rPr>
          <w:rFonts w:hint="eastAsia" w:ascii="宋体" w:hAnsi="宋体"/>
          <w:bCs/>
          <w:sz w:val="24"/>
          <w:szCs w:val="24"/>
        </w:rPr>
        <w:t>2.《中华人民共和国政府采购法实施条例》；</w:t>
      </w:r>
    </w:p>
    <w:p w14:paraId="20F9C5A1">
      <w:pPr>
        <w:pStyle w:val="5"/>
        <w:wordWrap w:val="0"/>
        <w:snapToGrid w:val="0"/>
        <w:spacing w:after="0" w:line="360" w:lineRule="auto"/>
        <w:ind w:firstLine="480" w:firstLineChars="200"/>
        <w:jc w:val="left"/>
        <w:rPr>
          <w:rFonts w:hint="eastAsia" w:ascii="宋体" w:hAnsi="宋体"/>
          <w:bCs/>
          <w:sz w:val="24"/>
          <w:szCs w:val="24"/>
        </w:rPr>
      </w:pPr>
      <w:r>
        <w:rPr>
          <w:rFonts w:hint="eastAsia" w:ascii="宋体" w:hAnsi="宋体"/>
          <w:bCs/>
          <w:sz w:val="24"/>
          <w:szCs w:val="24"/>
        </w:rPr>
        <w:t>3.《政府采购竞争性磋商采购方式管理暂行办法》财库〔2014〕214号；</w:t>
      </w:r>
    </w:p>
    <w:p w14:paraId="291F6DCF">
      <w:pPr>
        <w:pStyle w:val="5"/>
        <w:wordWrap w:val="0"/>
        <w:snapToGrid w:val="0"/>
        <w:spacing w:after="0" w:line="360" w:lineRule="auto"/>
        <w:ind w:firstLine="480" w:firstLineChars="200"/>
        <w:jc w:val="left"/>
        <w:rPr>
          <w:rFonts w:hint="eastAsia" w:ascii="宋体" w:hAnsi="宋体"/>
          <w:bCs/>
          <w:sz w:val="24"/>
          <w:szCs w:val="24"/>
        </w:rPr>
      </w:pPr>
      <w:r>
        <w:rPr>
          <w:rFonts w:hint="eastAsia" w:ascii="宋体" w:hAnsi="宋体"/>
          <w:bCs/>
          <w:sz w:val="24"/>
          <w:szCs w:val="24"/>
        </w:rPr>
        <w:t>4.《财政部关于政府采购竞争性磋商采购方式管理暂行办法有关问题的补充通知》财库〔2015〕124号；</w:t>
      </w:r>
    </w:p>
    <w:p w14:paraId="35C45A25">
      <w:pPr>
        <w:pStyle w:val="5"/>
        <w:wordWrap w:val="0"/>
        <w:snapToGrid w:val="0"/>
        <w:spacing w:after="0" w:line="360" w:lineRule="auto"/>
        <w:ind w:firstLine="480" w:firstLineChars="200"/>
        <w:jc w:val="left"/>
        <w:rPr>
          <w:rFonts w:hint="eastAsia" w:ascii="宋体" w:hAnsi="宋体"/>
          <w:bCs/>
          <w:sz w:val="24"/>
          <w:szCs w:val="24"/>
        </w:rPr>
      </w:pPr>
      <w:r>
        <w:rPr>
          <w:rFonts w:hint="eastAsia" w:ascii="宋体" w:hAnsi="宋体"/>
          <w:bCs/>
          <w:sz w:val="24"/>
          <w:szCs w:val="24"/>
        </w:rPr>
        <w:t>5.《政府采购评审专家管理办法》；</w:t>
      </w:r>
    </w:p>
    <w:p w14:paraId="48C2FCE8">
      <w:pPr>
        <w:pStyle w:val="5"/>
        <w:wordWrap w:val="0"/>
        <w:snapToGrid w:val="0"/>
        <w:spacing w:after="0" w:line="360" w:lineRule="auto"/>
        <w:ind w:firstLine="480" w:firstLineChars="200"/>
        <w:jc w:val="left"/>
        <w:rPr>
          <w:rFonts w:hint="eastAsia" w:ascii="宋体" w:hAnsi="宋体"/>
          <w:bCs/>
          <w:sz w:val="24"/>
          <w:szCs w:val="24"/>
        </w:rPr>
      </w:pPr>
      <w:r>
        <w:rPr>
          <w:rFonts w:hint="eastAsia" w:ascii="宋体" w:hAnsi="宋体"/>
          <w:bCs/>
          <w:sz w:val="24"/>
          <w:szCs w:val="24"/>
        </w:rPr>
        <w:t>6.《河南省政府采购评审专家管理实施办法》；</w:t>
      </w:r>
    </w:p>
    <w:p w14:paraId="7B6D2459">
      <w:pPr>
        <w:pStyle w:val="5"/>
        <w:wordWrap w:val="0"/>
        <w:snapToGrid w:val="0"/>
        <w:spacing w:after="0" w:line="360" w:lineRule="auto"/>
        <w:ind w:firstLine="480" w:firstLineChars="200"/>
        <w:jc w:val="left"/>
        <w:rPr>
          <w:rFonts w:hint="eastAsia" w:ascii="宋体" w:hAnsi="宋体"/>
          <w:bCs/>
          <w:sz w:val="24"/>
          <w:szCs w:val="24"/>
        </w:rPr>
      </w:pPr>
      <w:r>
        <w:rPr>
          <w:rFonts w:hint="eastAsia" w:ascii="宋体" w:hAnsi="宋体"/>
          <w:bCs/>
          <w:sz w:val="24"/>
          <w:szCs w:val="24"/>
        </w:rPr>
        <w:t>7.法律法规的相关规定；</w:t>
      </w:r>
    </w:p>
    <w:p w14:paraId="251862E5">
      <w:pPr>
        <w:pStyle w:val="5"/>
        <w:wordWrap w:val="0"/>
        <w:snapToGrid w:val="0"/>
        <w:spacing w:after="0" w:line="360" w:lineRule="auto"/>
        <w:ind w:firstLine="480" w:firstLineChars="200"/>
        <w:jc w:val="left"/>
        <w:rPr>
          <w:rFonts w:hint="eastAsia" w:ascii="宋体" w:hAnsi="宋体"/>
          <w:bCs/>
          <w:sz w:val="24"/>
          <w:szCs w:val="24"/>
        </w:rPr>
      </w:pPr>
      <w:r>
        <w:rPr>
          <w:rFonts w:hint="eastAsia" w:ascii="宋体" w:hAnsi="宋体"/>
          <w:bCs/>
          <w:sz w:val="24"/>
          <w:szCs w:val="24"/>
        </w:rPr>
        <w:t>8.本项目竞争性磋商文件；</w:t>
      </w:r>
    </w:p>
    <w:p w14:paraId="3396A8B5">
      <w:pPr>
        <w:pStyle w:val="5"/>
        <w:wordWrap w:val="0"/>
        <w:snapToGrid w:val="0"/>
        <w:spacing w:after="0" w:line="360" w:lineRule="auto"/>
        <w:ind w:firstLine="480" w:firstLineChars="200"/>
        <w:jc w:val="left"/>
        <w:rPr>
          <w:rFonts w:hint="eastAsia" w:ascii="宋体" w:hAnsi="宋体"/>
          <w:bCs/>
          <w:sz w:val="24"/>
          <w:szCs w:val="24"/>
        </w:rPr>
      </w:pPr>
      <w:r>
        <w:rPr>
          <w:rFonts w:hint="eastAsia" w:ascii="宋体" w:hAnsi="宋体"/>
          <w:bCs/>
          <w:sz w:val="24"/>
          <w:szCs w:val="24"/>
        </w:rPr>
        <w:t>9.竞争性磋商小组判断响应文件的有效性应仅基于国家的相关法律法规、本项目的竞争性磋商文件、供应商的响应文件本身内容而不靠外部证据；</w:t>
      </w:r>
    </w:p>
    <w:p w14:paraId="35D30677">
      <w:pPr>
        <w:pStyle w:val="5"/>
        <w:wordWrap w:val="0"/>
        <w:snapToGrid w:val="0"/>
        <w:spacing w:after="0" w:line="360" w:lineRule="auto"/>
        <w:ind w:firstLine="480" w:firstLineChars="200"/>
        <w:jc w:val="left"/>
        <w:rPr>
          <w:rFonts w:hint="eastAsia" w:ascii="宋体" w:hAnsi="宋体"/>
          <w:sz w:val="24"/>
        </w:rPr>
      </w:pPr>
      <w:r>
        <w:rPr>
          <w:rFonts w:hint="eastAsia" w:ascii="宋体" w:hAnsi="宋体"/>
          <w:bCs/>
          <w:sz w:val="24"/>
        </w:rPr>
        <w:t>10.竞争性磋商文件</w:t>
      </w:r>
      <w:r>
        <w:rPr>
          <w:rFonts w:hint="eastAsia" w:ascii="宋体" w:hAnsi="宋体"/>
          <w:sz w:val="24"/>
        </w:rPr>
        <w:t>中没有规定的评审标准不得作为评审依据。</w:t>
      </w:r>
    </w:p>
    <w:p w14:paraId="7BABCD7B">
      <w:pPr>
        <w:pStyle w:val="7"/>
        <w:wordWrap w:val="0"/>
        <w:spacing w:before="0" w:after="0" w:line="360" w:lineRule="auto"/>
        <w:rPr>
          <w:rFonts w:hint="eastAsia" w:ascii="黑体" w:hAnsi="黑体"/>
          <w:b w:val="0"/>
          <w:bCs w:val="0"/>
          <w:sz w:val="24"/>
        </w:rPr>
      </w:pPr>
      <w:bookmarkStart w:id="486" w:name="_Toc6775"/>
      <w:bookmarkStart w:id="487" w:name="_Toc1596"/>
      <w:bookmarkStart w:id="488" w:name="_Toc11182"/>
      <w:bookmarkStart w:id="489" w:name="_Toc30255"/>
      <w:bookmarkStart w:id="490" w:name="_Toc178172034"/>
      <w:bookmarkStart w:id="491" w:name="_Hlk177655896"/>
      <w:bookmarkStart w:id="492" w:name="OLE_LINK31"/>
      <w:r>
        <w:rPr>
          <w:rFonts w:hint="eastAsia" w:ascii="黑体" w:hAnsi="黑体"/>
          <w:b w:val="0"/>
          <w:bCs w:val="0"/>
          <w:sz w:val="24"/>
        </w:rPr>
        <w:t>（二）评审原则</w:t>
      </w:r>
      <w:bookmarkEnd w:id="486"/>
      <w:bookmarkEnd w:id="487"/>
      <w:bookmarkEnd w:id="488"/>
      <w:bookmarkEnd w:id="489"/>
      <w:bookmarkEnd w:id="490"/>
    </w:p>
    <w:p w14:paraId="08F6E81D">
      <w:pPr>
        <w:wordWrap w:val="0"/>
        <w:spacing w:line="360" w:lineRule="auto"/>
        <w:ind w:firstLine="480" w:firstLineChars="200"/>
        <w:rPr>
          <w:rFonts w:hint="eastAsia" w:ascii="宋体" w:hAnsi="宋体"/>
          <w:sz w:val="24"/>
        </w:rPr>
      </w:pPr>
      <w:r>
        <w:rPr>
          <w:rFonts w:ascii="宋体" w:hAnsi="宋体"/>
          <w:sz w:val="24"/>
        </w:rPr>
        <w:t>1</w:t>
      </w:r>
      <w:r>
        <w:rPr>
          <w:rFonts w:hint="eastAsia" w:ascii="宋体" w:hAnsi="宋体"/>
          <w:sz w:val="24"/>
        </w:rPr>
        <w:t>.磋商将在严格保密的情况下进行。</w:t>
      </w:r>
    </w:p>
    <w:p w14:paraId="033360E7">
      <w:pPr>
        <w:wordWrap w:val="0"/>
        <w:snapToGrid w:val="0"/>
        <w:spacing w:line="360" w:lineRule="auto"/>
        <w:ind w:firstLine="480" w:firstLineChars="200"/>
        <w:rPr>
          <w:rFonts w:hint="eastAsia" w:ascii="宋体" w:hAnsi="宋体"/>
          <w:sz w:val="24"/>
        </w:rPr>
      </w:pPr>
      <w:r>
        <w:rPr>
          <w:rFonts w:ascii="宋体" w:hAnsi="宋体"/>
          <w:sz w:val="24"/>
        </w:rPr>
        <w:t>2</w:t>
      </w:r>
      <w:r>
        <w:rPr>
          <w:rFonts w:hint="eastAsia" w:ascii="宋体" w:hAnsi="宋体"/>
          <w:sz w:val="24"/>
        </w:rPr>
        <w:t>.磋商小组应当按照客观、公正、审慎的原则，根据竞争性磋商文件规定的磋商程序、评审方法和评审标准进行磋商及评审。</w:t>
      </w:r>
    </w:p>
    <w:p w14:paraId="65193284">
      <w:pPr>
        <w:wordWrap w:val="0"/>
        <w:snapToGrid w:val="0"/>
        <w:spacing w:line="360" w:lineRule="auto"/>
        <w:ind w:firstLine="480" w:firstLineChars="200"/>
        <w:rPr>
          <w:rFonts w:hint="eastAsia" w:ascii="宋体" w:hAnsi="宋体"/>
          <w:sz w:val="24"/>
        </w:rPr>
      </w:pPr>
      <w:r>
        <w:rPr>
          <w:rFonts w:hint="eastAsia" w:ascii="宋体" w:hAnsi="宋体"/>
          <w:sz w:val="24"/>
        </w:rPr>
        <w:t>3.在评审、磋商、推荐成交候选供应商名单过程中，磋商小组成员有不同意见时，由磋商小组集体研究，按照少数服从多数的原则确定。</w:t>
      </w:r>
    </w:p>
    <w:p w14:paraId="12B3DF6E">
      <w:pPr>
        <w:pStyle w:val="7"/>
        <w:wordWrap w:val="0"/>
        <w:spacing w:before="0" w:after="0" w:line="360" w:lineRule="auto"/>
        <w:rPr>
          <w:rFonts w:hint="eastAsia" w:ascii="黑体" w:hAnsi="黑体"/>
          <w:b w:val="0"/>
          <w:bCs w:val="0"/>
          <w:sz w:val="24"/>
        </w:rPr>
      </w:pPr>
      <w:bookmarkStart w:id="493" w:name="_Toc178172035"/>
      <w:bookmarkStart w:id="494" w:name="_Toc177458015"/>
      <w:bookmarkStart w:id="495" w:name="_Toc5649"/>
      <w:bookmarkStart w:id="496" w:name="_Toc8016"/>
      <w:bookmarkStart w:id="497" w:name="_Toc16810"/>
      <w:bookmarkStart w:id="498" w:name="_Toc12895"/>
      <w:r>
        <w:rPr>
          <w:rFonts w:hint="eastAsia" w:ascii="黑体" w:hAnsi="黑体"/>
          <w:b w:val="0"/>
          <w:bCs w:val="0"/>
          <w:sz w:val="24"/>
        </w:rPr>
        <w:t>（三）组建</w:t>
      </w:r>
      <w:bookmarkEnd w:id="493"/>
      <w:bookmarkEnd w:id="494"/>
      <w:r>
        <w:rPr>
          <w:rFonts w:hint="eastAsia" w:ascii="黑体" w:hAnsi="黑体"/>
          <w:b w:val="0"/>
          <w:bCs w:val="0"/>
          <w:sz w:val="24"/>
        </w:rPr>
        <w:t>磋商小组</w:t>
      </w:r>
      <w:bookmarkEnd w:id="495"/>
      <w:bookmarkEnd w:id="496"/>
      <w:bookmarkEnd w:id="497"/>
      <w:bookmarkEnd w:id="498"/>
    </w:p>
    <w:bookmarkEnd w:id="491"/>
    <w:bookmarkEnd w:id="492"/>
    <w:p w14:paraId="198F318A">
      <w:pPr>
        <w:wordWrap w:val="0"/>
        <w:spacing w:line="360" w:lineRule="auto"/>
        <w:ind w:firstLine="480" w:firstLineChars="200"/>
        <w:rPr>
          <w:rFonts w:hint="eastAsia" w:ascii="宋体" w:hAnsi="宋体"/>
          <w:sz w:val="24"/>
        </w:rPr>
      </w:pPr>
      <w:bookmarkStart w:id="499" w:name="_Toc178172036"/>
      <w:r>
        <w:rPr>
          <w:rFonts w:hint="eastAsia" w:ascii="宋体" w:hAnsi="宋体"/>
          <w:bCs/>
          <w:sz w:val="24"/>
        </w:rPr>
        <w:t>1.</w:t>
      </w:r>
      <w:r>
        <w:rPr>
          <w:rFonts w:hint="eastAsia" w:ascii="宋体" w:hAnsi="宋体"/>
          <w:sz w:val="24"/>
        </w:rPr>
        <w:t>采购人与采购代理机构将按照有关规定依法组建竞争性磋商小组（以下简称磋商小组），负责本项目的磋商及评审工作。</w:t>
      </w:r>
    </w:p>
    <w:p w14:paraId="256C45EA">
      <w:pPr>
        <w:shd w:val="clear" w:color="auto" w:fill="FFFFFF"/>
        <w:wordWrap w:val="0"/>
        <w:snapToGrid w:val="0"/>
        <w:spacing w:line="360" w:lineRule="auto"/>
        <w:ind w:firstLine="480" w:firstLineChars="200"/>
        <w:rPr>
          <w:rFonts w:hint="eastAsia" w:ascii="宋体" w:hAnsi="宋体"/>
          <w:bCs/>
          <w:sz w:val="24"/>
        </w:rPr>
      </w:pPr>
      <w:r>
        <w:rPr>
          <w:rFonts w:hint="eastAsia" w:ascii="宋体" w:hAnsi="宋体"/>
          <w:bCs/>
          <w:sz w:val="24"/>
        </w:rPr>
        <w:t>2.</w:t>
      </w:r>
      <w:r>
        <w:rPr>
          <w:rFonts w:hint="eastAsia" w:ascii="宋体" w:hAnsi="宋体"/>
          <w:sz w:val="24"/>
        </w:rPr>
        <w:t>磋商小组由采购人代表和评审专家组成，成员人数为三人以上单数。其中，评审专家不得少于成员总数的三分之二。</w:t>
      </w:r>
      <w:r>
        <w:rPr>
          <w:rFonts w:hint="eastAsia" w:ascii="宋体" w:hAnsi="宋体"/>
          <w:bCs/>
          <w:sz w:val="24"/>
        </w:rPr>
        <w:t>技术复杂、专业性强的采购项目，评审专家中应当包含1名法律专家。</w:t>
      </w:r>
      <w:r>
        <w:rPr>
          <w:rFonts w:hint="eastAsia" w:ascii="宋体" w:hAnsi="宋体"/>
          <w:sz w:val="24"/>
        </w:rPr>
        <w:t>具体成员人数见：</w:t>
      </w:r>
      <w:r>
        <w:rPr>
          <w:rFonts w:hint="eastAsia" w:ascii="宋体" w:hAnsi="宋体"/>
          <w:b/>
          <w:sz w:val="24"/>
          <w:u w:val="single"/>
        </w:rPr>
        <w:t>供应商须知前附表</w:t>
      </w:r>
      <w:r>
        <w:rPr>
          <w:rFonts w:hint="eastAsia" w:ascii="宋体" w:hAnsi="宋体"/>
          <w:sz w:val="24"/>
        </w:rPr>
        <w:t>。</w:t>
      </w:r>
    </w:p>
    <w:p w14:paraId="45C2E020">
      <w:pPr>
        <w:shd w:val="clear" w:color="auto" w:fill="FFFFFF"/>
        <w:wordWrap w:val="0"/>
        <w:snapToGrid w:val="0"/>
        <w:spacing w:line="360" w:lineRule="auto"/>
        <w:ind w:firstLine="480" w:firstLineChars="200"/>
        <w:rPr>
          <w:rFonts w:hint="eastAsia" w:ascii="宋体" w:hAnsi="宋体"/>
          <w:bCs/>
          <w:sz w:val="24"/>
        </w:rPr>
      </w:pPr>
      <w:r>
        <w:rPr>
          <w:rFonts w:hint="eastAsia" w:ascii="宋体" w:hAnsi="宋体"/>
          <w:bCs/>
          <w:sz w:val="24"/>
        </w:rPr>
        <w:t>在成交人确定前，有关人员对磋商小组成员名单必须严格保密，与供应商有利害关系的人员不得进入</w:t>
      </w:r>
      <w:r>
        <w:rPr>
          <w:rFonts w:hint="eastAsia" w:ascii="宋体" w:hAnsi="宋体"/>
          <w:sz w:val="24"/>
        </w:rPr>
        <w:t>磋商</w:t>
      </w:r>
      <w:r>
        <w:rPr>
          <w:rFonts w:hint="eastAsia" w:ascii="宋体" w:hAnsi="宋体"/>
          <w:bCs/>
          <w:sz w:val="24"/>
        </w:rPr>
        <w:t>小组。</w:t>
      </w:r>
      <w:r>
        <w:rPr>
          <w:rFonts w:hint="eastAsia" w:ascii="宋体" w:hAnsi="宋体"/>
          <w:sz w:val="24"/>
        </w:rPr>
        <w:t>采购人不得以评审专家身份参加本部门或本单位采购项目的评审。采购代理机构人员不得参加本机构代理的采购项目的评审。</w:t>
      </w:r>
    </w:p>
    <w:p w14:paraId="601CF55A">
      <w:pPr>
        <w:wordWrap w:val="0"/>
        <w:snapToGrid w:val="0"/>
        <w:spacing w:line="360" w:lineRule="auto"/>
        <w:ind w:firstLine="480" w:firstLineChars="200"/>
        <w:rPr>
          <w:rFonts w:hint="eastAsia" w:ascii="宋体" w:hAnsi="宋体"/>
          <w:sz w:val="24"/>
        </w:rPr>
      </w:pPr>
      <w:r>
        <w:rPr>
          <w:rFonts w:hint="eastAsia" w:ascii="宋体" w:hAnsi="宋体"/>
          <w:bCs/>
          <w:sz w:val="24"/>
        </w:rPr>
        <w:t>3.参加评审的人员应严格遵守国家有关保密的法律法规</w:t>
      </w:r>
      <w:r>
        <w:rPr>
          <w:rFonts w:hint="eastAsia" w:ascii="宋体" w:hAnsi="宋体"/>
          <w:sz w:val="24"/>
        </w:rPr>
        <w:t>和规定，并接受有关部门的监督。</w:t>
      </w:r>
    </w:p>
    <w:p w14:paraId="51FD73B5">
      <w:pPr>
        <w:wordWrap w:val="0"/>
        <w:snapToGrid w:val="0"/>
        <w:spacing w:line="360" w:lineRule="auto"/>
        <w:ind w:firstLine="480" w:firstLineChars="200"/>
        <w:rPr>
          <w:rFonts w:hint="eastAsia" w:ascii="宋体" w:hAnsi="宋体"/>
          <w:sz w:val="24"/>
        </w:rPr>
      </w:pPr>
      <w:r>
        <w:rPr>
          <w:rFonts w:hint="eastAsia" w:ascii="宋体" w:hAnsi="宋体"/>
          <w:sz w:val="24"/>
        </w:rPr>
        <w:t>4.根据相关法律法规的规定，参加评审的有关人员应对整个磋商、评审过程保密，不得泄露。</w:t>
      </w:r>
    </w:p>
    <w:p w14:paraId="034CC3D2">
      <w:pPr>
        <w:wordWrap w:val="0"/>
        <w:snapToGrid w:val="0"/>
        <w:spacing w:line="360" w:lineRule="auto"/>
        <w:ind w:firstLine="480" w:firstLineChars="200"/>
        <w:rPr>
          <w:rFonts w:hint="eastAsia" w:ascii="宋体" w:hAnsi="宋体"/>
          <w:sz w:val="24"/>
        </w:rPr>
      </w:pPr>
      <w:r>
        <w:rPr>
          <w:rFonts w:hint="eastAsia" w:ascii="宋体" w:hAnsi="宋体"/>
          <w:sz w:val="24"/>
        </w:rPr>
        <w:t>5.磋商小组成员应按规定的程序进行磋商及评审，对个人的评审意见承担法律责任。</w:t>
      </w:r>
    </w:p>
    <w:p w14:paraId="3300F355">
      <w:pPr>
        <w:wordWrap w:val="0"/>
        <w:snapToGrid w:val="0"/>
        <w:spacing w:line="360" w:lineRule="auto"/>
        <w:ind w:firstLine="480" w:firstLineChars="200"/>
        <w:rPr>
          <w:rFonts w:hint="eastAsia" w:ascii="宋体" w:hAnsi="宋体"/>
          <w:sz w:val="24"/>
        </w:rPr>
      </w:pPr>
      <w:r>
        <w:rPr>
          <w:rFonts w:hint="eastAsia" w:ascii="宋体" w:hAnsi="宋体"/>
          <w:sz w:val="24"/>
        </w:rPr>
        <w:t>6.磋商小组将对确定为实质上响应竞争性磋商文件要求的供应商进行磋商并对其响应文件进行评审。</w:t>
      </w:r>
    </w:p>
    <w:p w14:paraId="4683C585">
      <w:pPr>
        <w:wordWrap w:val="0"/>
        <w:snapToGrid w:val="0"/>
        <w:spacing w:line="360" w:lineRule="auto"/>
        <w:ind w:firstLine="480" w:firstLineChars="200"/>
        <w:rPr>
          <w:rFonts w:hint="eastAsia" w:ascii="宋体" w:hAnsi="宋体"/>
          <w:sz w:val="24"/>
        </w:rPr>
      </w:pPr>
      <w:r>
        <w:rPr>
          <w:rFonts w:hint="eastAsia" w:ascii="宋体" w:hAnsi="宋体"/>
          <w:sz w:val="24"/>
        </w:rPr>
        <w:t>7.供应商对评审专家施加影响的任何行为，都将被取消成交资格。</w:t>
      </w:r>
    </w:p>
    <w:p w14:paraId="483D4E4A">
      <w:pPr>
        <w:pStyle w:val="7"/>
        <w:wordWrap w:val="0"/>
        <w:spacing w:before="0" w:after="0" w:line="360" w:lineRule="auto"/>
        <w:rPr>
          <w:rFonts w:hint="eastAsia" w:ascii="黑体" w:hAnsi="黑体"/>
          <w:b w:val="0"/>
          <w:bCs w:val="0"/>
          <w:sz w:val="24"/>
        </w:rPr>
      </w:pPr>
      <w:bookmarkStart w:id="500" w:name="_Toc951"/>
      <w:bookmarkStart w:id="501" w:name="_Toc1418"/>
      <w:bookmarkStart w:id="502" w:name="_Toc1158"/>
      <w:bookmarkStart w:id="503" w:name="_Toc24707"/>
      <w:r>
        <w:rPr>
          <w:rFonts w:hint="eastAsia" w:ascii="黑体" w:hAnsi="黑体"/>
          <w:b w:val="0"/>
          <w:bCs w:val="0"/>
          <w:sz w:val="24"/>
        </w:rPr>
        <w:t>（四）评审</w:t>
      </w:r>
      <w:r>
        <w:rPr>
          <w:rFonts w:ascii="黑体" w:hAnsi="黑体"/>
          <w:b w:val="0"/>
          <w:bCs w:val="0"/>
          <w:sz w:val="24"/>
        </w:rPr>
        <w:t>准备工作</w:t>
      </w:r>
      <w:bookmarkEnd w:id="499"/>
      <w:bookmarkEnd w:id="500"/>
      <w:bookmarkEnd w:id="501"/>
      <w:bookmarkEnd w:id="502"/>
      <w:bookmarkEnd w:id="503"/>
    </w:p>
    <w:p w14:paraId="72F157F4">
      <w:pPr>
        <w:wordWrap w:val="0"/>
        <w:spacing w:line="360" w:lineRule="auto"/>
        <w:ind w:firstLine="480" w:firstLineChars="200"/>
        <w:rPr>
          <w:rFonts w:hint="eastAsia" w:ascii="宋体" w:hAnsi="宋体"/>
          <w:sz w:val="24"/>
        </w:rPr>
      </w:pPr>
      <w:r>
        <w:rPr>
          <w:rFonts w:hint="eastAsia" w:ascii="宋体" w:hAnsi="宋体"/>
          <w:sz w:val="24"/>
        </w:rPr>
        <w:t>1.回避情况自查：评审专家发现本人与参加采购活动的供应商有利害关系的，应当主动提出回避。采购人、采购代理机构发现评审专家与参加采购活动的供应商有利害关系的，应当要求其回避。</w:t>
      </w:r>
    </w:p>
    <w:p w14:paraId="2FC81B23">
      <w:pPr>
        <w:wordWrap w:val="0"/>
        <w:spacing w:line="360" w:lineRule="auto"/>
        <w:ind w:firstLine="480" w:firstLineChars="200"/>
        <w:rPr>
          <w:rFonts w:hint="eastAsia" w:ascii="宋体" w:hAnsi="宋体"/>
          <w:sz w:val="24"/>
        </w:rPr>
      </w:pPr>
      <w:r>
        <w:rPr>
          <w:rFonts w:hint="eastAsia" w:ascii="宋体" w:hAnsi="宋体"/>
          <w:sz w:val="24"/>
        </w:rPr>
        <w:t>2.回避情形：评审专家与参加采购活动的供应商存在下列利害关系之一的，应当回避：</w:t>
      </w:r>
    </w:p>
    <w:p w14:paraId="2AC5CBFB">
      <w:pPr>
        <w:wordWrap w:val="0"/>
        <w:spacing w:line="360" w:lineRule="auto"/>
        <w:ind w:firstLine="480" w:firstLineChars="200"/>
        <w:rPr>
          <w:rFonts w:hint="eastAsia" w:ascii="宋体" w:hAnsi="宋体"/>
          <w:sz w:val="24"/>
        </w:rPr>
      </w:pPr>
      <w:r>
        <w:rPr>
          <w:rFonts w:hint="eastAsia" w:ascii="宋体" w:hAnsi="宋体"/>
          <w:sz w:val="24"/>
        </w:rPr>
        <w:t>（1）参加采购活动前3年内，与供应商存在劳动关系，或者担任过供应商的董事、监事，或者是供应商的控股股东或者实际控制人；</w:t>
      </w:r>
    </w:p>
    <w:p w14:paraId="012F33DB">
      <w:pPr>
        <w:wordWrap w:val="0"/>
        <w:spacing w:line="360" w:lineRule="auto"/>
        <w:ind w:firstLine="480" w:firstLineChars="200"/>
        <w:rPr>
          <w:rFonts w:hint="eastAsia" w:ascii="宋体" w:hAnsi="宋体"/>
          <w:sz w:val="24"/>
        </w:rPr>
      </w:pPr>
      <w:r>
        <w:rPr>
          <w:rFonts w:hint="eastAsia" w:ascii="宋体" w:hAnsi="宋体"/>
          <w:sz w:val="24"/>
        </w:rPr>
        <w:t>（2）与供应商的法定代表人或者负责人有夫妻、直系血亲、三代以内旁系血亲或者近姻亲关系；</w:t>
      </w:r>
    </w:p>
    <w:p w14:paraId="0AE4F99B">
      <w:pPr>
        <w:wordWrap w:val="0"/>
        <w:spacing w:line="360" w:lineRule="auto"/>
        <w:ind w:firstLine="480" w:firstLineChars="200"/>
        <w:rPr>
          <w:rFonts w:hint="eastAsia" w:ascii="宋体" w:hAnsi="宋体"/>
          <w:sz w:val="24"/>
        </w:rPr>
      </w:pPr>
      <w:r>
        <w:rPr>
          <w:rFonts w:hint="eastAsia" w:ascii="宋体" w:hAnsi="宋体"/>
          <w:sz w:val="24"/>
        </w:rPr>
        <w:t>（3）与供应商有其他可能影响政府采购活动公平、公正进行的关系。</w:t>
      </w:r>
    </w:p>
    <w:p w14:paraId="0D4866C3">
      <w:pPr>
        <w:wordWrap w:val="0"/>
        <w:spacing w:line="360" w:lineRule="auto"/>
        <w:ind w:firstLine="480" w:firstLineChars="200"/>
        <w:rPr>
          <w:rFonts w:hint="eastAsia" w:ascii="宋体" w:hAnsi="宋体"/>
          <w:sz w:val="24"/>
        </w:rPr>
      </w:pPr>
      <w:r>
        <w:rPr>
          <w:rFonts w:hint="eastAsia" w:ascii="宋体" w:hAnsi="宋体"/>
          <w:sz w:val="24"/>
        </w:rPr>
        <w:t>（4）本项目采购代理机构工作人员。</w:t>
      </w:r>
    </w:p>
    <w:p w14:paraId="2D9AEF57">
      <w:pPr>
        <w:wordWrap w:val="0"/>
        <w:spacing w:line="360" w:lineRule="auto"/>
        <w:ind w:firstLine="480" w:firstLineChars="200"/>
        <w:rPr>
          <w:rFonts w:hint="eastAsia" w:ascii="宋体" w:hAnsi="宋体"/>
          <w:sz w:val="24"/>
        </w:rPr>
      </w:pPr>
      <w:r>
        <w:rPr>
          <w:rFonts w:hint="eastAsia" w:ascii="宋体" w:hAnsi="宋体"/>
          <w:sz w:val="24"/>
        </w:rPr>
        <w:t>（5）本项目各级财政部门政府采购监督管理工作人员。</w:t>
      </w:r>
    </w:p>
    <w:p w14:paraId="2BDCAA0C">
      <w:pPr>
        <w:wordWrap w:val="0"/>
        <w:spacing w:line="360" w:lineRule="auto"/>
        <w:ind w:firstLine="480" w:firstLineChars="200"/>
      </w:pPr>
      <w:r>
        <w:rPr>
          <w:rFonts w:hint="eastAsia" w:ascii="宋体" w:hAnsi="宋体"/>
          <w:sz w:val="24"/>
        </w:rPr>
        <w:t>（6）本项目论证的专家。</w:t>
      </w:r>
    </w:p>
    <w:p w14:paraId="4B744A7D">
      <w:pPr>
        <w:pStyle w:val="5"/>
        <w:wordWrap w:val="0"/>
        <w:spacing w:after="0" w:line="360" w:lineRule="auto"/>
        <w:ind w:firstLine="720" w:firstLineChars="300"/>
        <w:rPr>
          <w:rFonts w:hint="eastAsia" w:ascii="宋体" w:hAnsi="宋体"/>
          <w:sz w:val="24"/>
          <w:szCs w:val="24"/>
        </w:rPr>
      </w:pPr>
      <w:r>
        <w:rPr>
          <w:rFonts w:hint="eastAsia" w:ascii="宋体" w:hAnsi="宋体"/>
          <w:sz w:val="24"/>
          <w:szCs w:val="24"/>
        </w:rPr>
        <w:t>3.核对采购人代表和评审专家身份。</w:t>
      </w:r>
    </w:p>
    <w:p w14:paraId="475A817A">
      <w:pPr>
        <w:pStyle w:val="5"/>
        <w:wordWrap w:val="0"/>
        <w:spacing w:after="0" w:line="360" w:lineRule="auto"/>
        <w:ind w:firstLine="720" w:firstLineChars="300"/>
        <w:rPr>
          <w:rFonts w:hint="eastAsia" w:ascii="宋体" w:hAnsi="宋体"/>
          <w:sz w:val="24"/>
          <w:szCs w:val="24"/>
        </w:rPr>
      </w:pPr>
      <w:r>
        <w:rPr>
          <w:rFonts w:hint="eastAsia" w:ascii="宋体" w:hAnsi="宋体"/>
          <w:sz w:val="24"/>
          <w:szCs w:val="24"/>
        </w:rPr>
        <w:t>4.进行签到登记。</w:t>
      </w:r>
    </w:p>
    <w:p w14:paraId="7626023A">
      <w:pPr>
        <w:pStyle w:val="5"/>
        <w:wordWrap w:val="0"/>
        <w:spacing w:after="0" w:line="360" w:lineRule="auto"/>
        <w:ind w:firstLine="720" w:firstLineChars="300"/>
        <w:rPr>
          <w:rFonts w:hint="eastAsia" w:ascii="宋体" w:hAnsi="宋体"/>
          <w:sz w:val="24"/>
          <w:szCs w:val="24"/>
        </w:rPr>
      </w:pPr>
      <w:r>
        <w:rPr>
          <w:rFonts w:hint="eastAsia" w:ascii="宋体" w:hAnsi="宋体"/>
          <w:sz w:val="24"/>
          <w:szCs w:val="24"/>
        </w:rPr>
        <w:t>5.组织评审专家推选磋商小组组长，采购人代表不得担任磋商小组组长。</w:t>
      </w:r>
    </w:p>
    <w:p w14:paraId="2B307444">
      <w:pPr>
        <w:pStyle w:val="5"/>
        <w:wordWrap w:val="0"/>
        <w:spacing w:after="0" w:line="360" w:lineRule="auto"/>
        <w:ind w:firstLine="720" w:firstLineChars="300"/>
        <w:rPr>
          <w:rFonts w:hint="eastAsia" w:ascii="宋体" w:hAnsi="宋体"/>
          <w:sz w:val="24"/>
          <w:szCs w:val="24"/>
        </w:rPr>
      </w:pPr>
      <w:r>
        <w:rPr>
          <w:rFonts w:hint="eastAsia" w:ascii="宋体" w:hAnsi="宋体"/>
          <w:sz w:val="24"/>
          <w:szCs w:val="24"/>
        </w:rPr>
        <w:t>6</w:t>
      </w:r>
      <w:r>
        <w:rPr>
          <w:rFonts w:ascii="宋体" w:hAnsi="宋体"/>
          <w:sz w:val="24"/>
          <w:szCs w:val="24"/>
        </w:rPr>
        <w:t>.</w:t>
      </w:r>
      <w:r>
        <w:rPr>
          <w:rFonts w:hint="eastAsia" w:ascii="宋体" w:hAnsi="宋体"/>
          <w:sz w:val="24"/>
          <w:szCs w:val="24"/>
        </w:rPr>
        <w:t>磋商小组成员阅览竞争性磋商文件及响应文件。</w:t>
      </w:r>
      <w:bookmarkStart w:id="504" w:name="_Toc19368"/>
      <w:bookmarkStart w:id="505" w:name="_Toc26415"/>
      <w:bookmarkStart w:id="506" w:name="_Toc8451"/>
      <w:bookmarkStart w:id="507" w:name="_Toc16765"/>
      <w:bookmarkStart w:id="508" w:name="_Toc178172037"/>
    </w:p>
    <w:p w14:paraId="7CE91EA7">
      <w:pPr>
        <w:pStyle w:val="5"/>
        <w:wordWrap w:val="0"/>
        <w:spacing w:after="0" w:line="360" w:lineRule="auto"/>
        <w:ind w:firstLine="720" w:firstLineChars="300"/>
        <w:rPr>
          <w:rFonts w:hint="eastAsia" w:ascii="黑体" w:hAnsi="黑体"/>
          <w:sz w:val="24"/>
        </w:rPr>
      </w:pPr>
      <w:r>
        <w:rPr>
          <w:rFonts w:hint="eastAsia" w:ascii="黑体" w:hAnsi="黑体"/>
          <w:sz w:val="24"/>
        </w:rPr>
        <w:t>（五）评审程序</w:t>
      </w:r>
      <w:r>
        <w:rPr>
          <w:rFonts w:ascii="黑体" w:hAnsi="黑体"/>
          <w:sz w:val="24"/>
        </w:rPr>
        <w:t>如下：</w:t>
      </w:r>
      <w:bookmarkEnd w:id="504"/>
      <w:bookmarkEnd w:id="505"/>
      <w:bookmarkEnd w:id="506"/>
      <w:bookmarkEnd w:id="507"/>
      <w:bookmarkEnd w:id="508"/>
      <w:bookmarkStart w:id="509" w:name="_Toc178172038"/>
      <w:bookmarkStart w:id="510" w:name="_Toc6747"/>
    </w:p>
    <w:p w14:paraId="1649F797">
      <w:pPr>
        <w:pStyle w:val="5"/>
        <w:wordWrap w:val="0"/>
        <w:spacing w:after="0" w:line="360" w:lineRule="auto"/>
        <w:ind w:firstLine="720" w:firstLineChars="300"/>
        <w:rPr>
          <w:rFonts w:hint="eastAsia" w:ascii="宋体" w:hAnsi="宋体" w:cs="宋体"/>
          <w:bCs/>
          <w:sz w:val="24"/>
        </w:rPr>
      </w:pPr>
      <w:r>
        <w:rPr>
          <w:rFonts w:ascii="宋体" w:hAnsi="宋体" w:cs="宋体"/>
          <w:bCs/>
          <w:sz w:val="24"/>
        </w:rPr>
        <w:t>1</w:t>
      </w:r>
      <w:r>
        <w:rPr>
          <w:rFonts w:hint="eastAsia" w:ascii="宋体" w:hAnsi="宋体" w:cs="宋体"/>
          <w:bCs/>
          <w:sz w:val="24"/>
        </w:rPr>
        <w:t>.资格</w:t>
      </w:r>
      <w:r>
        <w:rPr>
          <w:rFonts w:ascii="宋体" w:hAnsi="宋体" w:cs="宋体"/>
          <w:bCs/>
          <w:sz w:val="24"/>
        </w:rPr>
        <w:t>审查工作</w:t>
      </w:r>
      <w:r>
        <w:rPr>
          <w:rFonts w:hint="eastAsia" w:ascii="宋体" w:hAnsi="宋体" w:cs="宋体"/>
          <w:bCs/>
          <w:sz w:val="24"/>
        </w:rPr>
        <w:t>；</w:t>
      </w:r>
      <w:bookmarkEnd w:id="509"/>
      <w:bookmarkEnd w:id="510"/>
      <w:bookmarkStart w:id="511" w:name="_Toc26831"/>
      <w:bookmarkStart w:id="512" w:name="_Toc178172039"/>
    </w:p>
    <w:p w14:paraId="2EAC0657">
      <w:pPr>
        <w:pStyle w:val="5"/>
        <w:wordWrap w:val="0"/>
        <w:spacing w:after="0" w:line="360" w:lineRule="auto"/>
        <w:ind w:firstLine="720" w:firstLineChars="300"/>
        <w:rPr>
          <w:rFonts w:hint="eastAsia" w:ascii="宋体" w:hAnsi="宋体" w:cs="宋体"/>
          <w:sz w:val="24"/>
        </w:rPr>
      </w:pPr>
      <w:r>
        <w:rPr>
          <w:rFonts w:hint="eastAsia" w:ascii="宋体" w:hAnsi="宋体" w:cs="宋体"/>
          <w:sz w:val="24"/>
        </w:rPr>
        <w:t>2.符合性</w:t>
      </w:r>
      <w:r>
        <w:rPr>
          <w:rFonts w:ascii="宋体" w:hAnsi="宋体" w:cs="宋体"/>
          <w:sz w:val="24"/>
        </w:rPr>
        <w:t>审查工作</w:t>
      </w:r>
      <w:r>
        <w:rPr>
          <w:rFonts w:hint="eastAsia" w:ascii="宋体" w:hAnsi="宋体" w:cs="宋体"/>
          <w:sz w:val="24"/>
        </w:rPr>
        <w:t>；</w:t>
      </w:r>
      <w:bookmarkEnd w:id="511"/>
      <w:bookmarkStart w:id="513" w:name="_Toc13499"/>
    </w:p>
    <w:p w14:paraId="187C1113">
      <w:pPr>
        <w:pStyle w:val="5"/>
        <w:wordWrap w:val="0"/>
        <w:spacing w:after="0" w:line="360" w:lineRule="auto"/>
        <w:ind w:firstLine="720" w:firstLineChars="300"/>
        <w:rPr>
          <w:rFonts w:hint="eastAsia" w:ascii="宋体" w:hAnsi="宋体"/>
          <w:sz w:val="24"/>
          <w:szCs w:val="24"/>
        </w:rPr>
      </w:pPr>
      <w:r>
        <w:rPr>
          <w:rFonts w:hint="eastAsia" w:ascii="宋体" w:hAnsi="宋体"/>
          <w:sz w:val="24"/>
          <w:szCs w:val="24"/>
        </w:rPr>
        <w:t>3.澄清；</w:t>
      </w:r>
      <w:bookmarkEnd w:id="512"/>
      <w:bookmarkEnd w:id="513"/>
    </w:p>
    <w:p w14:paraId="6AA7B4BB">
      <w:pPr>
        <w:pStyle w:val="8"/>
        <w:wordWrap w:val="0"/>
        <w:spacing w:before="0" w:after="0" w:line="360" w:lineRule="auto"/>
        <w:ind w:firstLine="480" w:firstLineChars="200"/>
        <w:rPr>
          <w:rFonts w:hint="eastAsia" w:ascii="宋体" w:hAnsi="宋体"/>
          <w:b w:val="0"/>
          <w:sz w:val="24"/>
          <w:szCs w:val="24"/>
        </w:rPr>
      </w:pPr>
      <w:bookmarkStart w:id="514" w:name="_Toc13900"/>
      <w:bookmarkStart w:id="515" w:name="_Toc178172040"/>
      <w:r>
        <w:rPr>
          <w:rFonts w:hint="eastAsia" w:ascii="宋体" w:hAnsi="宋体"/>
          <w:b w:val="0"/>
          <w:sz w:val="24"/>
          <w:szCs w:val="24"/>
        </w:rPr>
        <w:t>4.磋商；</w:t>
      </w:r>
      <w:bookmarkEnd w:id="514"/>
    </w:p>
    <w:p w14:paraId="3ECD57EE">
      <w:pPr>
        <w:pStyle w:val="8"/>
        <w:wordWrap w:val="0"/>
        <w:spacing w:before="0" w:after="0" w:line="360" w:lineRule="auto"/>
        <w:ind w:firstLine="480" w:firstLineChars="200"/>
        <w:rPr>
          <w:rFonts w:hint="eastAsia" w:ascii="宋体" w:hAnsi="宋体"/>
          <w:b w:val="0"/>
          <w:sz w:val="24"/>
          <w:szCs w:val="24"/>
        </w:rPr>
      </w:pPr>
      <w:bookmarkStart w:id="516" w:name="_Toc8204"/>
      <w:r>
        <w:rPr>
          <w:rFonts w:hint="eastAsia" w:ascii="宋体" w:hAnsi="宋体"/>
          <w:b w:val="0"/>
          <w:sz w:val="24"/>
          <w:szCs w:val="24"/>
        </w:rPr>
        <w:t>5.最后报价；</w:t>
      </w:r>
      <w:bookmarkEnd w:id="516"/>
    </w:p>
    <w:p w14:paraId="66B311D0">
      <w:pPr>
        <w:pStyle w:val="8"/>
        <w:wordWrap w:val="0"/>
        <w:spacing w:before="0" w:after="0" w:line="360" w:lineRule="auto"/>
        <w:ind w:firstLine="480" w:firstLineChars="200"/>
        <w:rPr>
          <w:rFonts w:hint="eastAsia" w:ascii="宋体" w:hAnsi="宋体"/>
          <w:b w:val="0"/>
          <w:sz w:val="24"/>
          <w:szCs w:val="24"/>
        </w:rPr>
      </w:pPr>
      <w:bookmarkStart w:id="517" w:name="_Toc31782"/>
      <w:r>
        <w:rPr>
          <w:rFonts w:hint="eastAsia" w:ascii="宋体" w:hAnsi="宋体"/>
          <w:b w:val="0"/>
          <w:sz w:val="24"/>
          <w:szCs w:val="24"/>
        </w:rPr>
        <w:t>6.详细评审；</w:t>
      </w:r>
      <w:bookmarkEnd w:id="515"/>
      <w:bookmarkEnd w:id="517"/>
    </w:p>
    <w:p w14:paraId="7EBF35EB">
      <w:pPr>
        <w:pStyle w:val="8"/>
        <w:wordWrap w:val="0"/>
        <w:spacing w:before="0" w:after="0" w:line="360" w:lineRule="auto"/>
        <w:ind w:firstLine="480" w:firstLineChars="200"/>
        <w:rPr>
          <w:rFonts w:hint="eastAsia" w:ascii="宋体" w:hAnsi="宋体"/>
          <w:b w:val="0"/>
          <w:sz w:val="24"/>
          <w:szCs w:val="24"/>
        </w:rPr>
      </w:pPr>
      <w:bookmarkStart w:id="518" w:name="_Toc178172041"/>
      <w:bookmarkStart w:id="519" w:name="_Toc11702"/>
      <w:bookmarkStart w:id="520" w:name="OLE_LINK48"/>
      <w:bookmarkStart w:id="521" w:name="OLE_LINK47"/>
      <w:r>
        <w:rPr>
          <w:rFonts w:hint="eastAsia" w:ascii="宋体" w:hAnsi="宋体"/>
          <w:b w:val="0"/>
          <w:sz w:val="24"/>
          <w:szCs w:val="24"/>
        </w:rPr>
        <w:t>7.</w:t>
      </w:r>
      <w:bookmarkStart w:id="522" w:name="OLE_LINK102"/>
      <w:bookmarkStart w:id="523" w:name="_Hlk218433825"/>
      <w:r>
        <w:rPr>
          <w:rFonts w:hint="eastAsia" w:ascii="宋体" w:hAnsi="宋体"/>
          <w:b w:val="0"/>
          <w:sz w:val="24"/>
          <w:szCs w:val="24"/>
        </w:rPr>
        <w:t>出具评审报告</w:t>
      </w:r>
      <w:bookmarkEnd w:id="522"/>
      <w:bookmarkEnd w:id="523"/>
      <w:r>
        <w:rPr>
          <w:rFonts w:hint="eastAsia" w:ascii="宋体" w:hAnsi="宋体"/>
          <w:b w:val="0"/>
          <w:sz w:val="24"/>
          <w:szCs w:val="24"/>
        </w:rPr>
        <w:t>。</w:t>
      </w:r>
      <w:bookmarkEnd w:id="518"/>
      <w:bookmarkEnd w:id="519"/>
    </w:p>
    <w:p w14:paraId="08848504">
      <w:pPr>
        <w:pStyle w:val="7"/>
        <w:wordWrap w:val="0"/>
        <w:spacing w:before="0" w:after="0" w:line="360" w:lineRule="auto"/>
        <w:rPr>
          <w:rFonts w:hint="eastAsia" w:ascii="黑体" w:hAnsi="黑体"/>
          <w:b w:val="0"/>
          <w:bCs w:val="0"/>
          <w:sz w:val="24"/>
        </w:rPr>
      </w:pPr>
      <w:bookmarkStart w:id="524" w:name="_Toc20894"/>
      <w:bookmarkStart w:id="525" w:name="_Toc27640"/>
      <w:bookmarkStart w:id="526" w:name="_Toc2001"/>
      <w:bookmarkStart w:id="527" w:name="_Toc2818"/>
      <w:r>
        <w:rPr>
          <w:rFonts w:hint="eastAsia" w:ascii="黑体" w:hAnsi="黑体"/>
          <w:b w:val="0"/>
          <w:bCs w:val="0"/>
          <w:sz w:val="24"/>
        </w:rPr>
        <w:t>（六）</w:t>
      </w:r>
      <w:r>
        <w:rPr>
          <w:rFonts w:ascii="黑体" w:hAnsi="黑体"/>
          <w:b w:val="0"/>
          <w:bCs w:val="0"/>
          <w:sz w:val="24"/>
        </w:rPr>
        <w:t>资格审查</w:t>
      </w:r>
      <w:bookmarkEnd w:id="524"/>
      <w:bookmarkEnd w:id="525"/>
      <w:bookmarkEnd w:id="526"/>
      <w:bookmarkEnd w:id="527"/>
    </w:p>
    <w:p w14:paraId="5EEF9BAE">
      <w:pPr>
        <w:pStyle w:val="5"/>
        <w:wordWrap w:val="0"/>
        <w:spacing w:after="0" w:line="360" w:lineRule="auto"/>
        <w:ind w:firstLine="480" w:firstLineChars="200"/>
        <w:rPr>
          <w:rFonts w:hint="eastAsia" w:ascii="宋体" w:hAnsi="宋体"/>
          <w:sz w:val="24"/>
        </w:rPr>
      </w:pPr>
      <w:bookmarkStart w:id="528" w:name="_Toc178172043"/>
      <w:r>
        <w:rPr>
          <w:rFonts w:hint="eastAsia" w:ascii="宋体" w:hAnsi="宋体"/>
          <w:sz w:val="24"/>
        </w:rPr>
        <w:t>1.磋商小组</w:t>
      </w:r>
      <w:r>
        <w:rPr>
          <w:rFonts w:ascii="宋体" w:hAnsi="宋体"/>
          <w:sz w:val="24"/>
        </w:rPr>
        <w:t>根据《</w:t>
      </w:r>
      <w:r>
        <w:rPr>
          <w:rFonts w:hint="eastAsia" w:ascii="宋体" w:hAnsi="宋体"/>
          <w:sz w:val="24"/>
        </w:rPr>
        <w:t>资格</w:t>
      </w:r>
      <w:r>
        <w:rPr>
          <w:rFonts w:ascii="宋体" w:hAnsi="宋体"/>
          <w:sz w:val="24"/>
        </w:rPr>
        <w:t>审查</w:t>
      </w:r>
      <w:r>
        <w:rPr>
          <w:rFonts w:hint="eastAsia" w:ascii="宋体" w:hAnsi="宋体"/>
          <w:sz w:val="24"/>
        </w:rPr>
        <w:t>表</w:t>
      </w:r>
      <w:r>
        <w:rPr>
          <w:rFonts w:ascii="宋体" w:hAnsi="宋体"/>
          <w:sz w:val="24"/>
        </w:rPr>
        <w:t>》中规定的审查因素和审查内容，对</w:t>
      </w:r>
      <w:r>
        <w:rPr>
          <w:rFonts w:hint="eastAsia" w:ascii="宋体" w:hAnsi="宋体"/>
          <w:sz w:val="24"/>
        </w:rPr>
        <w:t>供应商</w:t>
      </w:r>
      <w:r>
        <w:rPr>
          <w:rFonts w:ascii="宋体" w:hAnsi="宋体"/>
          <w:sz w:val="24"/>
        </w:rPr>
        <w:t>进行</w:t>
      </w:r>
      <w:r>
        <w:rPr>
          <w:rFonts w:hint="eastAsia" w:ascii="宋体" w:hAnsi="宋体"/>
          <w:sz w:val="24"/>
        </w:rPr>
        <w:t>资格</w:t>
      </w:r>
      <w:r>
        <w:rPr>
          <w:rFonts w:ascii="宋体" w:hAnsi="宋体"/>
          <w:sz w:val="24"/>
        </w:rPr>
        <w:t>审查，并形成</w:t>
      </w:r>
      <w:r>
        <w:rPr>
          <w:rFonts w:hint="eastAsia" w:ascii="宋体" w:hAnsi="宋体"/>
          <w:sz w:val="24"/>
        </w:rPr>
        <w:t>资格</w:t>
      </w:r>
      <w:r>
        <w:rPr>
          <w:rFonts w:ascii="宋体" w:hAnsi="宋体"/>
          <w:sz w:val="24"/>
        </w:rPr>
        <w:t>审查评审结果。</w:t>
      </w:r>
      <w:r>
        <w:rPr>
          <w:rFonts w:hint="eastAsia" w:ascii="宋体" w:hAnsi="宋体"/>
          <w:sz w:val="24"/>
        </w:rPr>
        <w:t>供应商的响应文件中</w:t>
      </w:r>
      <w:r>
        <w:rPr>
          <w:rFonts w:ascii="宋体" w:hAnsi="宋体"/>
          <w:sz w:val="24"/>
        </w:rPr>
        <w:t>有任何一项不符合《</w:t>
      </w:r>
      <w:r>
        <w:rPr>
          <w:rFonts w:hint="eastAsia" w:ascii="宋体" w:hAnsi="宋体"/>
          <w:sz w:val="24"/>
        </w:rPr>
        <w:t>资格</w:t>
      </w:r>
      <w:r>
        <w:rPr>
          <w:rFonts w:ascii="宋体" w:hAnsi="宋体"/>
          <w:sz w:val="24"/>
        </w:rPr>
        <w:t>审查</w:t>
      </w:r>
      <w:r>
        <w:rPr>
          <w:rFonts w:hint="eastAsia" w:ascii="宋体" w:hAnsi="宋体"/>
          <w:sz w:val="24"/>
        </w:rPr>
        <w:t>表</w:t>
      </w:r>
      <w:r>
        <w:rPr>
          <w:rFonts w:ascii="宋体" w:hAnsi="宋体"/>
          <w:sz w:val="24"/>
        </w:rPr>
        <w:t>》要求的，</w:t>
      </w:r>
      <w:r>
        <w:rPr>
          <w:rFonts w:hint="eastAsia" w:ascii="宋体" w:hAnsi="宋体"/>
          <w:sz w:val="24"/>
        </w:rPr>
        <w:t>提交响应文件</w:t>
      </w:r>
      <w:r>
        <w:rPr>
          <w:rFonts w:ascii="宋体" w:hAnsi="宋体"/>
          <w:sz w:val="24"/>
        </w:rPr>
        <w:t>无效。</w:t>
      </w:r>
      <w:r>
        <w:rPr>
          <w:rFonts w:hint="eastAsia" w:ascii="宋体" w:hAnsi="宋体"/>
          <w:sz w:val="24"/>
        </w:rPr>
        <w:t>资格</w:t>
      </w:r>
      <w:r>
        <w:rPr>
          <w:rFonts w:ascii="宋体" w:hAnsi="宋体"/>
          <w:sz w:val="24"/>
        </w:rPr>
        <w:t>审查要求</w:t>
      </w:r>
      <w:r>
        <w:rPr>
          <w:rFonts w:hint="eastAsia" w:ascii="宋体" w:hAnsi="宋体"/>
          <w:sz w:val="24"/>
        </w:rPr>
        <w:t>详见本章</w:t>
      </w:r>
      <w:r>
        <w:rPr>
          <w:rFonts w:ascii="宋体" w:hAnsi="宋体"/>
          <w:sz w:val="24"/>
        </w:rPr>
        <w:t>《</w:t>
      </w:r>
      <w:r>
        <w:rPr>
          <w:rFonts w:hint="eastAsia" w:ascii="宋体" w:hAnsi="宋体"/>
          <w:sz w:val="24"/>
        </w:rPr>
        <w:t>资格</w:t>
      </w:r>
      <w:r>
        <w:rPr>
          <w:rFonts w:ascii="宋体" w:hAnsi="宋体"/>
          <w:sz w:val="24"/>
        </w:rPr>
        <w:t>审查</w:t>
      </w:r>
      <w:r>
        <w:rPr>
          <w:rFonts w:hint="eastAsia" w:ascii="宋体" w:hAnsi="宋体"/>
          <w:sz w:val="24"/>
        </w:rPr>
        <w:t>表</w:t>
      </w:r>
      <w:r>
        <w:rPr>
          <w:rFonts w:ascii="宋体" w:hAnsi="宋体"/>
          <w:sz w:val="24"/>
        </w:rPr>
        <w:t>》</w:t>
      </w:r>
      <w:r>
        <w:rPr>
          <w:rFonts w:hint="eastAsia" w:ascii="宋体" w:hAnsi="宋体"/>
          <w:sz w:val="24"/>
        </w:rPr>
        <w:t>。</w:t>
      </w:r>
    </w:p>
    <w:p w14:paraId="29344904">
      <w:pPr>
        <w:pStyle w:val="5"/>
        <w:wordWrap w:val="0"/>
        <w:spacing w:after="0" w:line="360" w:lineRule="auto"/>
        <w:ind w:firstLine="480" w:firstLineChars="200"/>
        <w:rPr>
          <w:rFonts w:hint="eastAsia" w:ascii="宋体" w:hAnsi="宋体"/>
          <w:sz w:val="24"/>
        </w:rPr>
      </w:pPr>
      <w:r>
        <w:rPr>
          <w:rFonts w:hint="eastAsia" w:ascii="宋体" w:hAnsi="宋体"/>
          <w:sz w:val="24"/>
        </w:rPr>
        <w:t>2.未通过资格审查的响应文件不能进入下一阶段评审，其响应文件将被认定为无效响应文件。</w:t>
      </w:r>
    </w:p>
    <w:p w14:paraId="55E1DA05">
      <w:pPr>
        <w:pStyle w:val="7"/>
        <w:wordWrap w:val="0"/>
        <w:spacing w:before="0" w:after="0" w:line="360" w:lineRule="auto"/>
        <w:rPr>
          <w:rFonts w:hint="eastAsia" w:ascii="黑体" w:hAnsi="黑体"/>
          <w:b w:val="0"/>
          <w:bCs w:val="0"/>
          <w:sz w:val="24"/>
        </w:rPr>
      </w:pPr>
      <w:bookmarkStart w:id="529" w:name="_Toc8424"/>
      <w:bookmarkStart w:id="530" w:name="_Toc31480"/>
      <w:bookmarkStart w:id="531" w:name="_Toc4142"/>
      <w:bookmarkStart w:id="532" w:name="_Toc23947"/>
      <w:r>
        <w:rPr>
          <w:rFonts w:hint="eastAsia" w:ascii="黑体" w:hAnsi="黑体"/>
          <w:b w:val="0"/>
          <w:bCs w:val="0"/>
          <w:sz w:val="24"/>
        </w:rPr>
        <w:t>（七）符合性审查</w:t>
      </w:r>
      <w:bookmarkEnd w:id="528"/>
      <w:bookmarkEnd w:id="529"/>
      <w:bookmarkEnd w:id="530"/>
      <w:bookmarkEnd w:id="531"/>
      <w:bookmarkEnd w:id="532"/>
    </w:p>
    <w:p w14:paraId="5475DB2A">
      <w:pPr>
        <w:pStyle w:val="5"/>
        <w:wordWrap w:val="0"/>
        <w:spacing w:line="360" w:lineRule="auto"/>
        <w:ind w:firstLine="540" w:firstLineChars="225"/>
        <w:rPr>
          <w:rFonts w:hint="eastAsia" w:ascii="宋体" w:hAnsi="宋体"/>
          <w:sz w:val="24"/>
        </w:rPr>
      </w:pPr>
      <w:r>
        <w:rPr>
          <w:rFonts w:hint="eastAsia" w:ascii="宋体" w:hAnsi="宋体"/>
          <w:sz w:val="24"/>
        </w:rPr>
        <w:t>1.磋商小组</w:t>
      </w:r>
      <w:r>
        <w:rPr>
          <w:rFonts w:ascii="宋体" w:hAnsi="宋体"/>
          <w:sz w:val="24"/>
        </w:rPr>
        <w:t>根据《符合性审查</w:t>
      </w:r>
      <w:r>
        <w:rPr>
          <w:rFonts w:hint="eastAsia" w:ascii="宋体" w:hAnsi="宋体"/>
          <w:sz w:val="24"/>
        </w:rPr>
        <w:t>表</w:t>
      </w:r>
      <w:r>
        <w:rPr>
          <w:rFonts w:ascii="宋体" w:hAnsi="宋体"/>
          <w:sz w:val="24"/>
        </w:rPr>
        <w:t>》中规定的审查因素和审查内容，对</w:t>
      </w:r>
      <w:r>
        <w:rPr>
          <w:rFonts w:hint="eastAsia" w:ascii="宋体" w:hAnsi="宋体"/>
          <w:sz w:val="24"/>
        </w:rPr>
        <w:t>供应商</w:t>
      </w:r>
      <w:r>
        <w:rPr>
          <w:rFonts w:ascii="宋体" w:hAnsi="宋体"/>
          <w:sz w:val="24"/>
        </w:rPr>
        <w:t>的</w:t>
      </w:r>
      <w:r>
        <w:rPr>
          <w:rFonts w:hint="eastAsia" w:ascii="宋体" w:hAnsi="宋体"/>
          <w:sz w:val="24"/>
        </w:rPr>
        <w:t>响应文件</w:t>
      </w:r>
      <w:r>
        <w:rPr>
          <w:rFonts w:ascii="宋体" w:hAnsi="宋体"/>
          <w:sz w:val="24"/>
        </w:rPr>
        <w:t>是否实质上响应</w:t>
      </w:r>
      <w:r>
        <w:rPr>
          <w:rFonts w:hint="eastAsia" w:ascii="宋体" w:hAnsi="宋体"/>
          <w:sz w:val="24"/>
        </w:rPr>
        <w:t>竞争性磋商文件</w:t>
      </w:r>
      <w:r>
        <w:rPr>
          <w:rFonts w:ascii="宋体" w:hAnsi="宋体"/>
          <w:sz w:val="24"/>
        </w:rPr>
        <w:t>进行符合性审查，并形成符合性审查评审结果。</w:t>
      </w:r>
      <w:r>
        <w:rPr>
          <w:rFonts w:hint="eastAsia" w:ascii="宋体" w:hAnsi="宋体"/>
          <w:sz w:val="24"/>
        </w:rPr>
        <w:t>供应商的响应文件中</w:t>
      </w:r>
      <w:r>
        <w:rPr>
          <w:rFonts w:ascii="宋体" w:hAnsi="宋体"/>
          <w:sz w:val="24"/>
        </w:rPr>
        <w:t>有任何一项不符合《符合性审查</w:t>
      </w:r>
      <w:r>
        <w:rPr>
          <w:rFonts w:hint="eastAsia" w:ascii="宋体" w:hAnsi="宋体"/>
          <w:sz w:val="24"/>
        </w:rPr>
        <w:t>表</w:t>
      </w:r>
      <w:r>
        <w:rPr>
          <w:rFonts w:ascii="宋体" w:hAnsi="宋体"/>
          <w:sz w:val="24"/>
        </w:rPr>
        <w:t>》要求的，</w:t>
      </w:r>
      <w:r>
        <w:rPr>
          <w:rFonts w:hint="eastAsia" w:ascii="宋体" w:hAnsi="宋体"/>
          <w:sz w:val="24"/>
        </w:rPr>
        <w:t>提交响应文件</w:t>
      </w:r>
      <w:r>
        <w:rPr>
          <w:rFonts w:ascii="宋体" w:hAnsi="宋体"/>
          <w:sz w:val="24"/>
        </w:rPr>
        <w:t>无效。符合性审查要求</w:t>
      </w:r>
      <w:r>
        <w:rPr>
          <w:rFonts w:hint="eastAsia" w:ascii="宋体" w:hAnsi="宋体"/>
          <w:sz w:val="24"/>
        </w:rPr>
        <w:t>详见本章</w:t>
      </w:r>
      <w:r>
        <w:rPr>
          <w:rFonts w:ascii="宋体" w:hAnsi="宋体"/>
          <w:sz w:val="24"/>
        </w:rPr>
        <w:t>《符合性审查</w:t>
      </w:r>
      <w:r>
        <w:rPr>
          <w:rFonts w:hint="eastAsia" w:ascii="宋体" w:hAnsi="宋体"/>
          <w:sz w:val="24"/>
        </w:rPr>
        <w:t>表</w:t>
      </w:r>
      <w:r>
        <w:rPr>
          <w:rFonts w:ascii="宋体" w:hAnsi="宋体"/>
          <w:sz w:val="24"/>
        </w:rPr>
        <w:t>》</w:t>
      </w:r>
      <w:r>
        <w:rPr>
          <w:rFonts w:hint="eastAsia" w:ascii="宋体" w:hAnsi="宋体"/>
          <w:sz w:val="24"/>
        </w:rPr>
        <w:t>。</w:t>
      </w:r>
    </w:p>
    <w:p w14:paraId="4865C2EF">
      <w:pPr>
        <w:wordWrap w:val="0"/>
        <w:adjustRightInd w:val="0"/>
        <w:snapToGrid w:val="0"/>
        <w:spacing w:line="360" w:lineRule="auto"/>
        <w:ind w:firstLine="480" w:firstLineChars="200"/>
        <w:rPr>
          <w:rFonts w:hint="eastAsia" w:ascii="宋体" w:hAnsi="宋体"/>
          <w:sz w:val="24"/>
        </w:rPr>
      </w:pPr>
      <w:r>
        <w:rPr>
          <w:rFonts w:hint="eastAsia" w:ascii="宋体" w:hAnsi="宋体"/>
          <w:sz w:val="24"/>
        </w:rPr>
        <w:t>2.磋商小组将对符合资格条件的响应文件进行符合性审查。符合性审查是指磋商小组依据竞争性磋商文件的规定，从商务和技术角度对响应文件的有效性、完整性和响应程度进行审查</w:t>
      </w:r>
      <w:r>
        <w:rPr>
          <w:rFonts w:ascii="宋体" w:hAnsi="宋体"/>
          <w:sz w:val="24"/>
        </w:rPr>
        <w:t>并形成</w:t>
      </w:r>
      <w:r>
        <w:rPr>
          <w:rFonts w:hint="eastAsia" w:ascii="宋体" w:hAnsi="宋体"/>
          <w:sz w:val="24"/>
        </w:rPr>
        <w:t>符合性</w:t>
      </w:r>
      <w:r>
        <w:rPr>
          <w:rFonts w:ascii="宋体" w:hAnsi="宋体"/>
          <w:sz w:val="24"/>
        </w:rPr>
        <w:t>审查结果</w:t>
      </w:r>
      <w:r>
        <w:rPr>
          <w:rFonts w:hint="eastAsia" w:ascii="宋体" w:hAnsi="宋体"/>
          <w:sz w:val="24"/>
        </w:rPr>
        <w:t>，以确定其是否满足竞争性磋商文件的实质性要求。供应商应当按照竞争性磋商文件中的相关要求，提交符合性证明材料。未通过符合性审查的响应文件不能进入下一阶段评审，其响应文件将被认定为无效响应文件；通过符合性审查的供应商数量不足3家的，不得作进一步的比较和评价。</w:t>
      </w:r>
    </w:p>
    <w:p w14:paraId="02F41B27">
      <w:pPr>
        <w:wordWrap w:val="0"/>
        <w:spacing w:line="360" w:lineRule="auto"/>
        <w:ind w:firstLine="480" w:firstLineChars="200"/>
        <w:rPr>
          <w:rFonts w:hint="eastAsia" w:ascii="宋体" w:hAnsi="宋体" w:cs="仿宋_GB2312"/>
          <w:sz w:val="24"/>
          <w:shd w:val="clear" w:color="auto" w:fill="FFFFFF"/>
        </w:rPr>
      </w:pPr>
      <w:bookmarkStart w:id="533" w:name="_Toc178172044"/>
      <w:r>
        <w:rPr>
          <w:rFonts w:hint="eastAsia" w:ascii="宋体" w:hAnsi="宋体" w:cs="仿宋_GB2312"/>
          <w:sz w:val="24"/>
          <w:shd w:val="clear" w:color="auto" w:fill="FFFFFF"/>
        </w:rPr>
        <w:t>3.特殊情况</w:t>
      </w:r>
    </w:p>
    <w:p w14:paraId="69C24FDA">
      <w:pPr>
        <w:wordWrap w:val="0"/>
        <w:spacing w:line="360" w:lineRule="auto"/>
        <w:ind w:firstLine="480" w:firstLineChars="200"/>
        <w:rPr>
          <w:rFonts w:hint="eastAsia" w:ascii="宋体" w:hAnsi="宋体"/>
          <w:sz w:val="24"/>
        </w:rPr>
      </w:pPr>
      <w:r>
        <w:rPr>
          <w:rFonts w:hint="eastAsia" w:ascii="宋体" w:hAnsi="宋体"/>
          <w:sz w:val="24"/>
        </w:rPr>
        <w:t>采用竞争性磋商采购方式采购“市场竞争不充分的科研项目，以及需要扶持的科技成果转化项目”，</w:t>
      </w:r>
      <w:r>
        <w:rPr>
          <w:rFonts w:hint="eastAsia" w:ascii="宋体" w:hAnsi="宋体" w:cs="仿宋_GB2312"/>
          <w:sz w:val="24"/>
        </w:rPr>
        <w:t>通过资格审查的供应商不足</w:t>
      </w:r>
      <w:r>
        <w:rPr>
          <w:rFonts w:ascii="宋体" w:hAnsi="宋体" w:cs="仿宋_GB2312"/>
          <w:sz w:val="24"/>
        </w:rPr>
        <w:t>2</w:t>
      </w:r>
      <w:r>
        <w:rPr>
          <w:rFonts w:hint="eastAsia" w:ascii="宋体" w:hAnsi="宋体" w:cs="仿宋_GB2312"/>
          <w:sz w:val="24"/>
        </w:rPr>
        <w:t>家的</w:t>
      </w:r>
      <w:r>
        <w:rPr>
          <w:rFonts w:hint="eastAsia" w:ascii="宋体" w:hAnsi="宋体" w:cs="仿宋_GB2312"/>
          <w:sz w:val="24"/>
          <w:shd w:val="clear" w:color="auto" w:fill="FFFFFF"/>
        </w:rPr>
        <w:t>，不得进入下一阶段评审。</w:t>
      </w:r>
      <w:r>
        <w:rPr>
          <w:rFonts w:hint="eastAsia" w:ascii="宋体" w:hAnsi="宋体"/>
          <w:sz w:val="24"/>
        </w:rPr>
        <w:t>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5E7E503D">
      <w:pPr>
        <w:pStyle w:val="7"/>
        <w:wordWrap w:val="0"/>
        <w:spacing w:before="0" w:after="0" w:line="360" w:lineRule="auto"/>
        <w:rPr>
          <w:rFonts w:hint="eastAsia" w:ascii="黑体" w:hAnsi="黑体"/>
          <w:b w:val="0"/>
          <w:bCs w:val="0"/>
          <w:sz w:val="24"/>
        </w:rPr>
      </w:pPr>
      <w:bookmarkStart w:id="534" w:name="_Toc11914"/>
      <w:bookmarkStart w:id="535" w:name="_Toc24510"/>
      <w:bookmarkStart w:id="536" w:name="_Toc27848"/>
      <w:bookmarkStart w:id="537" w:name="_Toc13582"/>
      <w:r>
        <w:rPr>
          <w:rFonts w:hint="eastAsia" w:ascii="黑体" w:hAnsi="黑体"/>
          <w:b w:val="0"/>
          <w:bCs w:val="0"/>
          <w:sz w:val="24"/>
        </w:rPr>
        <w:t>（八）响应文件的澄清</w:t>
      </w:r>
      <w:bookmarkEnd w:id="533"/>
      <w:r>
        <w:rPr>
          <w:rFonts w:hint="eastAsia" w:ascii="黑体" w:hAnsi="黑体"/>
          <w:b w:val="0"/>
          <w:bCs w:val="0"/>
          <w:sz w:val="24"/>
        </w:rPr>
        <w:t>、磋商、最后报价</w:t>
      </w:r>
      <w:bookmarkEnd w:id="534"/>
      <w:bookmarkEnd w:id="535"/>
      <w:bookmarkEnd w:id="536"/>
      <w:bookmarkEnd w:id="537"/>
    </w:p>
    <w:p w14:paraId="2ED9102C">
      <w:pPr>
        <w:wordWrap w:val="0"/>
        <w:spacing w:line="360" w:lineRule="auto"/>
        <w:ind w:firstLine="480" w:firstLineChars="200"/>
        <w:rPr>
          <w:rFonts w:hint="eastAsia" w:ascii="宋体" w:hAnsi="宋体"/>
          <w:sz w:val="24"/>
        </w:rPr>
      </w:pPr>
      <w:bookmarkStart w:id="538" w:name="_Hlk165273751"/>
      <w:r>
        <w:rPr>
          <w:rFonts w:hint="eastAsia" w:ascii="宋体" w:hAnsi="宋体"/>
          <w:sz w:val="24"/>
        </w:rPr>
        <w:t>1.澄清</w:t>
      </w:r>
    </w:p>
    <w:p w14:paraId="584E43EC">
      <w:pPr>
        <w:wordWrap w:val="0"/>
        <w:spacing w:line="360" w:lineRule="auto"/>
        <w:ind w:firstLine="480" w:firstLineChars="200"/>
        <w:rPr>
          <w:rFonts w:hint="eastAsia" w:ascii="宋体" w:hAnsi="宋体"/>
          <w:sz w:val="24"/>
        </w:rPr>
      </w:pPr>
      <w:r>
        <w:rPr>
          <w:rFonts w:hint="eastAsia" w:ascii="宋体" w:hAnsi="宋体"/>
          <w:sz w:val="24"/>
        </w:rPr>
        <w:t>（1）在评审过程中，磋商小组可以以书面形式要求供应商对其响应文件中含义不明确、对同类问题表述不一致或者有明显文字和计算错误的内容等，作出必要的澄清、说明或补正。供应商的澄清、说明或补正应在磋商小组规定的时间内以书面方式进行，并不得超出响应文件范围或者改变响应文件的实质性内容，</w:t>
      </w:r>
      <w:r>
        <w:rPr>
          <w:sz w:val="24"/>
        </w:rPr>
        <w:t>澄清文件将作为</w:t>
      </w:r>
      <w:r>
        <w:rPr>
          <w:rFonts w:hint="eastAsia"/>
          <w:sz w:val="24"/>
        </w:rPr>
        <w:t>响应文件</w:t>
      </w:r>
      <w:r>
        <w:rPr>
          <w:sz w:val="24"/>
        </w:rPr>
        <w:t>内容的一部分。</w:t>
      </w:r>
      <w:bookmarkStart w:id="539" w:name="_Hlk177457531"/>
      <w:r>
        <w:rPr>
          <w:rFonts w:hint="eastAsia" w:ascii="宋体" w:hAnsi="宋体"/>
          <w:sz w:val="24"/>
        </w:rPr>
        <w:t>磋商小组不接受供应商主动提出对响应文件的澄清、修改、更正、说明、解释。</w:t>
      </w:r>
      <w:bookmarkEnd w:id="539"/>
    </w:p>
    <w:p w14:paraId="4D9089B4">
      <w:pPr>
        <w:wordWrap w:val="0"/>
        <w:spacing w:line="360" w:lineRule="auto"/>
        <w:ind w:firstLine="480" w:firstLineChars="200"/>
        <w:rPr>
          <w:rFonts w:hint="eastAsia" w:ascii="宋体" w:hAnsi="宋体"/>
          <w:sz w:val="24"/>
        </w:rPr>
      </w:pPr>
      <w:r>
        <w:rPr>
          <w:rFonts w:hint="eastAsia" w:ascii="宋体" w:hAnsi="宋体"/>
          <w:sz w:val="24"/>
        </w:rPr>
        <w:t>（2）磋商小组要求供应商对响应文件进行澄清、说明或者补正的将向供应商发出，供应商在收到该要求后，应在磋商小组要求的时间内做出相应的回复，如果磋商小组在规定的时间内没有收到供应商的回复则视为该供应商没有回复。</w:t>
      </w:r>
    </w:p>
    <w:p w14:paraId="3CFF977B">
      <w:pPr>
        <w:wordWrap w:val="0"/>
        <w:spacing w:line="360" w:lineRule="auto"/>
        <w:ind w:firstLine="480" w:firstLineChars="200"/>
        <w:rPr>
          <w:rFonts w:hint="eastAsia" w:ascii="宋体" w:hAnsi="宋体"/>
          <w:sz w:val="24"/>
        </w:rPr>
      </w:pPr>
      <w:r>
        <w:rPr>
          <w:rFonts w:hint="eastAsia" w:ascii="宋体" w:hAnsi="宋体"/>
          <w:sz w:val="24"/>
        </w:rPr>
        <w:t>（3）供应商不按磋商小组的要求进行回复的，或者不能在规定时间内作出回复的，或者回复内容不被磋商小组认可的，磋商小组可以否决其响应文件。</w:t>
      </w:r>
    </w:p>
    <w:p w14:paraId="34632266">
      <w:pPr>
        <w:wordWrap w:val="0"/>
        <w:spacing w:line="360" w:lineRule="auto"/>
        <w:ind w:firstLine="480" w:firstLineChars="200"/>
        <w:rPr>
          <w:rFonts w:hint="eastAsia" w:ascii="宋体" w:hAnsi="宋体"/>
          <w:sz w:val="24"/>
        </w:rPr>
      </w:pPr>
      <w:bookmarkStart w:id="540" w:name="OLE_LINK105"/>
      <w:bookmarkStart w:id="541" w:name="OLE_LINK106"/>
      <w:r>
        <w:rPr>
          <w:rFonts w:hint="eastAsia" w:ascii="宋体" w:hAnsi="宋体"/>
          <w:sz w:val="24"/>
        </w:rPr>
        <w:t>（4）供应商应当在磋商中根据需要进行文件答疑澄清等。</w:t>
      </w:r>
    </w:p>
    <w:bookmarkEnd w:id="540"/>
    <w:bookmarkEnd w:id="541"/>
    <w:p w14:paraId="5A2B7F4A">
      <w:pPr>
        <w:wordWrap w:val="0"/>
        <w:adjustRightInd w:val="0"/>
        <w:snapToGrid w:val="0"/>
        <w:spacing w:line="360" w:lineRule="auto"/>
        <w:ind w:firstLine="480" w:firstLineChars="200"/>
        <w:rPr>
          <w:rFonts w:hint="eastAsia" w:ascii="宋体" w:hAnsi="宋体" w:cs="Arial"/>
          <w:sz w:val="24"/>
        </w:rPr>
      </w:pPr>
      <w:r>
        <w:rPr>
          <w:rFonts w:hint="eastAsia" w:ascii="宋体" w:hAnsi="宋体" w:cs="仿宋"/>
          <w:sz w:val="24"/>
        </w:rPr>
        <w:t>（5）</w:t>
      </w:r>
      <w:r>
        <w:rPr>
          <w:rFonts w:hint="eastAsia" w:ascii="宋体" w:hAnsi="宋体"/>
          <w:sz w:val="24"/>
        </w:rPr>
        <w:t>供应商</w:t>
      </w:r>
      <w:r>
        <w:rPr>
          <w:rFonts w:hint="eastAsia" w:ascii="宋体" w:hAnsi="宋体" w:cs="Arial"/>
          <w:sz w:val="24"/>
        </w:rPr>
        <w:t>的澄清、说明或者补正不得超出响应文件的范围或者改变响应文件的实质性内容。</w:t>
      </w:r>
    </w:p>
    <w:p w14:paraId="51BF2AB9">
      <w:pPr>
        <w:wordWrap w:val="0"/>
        <w:spacing w:line="360" w:lineRule="auto"/>
        <w:ind w:firstLine="480" w:firstLineChars="200"/>
        <w:rPr>
          <w:rFonts w:hint="eastAsia" w:ascii="宋体" w:hAnsi="宋体" w:cs="仿宋"/>
          <w:sz w:val="24"/>
        </w:rPr>
      </w:pPr>
      <w:r>
        <w:rPr>
          <w:rFonts w:hint="eastAsia" w:ascii="宋体" w:hAnsi="宋体" w:cs="仿宋"/>
          <w:sz w:val="24"/>
        </w:rPr>
        <w:t>（6）</w:t>
      </w:r>
      <w:r>
        <w:rPr>
          <w:rFonts w:hint="eastAsia" w:ascii="宋体" w:hAnsi="宋体"/>
          <w:sz w:val="24"/>
        </w:rPr>
        <w:t>供应商的澄清、说明或补正将作为响应文件的一部分并取代响应文件中被澄清的部分。</w:t>
      </w:r>
    </w:p>
    <w:p w14:paraId="2DD6EA2D">
      <w:pPr>
        <w:wordWrap w:val="0"/>
        <w:spacing w:line="360" w:lineRule="auto"/>
        <w:ind w:firstLine="480" w:firstLineChars="200"/>
        <w:rPr>
          <w:rFonts w:hint="eastAsia" w:ascii="宋体" w:hAnsi="宋体"/>
          <w:sz w:val="24"/>
        </w:rPr>
      </w:pPr>
      <w:r>
        <w:rPr>
          <w:rFonts w:hint="eastAsia" w:ascii="宋体" w:hAnsi="宋体"/>
          <w:sz w:val="24"/>
        </w:rPr>
        <w:t>2.磋商</w:t>
      </w:r>
    </w:p>
    <w:p w14:paraId="28E29A90">
      <w:pPr>
        <w:wordWrap w:val="0"/>
        <w:spacing w:line="360" w:lineRule="auto"/>
        <w:ind w:firstLine="480" w:firstLineChars="200"/>
        <w:rPr>
          <w:rFonts w:hint="eastAsia" w:ascii="宋体" w:hAnsi="宋体"/>
          <w:sz w:val="24"/>
        </w:rPr>
      </w:pPr>
      <w:r>
        <w:rPr>
          <w:rFonts w:hint="eastAsia" w:ascii="宋体" w:hAnsi="宋体"/>
          <w:sz w:val="24"/>
        </w:rPr>
        <w:t>（1）竞争性磋商文件不能够详细列明采购标的的技术、服务要求的，磋商小组所有成员应当集中与供应商分别进行磋商，并给予所有参加磋商的供应商平等的磋商机会。</w:t>
      </w:r>
    </w:p>
    <w:p w14:paraId="18505477">
      <w:pPr>
        <w:wordWrap w:val="0"/>
        <w:spacing w:line="360" w:lineRule="auto"/>
        <w:ind w:firstLine="480" w:firstLineChars="200"/>
        <w:rPr>
          <w:rFonts w:hint="eastAsia" w:ascii="宋体" w:hAnsi="宋体"/>
          <w:sz w:val="24"/>
        </w:rPr>
      </w:pPr>
      <w:r>
        <w:rPr>
          <w:rFonts w:hint="eastAsia" w:ascii="宋体" w:hAnsi="宋体"/>
          <w:sz w:val="24"/>
        </w:rPr>
        <w:t>（2）在磋商过程中，磋商小组可以根据竞争性磋商文件和磋商情况实质性变动采购需求中的技术、服务要求以及合同草案条款，但不得变动竞争性磋商文件中的其他内容。实质性变动的内容，须经采购人代表确认。</w:t>
      </w:r>
    </w:p>
    <w:p w14:paraId="5CC51E03">
      <w:pPr>
        <w:wordWrap w:val="0"/>
        <w:spacing w:line="360" w:lineRule="auto"/>
        <w:ind w:firstLine="480" w:firstLineChars="200"/>
        <w:rPr>
          <w:rFonts w:hint="eastAsia" w:ascii="宋体" w:hAnsi="宋体"/>
          <w:sz w:val="24"/>
        </w:rPr>
      </w:pPr>
      <w:r>
        <w:rPr>
          <w:rFonts w:hint="eastAsia" w:ascii="宋体" w:hAnsi="宋体"/>
          <w:sz w:val="24"/>
        </w:rPr>
        <w:t>（3）对竞争性磋商文件作出的实质性变动是竞争性磋商文件的有效组成部分，如果发生，磋商小组将同时通知所有参加磋商的供应商。</w:t>
      </w:r>
    </w:p>
    <w:p w14:paraId="111D4F8E">
      <w:pPr>
        <w:wordWrap w:val="0"/>
        <w:spacing w:line="360" w:lineRule="auto"/>
        <w:ind w:firstLine="480" w:firstLineChars="200"/>
        <w:rPr>
          <w:rFonts w:hint="eastAsia" w:ascii="宋体" w:hAnsi="宋体"/>
          <w:sz w:val="24"/>
        </w:rPr>
      </w:pPr>
      <w:r>
        <w:rPr>
          <w:rFonts w:hint="eastAsia" w:ascii="宋体" w:hAnsi="宋体"/>
          <w:sz w:val="24"/>
        </w:rPr>
        <w:t>3.最后报价</w:t>
      </w:r>
    </w:p>
    <w:p w14:paraId="2C81B4BB">
      <w:pPr>
        <w:wordWrap w:val="0"/>
        <w:spacing w:line="360" w:lineRule="auto"/>
        <w:ind w:firstLine="480" w:firstLineChars="200"/>
        <w:rPr>
          <w:rFonts w:hint="eastAsia" w:ascii="宋体" w:hAnsi="宋体"/>
          <w:sz w:val="24"/>
        </w:rPr>
      </w:pPr>
      <w:r>
        <w:rPr>
          <w:rFonts w:hint="eastAsia" w:ascii="宋体" w:hAnsi="宋体"/>
          <w:sz w:val="24"/>
        </w:rPr>
        <w:t>（1）竞争性磋商文件能够详细列明采购标的的技术、服务要求的，磋商小组将要求所有实质性响应的供应商在</w:t>
      </w:r>
      <w:r>
        <w:rPr>
          <w:rFonts w:hint="eastAsia" w:ascii="宋体" w:hAnsi="宋体"/>
          <w:b/>
          <w:bCs/>
          <w:sz w:val="24"/>
        </w:rPr>
        <w:t>磋商小组要求的时间内</w:t>
      </w:r>
      <w:r>
        <w:rPr>
          <w:rFonts w:hint="eastAsia" w:ascii="宋体" w:hAnsi="宋体"/>
          <w:sz w:val="24"/>
        </w:rPr>
        <w:t>提交最后报价。最后报价时间为磋商小组指定的时间，具体时间根据评审进度另行通知。</w:t>
      </w:r>
    </w:p>
    <w:p w14:paraId="06FF41FA">
      <w:pPr>
        <w:wordWrap w:val="0"/>
        <w:spacing w:line="360" w:lineRule="auto"/>
        <w:ind w:firstLine="480" w:firstLineChars="200"/>
        <w:rPr>
          <w:rFonts w:hint="eastAsia" w:ascii="宋体" w:hAnsi="宋体"/>
          <w:sz w:val="24"/>
        </w:rPr>
      </w:pPr>
      <w:r>
        <w:rPr>
          <w:rFonts w:hint="eastAsia" w:ascii="宋体" w:hAnsi="宋体"/>
          <w:sz w:val="24"/>
        </w:rPr>
        <w:t>（2）竞争性磋商文件不能详细列明采购标的的技术、服务要求，需经磋商由供应商提供最终设计方案或解决方案的，磋商结束后，磋商小组应当按照少数服从多数的原则投票推荐3家以上供应商的设计方案或者解决方案，并要求所有实质性响应的供应商在</w:t>
      </w:r>
      <w:r>
        <w:rPr>
          <w:rFonts w:hint="eastAsia" w:ascii="宋体" w:hAnsi="宋体"/>
          <w:b/>
          <w:bCs/>
          <w:sz w:val="24"/>
        </w:rPr>
        <w:t>磋商小组要求的时间内</w:t>
      </w:r>
      <w:r>
        <w:rPr>
          <w:rFonts w:hint="eastAsia" w:ascii="宋体" w:hAnsi="宋体"/>
          <w:sz w:val="24"/>
        </w:rPr>
        <w:t>提交最后报价。</w:t>
      </w:r>
    </w:p>
    <w:p w14:paraId="0992D7B6">
      <w:pPr>
        <w:wordWrap w:val="0"/>
        <w:spacing w:line="360" w:lineRule="auto"/>
        <w:ind w:firstLine="480" w:firstLineChars="200"/>
        <w:rPr>
          <w:rFonts w:hint="eastAsia" w:ascii="宋体" w:hAnsi="宋体"/>
          <w:sz w:val="24"/>
        </w:rPr>
      </w:pPr>
      <w:bookmarkStart w:id="542" w:name="OLE_LINK68"/>
      <w:r>
        <w:rPr>
          <w:rFonts w:hint="eastAsia" w:ascii="宋体" w:hAnsi="宋体"/>
          <w:sz w:val="24"/>
        </w:rPr>
        <w:t>（3）供应商在接到磋商小组的通知后，未在规定的时间内提交最后报价的，视为该供应商退出磋商。磋商小组将不再评审该供应商提交的响应文件。</w:t>
      </w:r>
      <w:bookmarkEnd w:id="542"/>
    </w:p>
    <w:p w14:paraId="616A03F5">
      <w:pPr>
        <w:tabs>
          <w:tab w:val="left" w:pos="720"/>
        </w:tabs>
        <w:wordWrap w:val="0"/>
        <w:spacing w:line="360" w:lineRule="auto"/>
        <w:ind w:firstLine="480" w:firstLineChars="200"/>
        <w:rPr>
          <w:rFonts w:hint="eastAsia" w:ascii="宋体" w:hAnsi="宋体"/>
          <w:sz w:val="24"/>
        </w:rPr>
      </w:pPr>
      <w:r>
        <w:rPr>
          <w:rFonts w:hint="eastAsia" w:ascii="宋体" w:hAnsi="宋体"/>
          <w:sz w:val="24"/>
        </w:rPr>
        <w:t>（4）</w:t>
      </w:r>
      <w:r>
        <w:rPr>
          <w:rFonts w:ascii="宋体" w:hAnsi="宋体"/>
          <w:sz w:val="24"/>
        </w:rPr>
        <w:t>供应商不能提供任何有选择性或可调整的最后报价（</w:t>
      </w:r>
      <w:r>
        <w:rPr>
          <w:rFonts w:hint="eastAsia" w:ascii="宋体" w:hAnsi="宋体"/>
          <w:sz w:val="24"/>
        </w:rPr>
        <w:t>竞争性磋商文件</w:t>
      </w:r>
      <w:r>
        <w:rPr>
          <w:rFonts w:ascii="宋体" w:hAnsi="宋体"/>
          <w:sz w:val="24"/>
        </w:rPr>
        <w:t>另有规定的除外），否则其响应</w:t>
      </w:r>
      <w:r>
        <w:rPr>
          <w:rFonts w:hint="eastAsia" w:ascii="宋体" w:hAnsi="宋体"/>
          <w:sz w:val="24"/>
        </w:rPr>
        <w:t>文件</w:t>
      </w:r>
      <w:r>
        <w:rPr>
          <w:rFonts w:ascii="宋体" w:hAnsi="宋体"/>
          <w:sz w:val="24"/>
        </w:rPr>
        <w:t>无效。</w:t>
      </w:r>
    </w:p>
    <w:p w14:paraId="3B26B99A">
      <w:pPr>
        <w:wordWrap w:val="0"/>
        <w:spacing w:line="360" w:lineRule="auto"/>
        <w:ind w:firstLine="480" w:firstLineChars="200"/>
        <w:rPr>
          <w:rFonts w:hint="eastAsia" w:ascii="宋体" w:hAnsi="宋体"/>
          <w:sz w:val="24"/>
        </w:rPr>
      </w:pPr>
      <w:r>
        <w:rPr>
          <w:rFonts w:hint="eastAsia" w:ascii="宋体" w:hAnsi="宋体"/>
          <w:sz w:val="24"/>
        </w:rPr>
        <w:t>（5）</w:t>
      </w:r>
      <w:r>
        <w:rPr>
          <w:rFonts w:ascii="宋体" w:hAnsi="宋体"/>
          <w:sz w:val="24"/>
        </w:rPr>
        <w:t xml:space="preserve"> </w:t>
      </w:r>
      <w:r>
        <w:rPr>
          <w:rFonts w:hint="eastAsia" w:ascii="宋体" w:hAnsi="宋体"/>
          <w:sz w:val="24"/>
        </w:rPr>
        <w:t>如果</w:t>
      </w:r>
      <w:r>
        <w:rPr>
          <w:rFonts w:ascii="宋体" w:hAnsi="宋体"/>
          <w:sz w:val="24"/>
        </w:rPr>
        <w:t>供应商的最后报价超过</w:t>
      </w:r>
      <w:r>
        <w:rPr>
          <w:rFonts w:hint="eastAsia" w:ascii="宋体" w:hAnsi="宋体"/>
          <w:sz w:val="24"/>
        </w:rPr>
        <w:t>竞争性磋商文件</w:t>
      </w:r>
      <w:r>
        <w:rPr>
          <w:rFonts w:ascii="宋体" w:hAnsi="宋体"/>
          <w:sz w:val="24"/>
        </w:rPr>
        <w:t>中规定的预算金额或者最高限价的</w:t>
      </w:r>
      <w:r>
        <w:rPr>
          <w:rFonts w:hint="eastAsia" w:ascii="宋体" w:hAnsi="宋体"/>
          <w:sz w:val="24"/>
        </w:rPr>
        <w:t>，</w:t>
      </w:r>
      <w:r>
        <w:rPr>
          <w:rFonts w:ascii="宋体" w:hAnsi="宋体"/>
          <w:sz w:val="24"/>
        </w:rPr>
        <w:t>其响应</w:t>
      </w:r>
      <w:r>
        <w:rPr>
          <w:rFonts w:hint="eastAsia" w:ascii="宋体" w:hAnsi="宋体"/>
          <w:sz w:val="24"/>
        </w:rPr>
        <w:t>文件</w:t>
      </w:r>
      <w:r>
        <w:rPr>
          <w:rFonts w:ascii="宋体" w:hAnsi="宋体"/>
          <w:sz w:val="24"/>
        </w:rPr>
        <w:t>无效。</w:t>
      </w:r>
    </w:p>
    <w:p w14:paraId="57AB1C7D">
      <w:pPr>
        <w:wordWrap w:val="0"/>
        <w:spacing w:line="360" w:lineRule="auto"/>
        <w:ind w:firstLine="480" w:firstLineChars="200"/>
        <w:rPr>
          <w:rFonts w:hint="eastAsia" w:ascii="宋体" w:hAnsi="宋体"/>
          <w:sz w:val="24"/>
        </w:rPr>
      </w:pPr>
      <w:r>
        <w:rPr>
          <w:rFonts w:hint="eastAsia" w:ascii="宋体" w:hAnsi="宋体"/>
          <w:sz w:val="24"/>
        </w:rPr>
        <w:t>（6）</w:t>
      </w:r>
      <w:r>
        <w:rPr>
          <w:rFonts w:ascii="宋体" w:hAnsi="宋体"/>
          <w:sz w:val="24"/>
        </w:rPr>
        <w:t xml:space="preserve"> </w:t>
      </w:r>
      <w:r>
        <w:rPr>
          <w:rFonts w:hint="eastAsia" w:ascii="宋体" w:hAnsi="宋体"/>
          <w:sz w:val="24"/>
        </w:rPr>
        <w:t>提交最后报价且响应文件有效的供应商不得少于3家；采购标的如果属于“市场竞争不充分的科研项目、需要扶持的科技成果转化项目、政府购买服务项目（含政府和社会资本合作项目）”，提交最后报价且响应文件有效的供应商可以为2家。</w:t>
      </w:r>
    </w:p>
    <w:p w14:paraId="5A70D58E">
      <w:pPr>
        <w:wordWrap w:val="0"/>
        <w:spacing w:line="360" w:lineRule="auto"/>
        <w:ind w:firstLine="480" w:firstLineChars="200"/>
        <w:rPr>
          <w:rFonts w:hint="eastAsia" w:ascii="宋体" w:hAnsi="宋体"/>
          <w:sz w:val="24"/>
        </w:rPr>
      </w:pPr>
      <w:r>
        <w:rPr>
          <w:rFonts w:hint="eastAsia" w:ascii="宋体" w:hAnsi="宋体"/>
          <w:sz w:val="24"/>
        </w:rPr>
        <w:t>（7）供应商的</w:t>
      </w:r>
      <w:r>
        <w:rPr>
          <w:rFonts w:ascii="宋体" w:hAnsi="宋体"/>
          <w:sz w:val="24"/>
        </w:rPr>
        <w:t>最后报价</w:t>
      </w:r>
      <w:r>
        <w:rPr>
          <w:rFonts w:hint="eastAsia" w:ascii="宋体" w:hAnsi="宋体"/>
          <w:sz w:val="24"/>
        </w:rPr>
        <w:t>应</w:t>
      </w:r>
      <w:r>
        <w:rPr>
          <w:rFonts w:ascii="宋体" w:hAnsi="宋体"/>
          <w:sz w:val="24"/>
        </w:rPr>
        <w:t>包含</w:t>
      </w:r>
      <w:r>
        <w:rPr>
          <w:rFonts w:hint="eastAsia" w:ascii="宋体" w:hAnsi="宋体"/>
          <w:sz w:val="24"/>
        </w:rPr>
        <w:t>竞争性磋商文件要求的</w:t>
      </w:r>
      <w:r>
        <w:rPr>
          <w:rFonts w:ascii="宋体" w:hAnsi="宋体"/>
          <w:sz w:val="24"/>
        </w:rPr>
        <w:t>全部内容，</w:t>
      </w:r>
      <w:r>
        <w:rPr>
          <w:rFonts w:hint="eastAsia" w:ascii="宋体" w:hAnsi="宋体"/>
          <w:sz w:val="24"/>
        </w:rPr>
        <w:t>最后报价是供应商响应文件的有效组成部分，且以最后报价为准。大写金额和小写金额不一致的，以大写金额为准；报价有算术错误的，其风险由供应商承担。</w:t>
      </w:r>
    </w:p>
    <w:p w14:paraId="35BD82E0">
      <w:pPr>
        <w:wordWrap w:val="0"/>
        <w:spacing w:line="360" w:lineRule="auto"/>
        <w:ind w:firstLine="482" w:firstLineChars="200"/>
        <w:rPr>
          <w:rFonts w:hint="eastAsia" w:ascii="宋体" w:hAnsi="宋体"/>
          <w:b/>
          <w:bCs/>
          <w:sz w:val="24"/>
        </w:rPr>
      </w:pPr>
      <w:r>
        <w:rPr>
          <w:rFonts w:hint="eastAsia" w:ascii="宋体" w:hAnsi="宋体"/>
          <w:b/>
          <w:bCs/>
          <w:sz w:val="24"/>
        </w:rPr>
        <w:t>4.政府采购评审中出现下列情形之一的，磋商小组应当启动异常低价审查程序：</w:t>
      </w:r>
    </w:p>
    <w:p w14:paraId="4252A07E">
      <w:pPr>
        <w:widowControl/>
        <w:shd w:val="clear" w:color="auto" w:fill="FFFFFF"/>
        <w:wordWrap w:val="0"/>
        <w:adjustRightInd w:val="0"/>
        <w:snapToGrid w:val="0"/>
        <w:spacing w:line="360" w:lineRule="auto"/>
        <w:ind w:firstLine="474" w:firstLineChars="200"/>
        <w:rPr>
          <w:rFonts w:hint="eastAsia" w:ascii="宋体" w:hAnsi="宋体" w:cs="宋体"/>
          <w:b/>
          <w:bCs/>
          <w:spacing w:val="-2"/>
          <w:kern w:val="0"/>
          <w:sz w:val="24"/>
        </w:rPr>
      </w:pPr>
      <w:bookmarkStart w:id="543" w:name="OLE_LINK32"/>
      <w:bookmarkStart w:id="544" w:name="OLE_LINK30"/>
      <w:r>
        <w:rPr>
          <w:rFonts w:hint="eastAsia" w:ascii="宋体" w:hAnsi="宋体" w:cs="宋体"/>
          <w:b/>
          <w:bCs/>
          <w:spacing w:val="-2"/>
          <w:kern w:val="0"/>
          <w:sz w:val="24"/>
        </w:rPr>
        <w:t>4</w:t>
      </w:r>
      <w:r>
        <w:rPr>
          <w:rFonts w:ascii="宋体" w:hAnsi="宋体" w:cs="宋体"/>
          <w:b/>
          <w:bCs/>
          <w:spacing w:val="-2"/>
          <w:kern w:val="0"/>
          <w:sz w:val="24"/>
        </w:rPr>
        <w:t>.1</w:t>
      </w:r>
      <w:r>
        <w:rPr>
          <w:rFonts w:hint="eastAsia" w:ascii="宋体" w:hAnsi="宋体" w:cs="宋体"/>
          <w:b/>
          <w:bCs/>
          <w:kern w:val="0"/>
          <w:sz w:val="24"/>
        </w:rPr>
        <w:t>最后报价低于全部最后报价平均值65%的，即最后报价</w:t>
      </w:r>
      <w:r>
        <w:rPr>
          <w:rFonts w:ascii="宋体" w:hAnsi="宋体" w:cs="宋体"/>
          <w:b/>
          <w:bCs/>
          <w:kern w:val="0"/>
          <w:sz w:val="24"/>
        </w:rPr>
        <w:t>＜</w:t>
      </w:r>
      <w:r>
        <w:rPr>
          <w:rFonts w:hint="eastAsia" w:ascii="宋体" w:hAnsi="宋体" w:cs="宋体"/>
          <w:b/>
          <w:bCs/>
          <w:kern w:val="0"/>
          <w:sz w:val="24"/>
        </w:rPr>
        <w:t>全部最后报价平均值×65%； </w:t>
      </w:r>
    </w:p>
    <w:p w14:paraId="76E3E8CC">
      <w:pPr>
        <w:widowControl/>
        <w:shd w:val="clear" w:color="auto" w:fill="FFFFFF"/>
        <w:wordWrap w:val="0"/>
        <w:adjustRightInd w:val="0"/>
        <w:snapToGrid w:val="0"/>
        <w:spacing w:line="360" w:lineRule="auto"/>
        <w:ind w:firstLine="474" w:firstLineChars="200"/>
        <w:rPr>
          <w:rFonts w:hint="eastAsia" w:ascii="宋体" w:hAnsi="宋体" w:cs="宋体"/>
          <w:b/>
          <w:bCs/>
          <w:spacing w:val="-2"/>
          <w:kern w:val="0"/>
          <w:sz w:val="24"/>
        </w:rPr>
      </w:pPr>
      <w:r>
        <w:rPr>
          <w:rFonts w:hint="eastAsia" w:ascii="宋体" w:hAnsi="宋体" w:cs="宋体"/>
          <w:b/>
          <w:bCs/>
          <w:spacing w:val="-2"/>
          <w:kern w:val="0"/>
          <w:sz w:val="24"/>
        </w:rPr>
        <w:t>4</w:t>
      </w:r>
      <w:r>
        <w:rPr>
          <w:rFonts w:ascii="宋体" w:hAnsi="宋体" w:cs="宋体"/>
          <w:b/>
          <w:bCs/>
          <w:spacing w:val="-2"/>
          <w:kern w:val="0"/>
          <w:sz w:val="24"/>
        </w:rPr>
        <w:t>.2</w:t>
      </w:r>
      <w:r>
        <w:rPr>
          <w:rFonts w:hint="eastAsia" w:ascii="宋体" w:hAnsi="宋体" w:cs="宋体"/>
          <w:b/>
          <w:bCs/>
          <w:kern w:val="0"/>
          <w:sz w:val="24"/>
        </w:rPr>
        <w:t>最后报价低于次低最后报价65%的，即最后报价＜次低最后报价×65%；</w:t>
      </w:r>
    </w:p>
    <w:p w14:paraId="2066D0F3">
      <w:pPr>
        <w:widowControl/>
        <w:shd w:val="clear" w:color="auto" w:fill="FFFFFF"/>
        <w:wordWrap w:val="0"/>
        <w:adjustRightInd w:val="0"/>
        <w:snapToGrid w:val="0"/>
        <w:spacing w:line="360" w:lineRule="auto"/>
        <w:ind w:firstLine="474" w:firstLineChars="200"/>
        <w:rPr>
          <w:rFonts w:hint="eastAsia" w:ascii="宋体" w:hAnsi="宋体" w:cs="宋体"/>
          <w:b/>
          <w:bCs/>
          <w:spacing w:val="-2"/>
          <w:kern w:val="0"/>
          <w:sz w:val="24"/>
        </w:rPr>
      </w:pPr>
      <w:r>
        <w:rPr>
          <w:rFonts w:hint="eastAsia" w:ascii="宋体" w:hAnsi="宋体" w:cs="宋体"/>
          <w:b/>
          <w:bCs/>
          <w:spacing w:val="-2"/>
          <w:kern w:val="0"/>
          <w:sz w:val="24"/>
        </w:rPr>
        <w:t>4</w:t>
      </w:r>
      <w:r>
        <w:rPr>
          <w:rFonts w:ascii="宋体" w:hAnsi="宋体" w:cs="宋体"/>
          <w:b/>
          <w:bCs/>
          <w:spacing w:val="-2"/>
          <w:kern w:val="0"/>
          <w:sz w:val="24"/>
        </w:rPr>
        <w:t>.3</w:t>
      </w:r>
      <w:r>
        <w:rPr>
          <w:rFonts w:hint="eastAsia" w:ascii="宋体" w:hAnsi="宋体" w:cs="宋体"/>
          <w:b/>
          <w:bCs/>
          <w:kern w:val="0"/>
          <w:sz w:val="24"/>
        </w:rPr>
        <w:t>最后报价低于采购项目最高限价65%的，即最后报价</w:t>
      </w:r>
      <w:r>
        <w:rPr>
          <w:rFonts w:ascii="宋体" w:hAnsi="宋体" w:cs="宋体"/>
          <w:b/>
          <w:bCs/>
          <w:kern w:val="0"/>
          <w:sz w:val="24"/>
        </w:rPr>
        <w:t>＜</w:t>
      </w:r>
      <w:r>
        <w:rPr>
          <w:rFonts w:hint="eastAsia" w:ascii="宋体" w:hAnsi="宋体" w:cs="宋体"/>
          <w:b/>
          <w:bCs/>
          <w:kern w:val="0"/>
          <w:sz w:val="24"/>
        </w:rPr>
        <w:t>采购项目最高限价×65%；</w:t>
      </w:r>
    </w:p>
    <w:p w14:paraId="236AB10D">
      <w:pPr>
        <w:wordWrap w:val="0"/>
        <w:adjustRightInd w:val="0"/>
        <w:snapToGrid w:val="0"/>
        <w:spacing w:line="360" w:lineRule="auto"/>
        <w:ind w:firstLine="474" w:firstLineChars="200"/>
        <w:rPr>
          <w:rFonts w:hint="eastAsia" w:ascii="宋体" w:hAnsi="宋体" w:cs="宋体"/>
          <w:b/>
          <w:bCs/>
          <w:spacing w:val="-2"/>
          <w:kern w:val="0"/>
          <w:sz w:val="24"/>
        </w:rPr>
      </w:pPr>
      <w:r>
        <w:rPr>
          <w:rFonts w:hint="eastAsia" w:ascii="宋体" w:hAnsi="宋体" w:cs="宋体"/>
          <w:b/>
          <w:bCs/>
          <w:spacing w:val="-2"/>
          <w:kern w:val="0"/>
          <w:sz w:val="24"/>
        </w:rPr>
        <w:t>4</w:t>
      </w:r>
      <w:r>
        <w:rPr>
          <w:rFonts w:ascii="宋体" w:hAnsi="宋体" w:cs="宋体"/>
          <w:b/>
          <w:bCs/>
          <w:spacing w:val="-2"/>
          <w:kern w:val="0"/>
          <w:sz w:val="24"/>
        </w:rPr>
        <w:t>.</w:t>
      </w:r>
      <w:r>
        <w:rPr>
          <w:rFonts w:hint="eastAsia" w:ascii="宋体" w:hAnsi="宋体" w:cs="宋体"/>
          <w:b/>
          <w:bCs/>
          <w:spacing w:val="-2"/>
          <w:kern w:val="0"/>
          <w:sz w:val="24"/>
        </w:rPr>
        <w:t>4</w:t>
      </w:r>
      <w:r>
        <w:rPr>
          <w:rFonts w:hint="eastAsia" w:ascii="宋体" w:hAnsi="宋体" w:cs="宋体"/>
          <w:b/>
          <w:bCs/>
          <w:kern w:val="0"/>
          <w:sz w:val="24"/>
        </w:rPr>
        <w:t>磋商小组基于专业判断，认为供应商报价过低，有可能影响产品质量或者不能诚信履约的其他情形。</w:t>
      </w:r>
    </w:p>
    <w:p w14:paraId="4F171118">
      <w:pPr>
        <w:wordWrap w:val="0"/>
        <w:spacing w:line="360" w:lineRule="auto"/>
        <w:ind w:firstLine="482" w:firstLineChars="200"/>
        <w:rPr>
          <w:rFonts w:hint="eastAsia" w:ascii="宋体" w:hAnsi="宋体"/>
          <w:b/>
          <w:bCs/>
          <w:sz w:val="24"/>
        </w:rPr>
      </w:pPr>
      <w:r>
        <w:rPr>
          <w:rFonts w:hint="eastAsia" w:ascii="宋体" w:hAnsi="宋体"/>
          <w:b/>
          <w:bCs/>
          <w:sz w:val="24"/>
        </w:rPr>
        <w:t>4</w:t>
      </w:r>
      <w:r>
        <w:rPr>
          <w:rFonts w:ascii="宋体" w:hAnsi="宋体"/>
          <w:b/>
          <w:bCs/>
          <w:sz w:val="24"/>
        </w:rPr>
        <w:t>.</w:t>
      </w:r>
      <w:r>
        <w:rPr>
          <w:rFonts w:hint="eastAsia" w:ascii="宋体" w:hAnsi="宋体"/>
          <w:b/>
          <w:bCs/>
          <w:sz w:val="24"/>
        </w:rPr>
        <w:t>5属于上述四种情形中任一情形的，</w:t>
      </w:r>
      <w:r>
        <w:rPr>
          <w:rFonts w:hint="eastAsia" w:ascii="宋体" w:hAnsi="宋体" w:cs="宋体"/>
          <w:b/>
          <w:bCs/>
          <w:kern w:val="0"/>
          <w:sz w:val="24"/>
        </w:rPr>
        <w:t>磋商小组</w:t>
      </w:r>
      <w:r>
        <w:rPr>
          <w:rFonts w:hint="eastAsia" w:ascii="宋体" w:hAnsi="宋体"/>
          <w:b/>
          <w:bCs/>
          <w:sz w:val="24"/>
        </w:rPr>
        <w:t>应当启动异常低价审查，向供应商发起价格澄清，要求相关供应商在</w:t>
      </w:r>
      <w:r>
        <w:rPr>
          <w:rFonts w:hint="eastAsia" w:ascii="宋体" w:hAnsi="宋体" w:cs="宋体"/>
          <w:b/>
          <w:bCs/>
          <w:kern w:val="0"/>
          <w:sz w:val="24"/>
        </w:rPr>
        <w:t>磋商小组</w:t>
      </w:r>
      <w:r>
        <w:rPr>
          <w:rFonts w:hint="eastAsia" w:ascii="宋体" w:hAnsi="宋体"/>
          <w:b/>
          <w:bCs/>
          <w:sz w:val="24"/>
        </w:rPr>
        <w:t>要求的时间内对提交最终价格作出解释，提供项目具体成本测算等与报价合理性相关的书面说明及必要的证明材料，包括但不限于原材料成本、人工成本、制造费用等。其中，属于第三种情形，供应商已随提交响应文件一并提交相关书面说明及必要的证明材料的，可不再重复提交。 </w:t>
      </w:r>
    </w:p>
    <w:p w14:paraId="42F7A999">
      <w:pPr>
        <w:wordWrap w:val="0"/>
        <w:spacing w:line="360" w:lineRule="auto"/>
        <w:ind w:firstLine="480" w:firstLineChars="200"/>
        <w:rPr>
          <w:rFonts w:hint="eastAsia" w:ascii="宋体" w:hAnsi="宋体"/>
          <w:sz w:val="24"/>
        </w:rPr>
      </w:pPr>
      <w:r>
        <w:rPr>
          <w:rFonts w:hint="eastAsia" w:ascii="宋体" w:hAnsi="宋体"/>
          <w:sz w:val="24"/>
        </w:rPr>
        <w:t>4</w:t>
      </w:r>
      <w:r>
        <w:rPr>
          <w:rFonts w:ascii="宋体" w:hAnsi="宋体"/>
          <w:sz w:val="24"/>
        </w:rPr>
        <w:t>.</w:t>
      </w:r>
      <w:r>
        <w:rPr>
          <w:rFonts w:hint="eastAsia" w:ascii="宋体" w:hAnsi="宋体"/>
          <w:sz w:val="24"/>
        </w:rPr>
        <w:t>6</w:t>
      </w:r>
      <w:r>
        <w:rPr>
          <w:rFonts w:hint="eastAsia" w:ascii="宋体" w:hAnsi="宋体" w:cs="宋体"/>
          <w:kern w:val="0"/>
          <w:sz w:val="24"/>
        </w:rPr>
        <w:t>磋商小组</w:t>
      </w:r>
      <w:r>
        <w:rPr>
          <w:rFonts w:hint="eastAsia" w:ascii="宋体" w:hAnsi="宋体"/>
          <w:sz w:val="24"/>
        </w:rPr>
        <w:t>依据专业经验，参考同类项目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w:t>
      </w:r>
      <w:r>
        <w:rPr>
          <w:rFonts w:hint="eastAsia" w:ascii="宋体" w:hAnsi="宋体" w:cs="宋体"/>
          <w:kern w:val="0"/>
          <w:sz w:val="24"/>
        </w:rPr>
        <w:t>磋商小组</w:t>
      </w:r>
      <w:r>
        <w:rPr>
          <w:rFonts w:hint="eastAsia" w:ascii="宋体" w:hAnsi="宋体"/>
          <w:sz w:val="24"/>
        </w:rPr>
        <w:t>应当将其作为无效处理。</w:t>
      </w:r>
    </w:p>
    <w:p w14:paraId="3232314B">
      <w:pPr>
        <w:widowControl/>
        <w:shd w:val="clear" w:color="auto" w:fill="FFFFFF"/>
        <w:wordWrap w:val="0"/>
        <w:adjustRightInd w:val="0"/>
        <w:snapToGrid w:val="0"/>
        <w:spacing w:line="360" w:lineRule="auto"/>
        <w:ind w:firstLine="480" w:firstLineChars="200"/>
        <w:rPr>
          <w:rFonts w:hint="eastAsia" w:ascii="宋体" w:hAnsi="宋体" w:cs="宋体"/>
          <w:spacing w:val="-2"/>
          <w:kern w:val="0"/>
          <w:sz w:val="24"/>
        </w:rPr>
      </w:pPr>
      <w:r>
        <w:rPr>
          <w:rFonts w:hint="eastAsia" w:ascii="宋体" w:hAnsi="宋体" w:cs="幼圆"/>
          <w:kern w:val="0"/>
          <w:sz w:val="24"/>
        </w:rPr>
        <w:t>4</w:t>
      </w:r>
      <w:r>
        <w:rPr>
          <w:rFonts w:ascii="宋体" w:hAnsi="宋体" w:cs="幼圆"/>
          <w:kern w:val="0"/>
          <w:sz w:val="24"/>
        </w:rPr>
        <w:t>.</w:t>
      </w:r>
      <w:r>
        <w:rPr>
          <w:rFonts w:hint="eastAsia" w:ascii="宋体" w:hAnsi="宋体" w:cs="幼圆"/>
          <w:kern w:val="0"/>
          <w:sz w:val="24"/>
        </w:rPr>
        <w:t>7异常低价</w:t>
      </w:r>
      <w:r>
        <w:rPr>
          <w:rFonts w:hint="eastAsia" w:ascii="宋体" w:hAnsi="宋体" w:cs="宋体"/>
          <w:kern w:val="0"/>
          <w:sz w:val="24"/>
        </w:rPr>
        <w:t>审查的启动原因、审查意见和审查结果应当在评审报告中记录，并随供应商提供的相关书面说明及证明材料，以及磋商小组有关互联网浏览、查询历史一并归档。</w:t>
      </w:r>
      <w:bookmarkEnd w:id="543"/>
      <w:bookmarkEnd w:id="544"/>
    </w:p>
    <w:p w14:paraId="4A99D480">
      <w:pPr>
        <w:numPr>
          <w:ilvl w:val="0"/>
          <w:numId w:val="5"/>
        </w:numPr>
        <w:wordWrap w:val="0"/>
        <w:spacing w:line="360" w:lineRule="auto"/>
        <w:ind w:firstLine="480" w:firstLineChars="200"/>
        <w:rPr>
          <w:rFonts w:hint="eastAsia" w:ascii="宋体" w:hAnsi="宋体"/>
          <w:sz w:val="24"/>
        </w:rPr>
      </w:pPr>
      <w:r>
        <w:rPr>
          <w:rFonts w:hint="eastAsia" w:ascii="宋体" w:hAnsi="宋体"/>
          <w:sz w:val="24"/>
        </w:rPr>
        <w:t>对不同文字文本响应文件的解释发生异议的，以中文文本为准。</w:t>
      </w:r>
      <w:bookmarkEnd w:id="538"/>
    </w:p>
    <w:p w14:paraId="0A7A0C91">
      <w:pPr>
        <w:numPr>
          <w:ilvl w:val="0"/>
          <w:numId w:val="5"/>
        </w:numPr>
        <w:wordWrap w:val="0"/>
        <w:spacing w:line="360" w:lineRule="auto"/>
        <w:ind w:firstLine="480" w:firstLineChars="200"/>
        <w:rPr>
          <w:rFonts w:hint="eastAsia" w:ascii="宋体" w:hAnsi="宋体"/>
          <w:bCs/>
          <w:sz w:val="24"/>
        </w:rPr>
      </w:pPr>
      <w:r>
        <w:rPr>
          <w:rFonts w:hint="eastAsia" w:ascii="宋体" w:hAnsi="宋体"/>
          <w:bCs/>
          <w:sz w:val="24"/>
        </w:rPr>
        <w:t>供应商在提交最后报价之前，可以根据自身情况退出磋商。</w:t>
      </w:r>
    </w:p>
    <w:bookmarkEnd w:id="520"/>
    <w:bookmarkEnd w:id="521"/>
    <w:p w14:paraId="0740D6E5">
      <w:pPr>
        <w:pStyle w:val="7"/>
        <w:wordWrap w:val="0"/>
        <w:spacing w:before="0" w:after="0" w:line="360" w:lineRule="auto"/>
        <w:rPr>
          <w:rFonts w:hint="eastAsia" w:ascii="黑体" w:hAnsi="黑体"/>
          <w:b w:val="0"/>
          <w:bCs w:val="0"/>
          <w:sz w:val="24"/>
        </w:rPr>
      </w:pPr>
      <w:bookmarkStart w:id="545" w:name="_Toc178172042"/>
      <w:bookmarkStart w:id="546" w:name="_Toc29089"/>
      <w:bookmarkStart w:id="547" w:name="_Toc2601"/>
      <w:bookmarkStart w:id="548" w:name="_Toc201"/>
      <w:bookmarkStart w:id="549" w:name="_Toc28025"/>
      <w:bookmarkStart w:id="550" w:name="_Hlk218433082"/>
      <w:r>
        <w:rPr>
          <w:rFonts w:hint="eastAsia" w:ascii="黑体" w:hAnsi="黑体"/>
          <w:b w:val="0"/>
          <w:bCs w:val="0"/>
          <w:sz w:val="24"/>
        </w:rPr>
        <w:t>（九）无效提交响应文件的规定</w:t>
      </w:r>
      <w:bookmarkEnd w:id="545"/>
      <w:bookmarkEnd w:id="546"/>
      <w:bookmarkEnd w:id="547"/>
      <w:bookmarkEnd w:id="548"/>
      <w:bookmarkEnd w:id="549"/>
    </w:p>
    <w:p w14:paraId="5D80B5DA">
      <w:pPr>
        <w:wordWrap w:val="0"/>
        <w:spacing w:line="360" w:lineRule="auto"/>
        <w:ind w:firstLine="482" w:firstLineChars="200"/>
        <w:rPr>
          <w:rFonts w:hint="eastAsia" w:ascii="宋体" w:hAnsi="宋体"/>
          <w:b/>
          <w:bCs/>
          <w:sz w:val="24"/>
        </w:rPr>
      </w:pPr>
      <w:r>
        <w:rPr>
          <w:rFonts w:hint="eastAsia" w:ascii="宋体" w:hAnsi="宋体"/>
          <w:b/>
          <w:bCs/>
          <w:sz w:val="24"/>
        </w:rPr>
        <w:t>1.在评审中，根据竞争性磋商文件的规定，磋商小组将审查每份响应文件是否满足竞争性磋商文件的实质性要求（允许在磋商环节变动的除外）。供应商不得通过澄清、补充、修改或撤销不符合要求的偏离，从而使其响应文件满足竞争性磋商文件的要求。磋商小组确定响应文件是否满足竞争性磋商文件的要求只根据竞争性磋商文件要求、响应文件内容及政府采购的相关法律法规、财政主管部门的相关文件。</w:t>
      </w:r>
    </w:p>
    <w:p w14:paraId="2DCD61E9">
      <w:pPr>
        <w:wordWrap w:val="0"/>
        <w:spacing w:line="360" w:lineRule="auto"/>
        <w:ind w:firstLine="482" w:firstLineChars="200"/>
        <w:rPr>
          <w:rFonts w:hint="eastAsia" w:ascii="宋体" w:hAnsi="宋体"/>
          <w:b/>
          <w:bCs/>
          <w:sz w:val="24"/>
        </w:rPr>
      </w:pPr>
      <w:r>
        <w:rPr>
          <w:rFonts w:ascii="宋体" w:hAnsi="宋体"/>
          <w:b/>
          <w:bCs/>
          <w:sz w:val="24"/>
        </w:rPr>
        <w:t>2</w:t>
      </w:r>
      <w:r>
        <w:rPr>
          <w:rFonts w:hint="eastAsia" w:ascii="宋体" w:hAnsi="宋体"/>
          <w:b/>
          <w:bCs/>
          <w:sz w:val="24"/>
        </w:rPr>
        <w:t>.如果响应文件不满足竞争性磋商文件的实质性要求（允许在磋商环节变动的除外），其响应文件将作为无效响应文件处理，供应商不得再对响应文件进行任何修正从而使其满足竞争性磋商文件的要求。</w:t>
      </w:r>
    </w:p>
    <w:p w14:paraId="3B31E8D5">
      <w:pPr>
        <w:wordWrap w:val="0"/>
        <w:spacing w:line="360" w:lineRule="auto"/>
        <w:ind w:firstLine="522" w:firstLineChars="200"/>
        <w:rPr>
          <w:rFonts w:hint="eastAsia" w:ascii="宋体" w:hAnsi="宋体"/>
          <w:b/>
          <w:bCs/>
          <w:sz w:val="26"/>
          <w:szCs w:val="26"/>
        </w:rPr>
      </w:pPr>
      <w:r>
        <w:rPr>
          <w:rFonts w:ascii="宋体" w:hAnsi="宋体"/>
          <w:b/>
          <w:bCs/>
          <w:sz w:val="26"/>
          <w:szCs w:val="26"/>
        </w:rPr>
        <w:t>3</w:t>
      </w:r>
      <w:r>
        <w:rPr>
          <w:rFonts w:hint="eastAsia" w:ascii="宋体" w:hAnsi="宋体"/>
          <w:b/>
          <w:bCs/>
          <w:sz w:val="26"/>
          <w:szCs w:val="26"/>
        </w:rPr>
        <w:t>.如发现下列情况之一的，其响应文件将被认定为无效响应文件：</w:t>
      </w:r>
    </w:p>
    <w:p w14:paraId="04BE0E45">
      <w:pPr>
        <w:wordWrap w:val="0"/>
        <w:spacing w:line="360" w:lineRule="auto"/>
        <w:ind w:firstLine="482" w:firstLineChars="200"/>
        <w:rPr>
          <w:rFonts w:hint="eastAsia" w:ascii="宋体" w:hAnsi="宋体"/>
          <w:b/>
          <w:bCs/>
          <w:sz w:val="24"/>
        </w:rPr>
      </w:pPr>
      <w:r>
        <w:rPr>
          <w:rFonts w:ascii="宋体" w:hAnsi="宋体"/>
          <w:b/>
          <w:bCs/>
          <w:sz w:val="24"/>
        </w:rPr>
        <w:t xml:space="preserve">3.1 </w:t>
      </w:r>
      <w:r>
        <w:rPr>
          <w:rFonts w:hint="eastAsia" w:ascii="宋体" w:hAnsi="宋体"/>
          <w:b/>
          <w:bCs/>
          <w:sz w:val="24"/>
        </w:rPr>
        <w:t>响应文件未按竞争性磋商文件要求签署、盖章的；</w:t>
      </w:r>
    </w:p>
    <w:p w14:paraId="0A362D35">
      <w:pPr>
        <w:wordWrap w:val="0"/>
        <w:spacing w:line="360" w:lineRule="auto"/>
        <w:ind w:firstLine="482" w:firstLineChars="200"/>
        <w:rPr>
          <w:rFonts w:hint="eastAsia" w:ascii="宋体" w:hAnsi="宋体"/>
          <w:b/>
          <w:bCs/>
          <w:sz w:val="24"/>
        </w:rPr>
      </w:pPr>
      <w:r>
        <w:rPr>
          <w:rFonts w:ascii="宋体" w:hAnsi="宋体"/>
          <w:b/>
          <w:bCs/>
          <w:sz w:val="24"/>
        </w:rPr>
        <w:t>3.</w:t>
      </w:r>
      <w:r>
        <w:rPr>
          <w:rFonts w:hint="eastAsia" w:ascii="宋体" w:hAnsi="宋体"/>
          <w:b/>
          <w:bCs/>
          <w:sz w:val="24"/>
        </w:rPr>
        <w:t>2</w:t>
      </w:r>
      <w:r>
        <w:rPr>
          <w:rFonts w:ascii="宋体" w:hAnsi="宋体"/>
          <w:b/>
          <w:bCs/>
          <w:sz w:val="24"/>
        </w:rPr>
        <w:t xml:space="preserve"> </w:t>
      </w:r>
      <w:r>
        <w:rPr>
          <w:rFonts w:hint="eastAsia" w:ascii="宋体" w:hAnsi="宋体"/>
          <w:b/>
          <w:bCs/>
          <w:sz w:val="24"/>
        </w:rPr>
        <w:t>报价超过了竞争性磋商文件中规定的预算金额或者最高限价的；</w:t>
      </w:r>
    </w:p>
    <w:p w14:paraId="5B71104F">
      <w:pPr>
        <w:wordWrap w:val="0"/>
        <w:spacing w:line="360" w:lineRule="auto"/>
        <w:ind w:firstLine="482" w:firstLineChars="200"/>
        <w:rPr>
          <w:rFonts w:hint="eastAsia" w:ascii="宋体" w:hAnsi="宋体"/>
          <w:b/>
          <w:bCs/>
          <w:sz w:val="24"/>
        </w:rPr>
      </w:pPr>
      <w:r>
        <w:rPr>
          <w:rFonts w:ascii="宋体" w:hAnsi="宋体"/>
          <w:b/>
          <w:bCs/>
          <w:sz w:val="24"/>
        </w:rPr>
        <w:t>3.</w:t>
      </w:r>
      <w:r>
        <w:rPr>
          <w:rFonts w:hint="eastAsia" w:ascii="宋体" w:hAnsi="宋体"/>
          <w:b/>
          <w:bCs/>
          <w:sz w:val="24"/>
        </w:rPr>
        <w:t>3</w:t>
      </w:r>
      <w:r>
        <w:rPr>
          <w:rFonts w:ascii="宋体" w:hAnsi="宋体"/>
          <w:b/>
          <w:bCs/>
          <w:sz w:val="24"/>
        </w:rPr>
        <w:t xml:space="preserve"> </w:t>
      </w:r>
      <w:r>
        <w:rPr>
          <w:rFonts w:hint="eastAsia" w:ascii="宋体" w:hAnsi="宋体"/>
          <w:b/>
          <w:bCs/>
          <w:sz w:val="24"/>
        </w:rPr>
        <w:t>不满足竞争性磋商文件中《资格评审表》规定要求的；</w:t>
      </w:r>
    </w:p>
    <w:p w14:paraId="1B8BA089">
      <w:pPr>
        <w:wordWrap w:val="0"/>
        <w:spacing w:line="360" w:lineRule="auto"/>
        <w:ind w:firstLine="482" w:firstLineChars="200"/>
        <w:rPr>
          <w:rFonts w:hint="eastAsia" w:ascii="宋体" w:hAnsi="宋体"/>
          <w:b/>
          <w:bCs/>
          <w:sz w:val="24"/>
        </w:rPr>
      </w:pPr>
      <w:r>
        <w:rPr>
          <w:rFonts w:ascii="宋体" w:hAnsi="宋体"/>
          <w:b/>
          <w:bCs/>
          <w:sz w:val="24"/>
        </w:rPr>
        <w:t>3.</w:t>
      </w:r>
      <w:r>
        <w:rPr>
          <w:rFonts w:hint="eastAsia" w:ascii="宋体" w:hAnsi="宋体"/>
          <w:b/>
          <w:bCs/>
          <w:sz w:val="24"/>
        </w:rPr>
        <w:t>4</w:t>
      </w:r>
      <w:r>
        <w:rPr>
          <w:rFonts w:ascii="宋体" w:hAnsi="宋体"/>
          <w:b/>
          <w:bCs/>
          <w:sz w:val="24"/>
        </w:rPr>
        <w:t xml:space="preserve"> </w:t>
      </w:r>
      <w:r>
        <w:rPr>
          <w:rFonts w:hint="eastAsia" w:ascii="宋体" w:hAnsi="宋体"/>
          <w:b/>
          <w:bCs/>
          <w:sz w:val="24"/>
        </w:rPr>
        <w:t>不满足竞争性磋商文件中《符合性评审表》规定要求的；</w:t>
      </w:r>
    </w:p>
    <w:p w14:paraId="569A6895">
      <w:pPr>
        <w:wordWrap w:val="0"/>
        <w:spacing w:line="360" w:lineRule="auto"/>
        <w:ind w:firstLine="482" w:firstLineChars="200"/>
        <w:rPr>
          <w:rFonts w:hint="eastAsia" w:ascii="宋体" w:hAnsi="宋体"/>
          <w:b/>
          <w:bCs/>
          <w:sz w:val="24"/>
        </w:rPr>
      </w:pPr>
      <w:r>
        <w:rPr>
          <w:rFonts w:ascii="宋体" w:hAnsi="宋体"/>
          <w:b/>
          <w:bCs/>
          <w:sz w:val="24"/>
        </w:rPr>
        <w:t>3.</w:t>
      </w:r>
      <w:r>
        <w:rPr>
          <w:rFonts w:hint="eastAsia" w:ascii="宋体" w:hAnsi="宋体"/>
          <w:b/>
          <w:bCs/>
          <w:sz w:val="24"/>
        </w:rPr>
        <w:t>5</w:t>
      </w:r>
      <w:r>
        <w:rPr>
          <w:rFonts w:ascii="宋体" w:hAnsi="宋体"/>
          <w:b/>
          <w:bCs/>
          <w:sz w:val="24"/>
        </w:rPr>
        <w:t xml:space="preserve"> </w:t>
      </w:r>
      <w:r>
        <w:rPr>
          <w:rFonts w:hint="eastAsia" w:ascii="宋体" w:hAnsi="宋体"/>
          <w:b/>
          <w:bCs/>
          <w:sz w:val="24"/>
        </w:rPr>
        <w:t>属于供应商之间串通</w:t>
      </w:r>
      <w:r>
        <w:rPr>
          <w:rFonts w:ascii="宋体" w:hAnsi="宋体"/>
          <w:b/>
          <w:bCs/>
          <w:sz w:val="24"/>
        </w:rPr>
        <w:t>，或者</w:t>
      </w:r>
      <w:r>
        <w:rPr>
          <w:rFonts w:hint="eastAsia" w:ascii="宋体" w:hAnsi="宋体"/>
          <w:b/>
          <w:bCs/>
          <w:sz w:val="24"/>
        </w:rPr>
        <w:t>依法</w:t>
      </w:r>
      <w:r>
        <w:rPr>
          <w:rFonts w:ascii="宋体" w:hAnsi="宋体"/>
          <w:b/>
          <w:bCs/>
          <w:sz w:val="24"/>
        </w:rPr>
        <w:t>被视为</w:t>
      </w:r>
      <w:r>
        <w:rPr>
          <w:rFonts w:hint="eastAsia" w:ascii="宋体" w:hAnsi="宋体"/>
          <w:b/>
          <w:bCs/>
          <w:sz w:val="24"/>
        </w:rPr>
        <w:t>供应商之间串通；</w:t>
      </w:r>
    </w:p>
    <w:p w14:paraId="7CAAFA89">
      <w:pPr>
        <w:wordWrap w:val="0"/>
        <w:adjustRightInd w:val="0"/>
        <w:snapToGrid w:val="0"/>
        <w:spacing w:line="360" w:lineRule="auto"/>
        <w:ind w:firstLine="482" w:firstLineChars="200"/>
        <w:rPr>
          <w:rFonts w:hint="eastAsia" w:ascii="宋体" w:hAnsi="宋体"/>
          <w:b/>
          <w:bCs/>
          <w:sz w:val="24"/>
        </w:rPr>
      </w:pPr>
      <w:r>
        <w:rPr>
          <w:rFonts w:ascii="宋体" w:hAnsi="宋体"/>
          <w:b/>
          <w:bCs/>
          <w:sz w:val="24"/>
        </w:rPr>
        <w:t>3.</w:t>
      </w:r>
      <w:r>
        <w:rPr>
          <w:rFonts w:hint="eastAsia" w:ascii="宋体" w:hAnsi="宋体"/>
          <w:b/>
          <w:bCs/>
          <w:sz w:val="24"/>
        </w:rPr>
        <w:t>6</w:t>
      </w:r>
      <w:r>
        <w:rPr>
          <w:rFonts w:ascii="宋体" w:hAnsi="宋体"/>
          <w:b/>
          <w:bCs/>
          <w:sz w:val="24"/>
        </w:rPr>
        <w:t xml:space="preserve"> </w:t>
      </w:r>
      <w:r>
        <w:rPr>
          <w:rFonts w:hint="eastAsia" w:ascii="宋体" w:hAnsi="宋体"/>
          <w:b/>
          <w:bCs/>
          <w:sz w:val="24"/>
        </w:rPr>
        <w:t>磋商小组认为供应商的报价明显低于其他通过符合性审查供应商的报价，有可能影响产品质量或者不能诚信履约的，应当要求其提供书面说明，必要时提交相关证明材料；供应商不能证明其报价合理性的，磋商小组应当将其作为无效提交响应文件处理。</w:t>
      </w:r>
    </w:p>
    <w:p w14:paraId="465A54E0">
      <w:pPr>
        <w:wordWrap w:val="0"/>
        <w:spacing w:line="360" w:lineRule="auto"/>
        <w:ind w:firstLine="482" w:firstLineChars="200"/>
        <w:rPr>
          <w:rFonts w:hint="eastAsia" w:ascii="宋体" w:hAnsi="宋体"/>
          <w:b/>
          <w:bCs/>
          <w:sz w:val="24"/>
        </w:rPr>
      </w:pPr>
      <w:r>
        <w:rPr>
          <w:rFonts w:ascii="宋体" w:hAnsi="宋体"/>
          <w:b/>
          <w:bCs/>
          <w:sz w:val="24"/>
        </w:rPr>
        <w:t>3.</w:t>
      </w:r>
      <w:r>
        <w:rPr>
          <w:rFonts w:hint="eastAsia" w:ascii="宋体" w:hAnsi="宋体"/>
          <w:b/>
          <w:bCs/>
          <w:sz w:val="24"/>
        </w:rPr>
        <w:t>7</w:t>
      </w:r>
      <w:r>
        <w:rPr>
          <w:rFonts w:ascii="宋体" w:hAnsi="宋体"/>
          <w:b/>
          <w:bCs/>
          <w:sz w:val="24"/>
        </w:rPr>
        <w:t xml:space="preserve"> </w:t>
      </w:r>
      <w:r>
        <w:rPr>
          <w:rFonts w:hint="eastAsia" w:ascii="宋体" w:hAnsi="宋体"/>
          <w:b/>
          <w:bCs/>
          <w:sz w:val="24"/>
        </w:rPr>
        <w:t>响应文件含有采购人不能接受的附加条件的；</w:t>
      </w:r>
    </w:p>
    <w:p w14:paraId="12770000">
      <w:pPr>
        <w:wordWrap w:val="0"/>
        <w:spacing w:line="360" w:lineRule="auto"/>
        <w:ind w:firstLine="482" w:firstLineChars="200"/>
        <w:rPr>
          <w:rFonts w:hint="eastAsia" w:ascii="宋体" w:hAnsi="宋体"/>
          <w:b/>
          <w:bCs/>
          <w:sz w:val="24"/>
        </w:rPr>
      </w:pPr>
      <w:r>
        <w:rPr>
          <w:rFonts w:ascii="宋体" w:hAnsi="宋体"/>
          <w:b/>
          <w:bCs/>
          <w:sz w:val="24"/>
        </w:rPr>
        <w:t>3.</w:t>
      </w:r>
      <w:r>
        <w:rPr>
          <w:rFonts w:hint="eastAsia" w:ascii="宋体" w:hAnsi="宋体"/>
          <w:b/>
          <w:bCs/>
          <w:sz w:val="24"/>
        </w:rPr>
        <w:t>8</w:t>
      </w:r>
      <w:r>
        <w:rPr>
          <w:rFonts w:ascii="宋体" w:hAnsi="宋体"/>
          <w:b/>
          <w:bCs/>
          <w:sz w:val="24"/>
        </w:rPr>
        <w:t xml:space="preserve"> </w:t>
      </w:r>
      <w:r>
        <w:rPr>
          <w:rFonts w:hint="eastAsia" w:ascii="宋体" w:hAnsi="宋体"/>
          <w:b/>
          <w:bCs/>
          <w:sz w:val="24"/>
        </w:rPr>
        <w:t>属于法律法规和竞争性磋商文件中规定的其他无效提交响应文件情形的。</w:t>
      </w:r>
    </w:p>
    <w:p w14:paraId="7A47C5AE">
      <w:pPr>
        <w:widowControl/>
        <w:wordWrap w:val="0"/>
        <w:spacing w:line="360" w:lineRule="auto"/>
        <w:ind w:firstLine="522" w:firstLineChars="200"/>
        <w:jc w:val="left"/>
        <w:rPr>
          <w:rFonts w:hint="eastAsia" w:ascii="宋体" w:hAnsi="宋体"/>
          <w:b/>
          <w:bCs/>
          <w:sz w:val="26"/>
          <w:szCs w:val="26"/>
        </w:rPr>
      </w:pPr>
      <w:r>
        <w:rPr>
          <w:rFonts w:ascii="宋体" w:hAnsi="宋体"/>
          <w:b/>
          <w:bCs/>
          <w:sz w:val="26"/>
          <w:szCs w:val="26"/>
        </w:rPr>
        <w:t>4</w:t>
      </w:r>
      <w:r>
        <w:rPr>
          <w:rFonts w:hint="eastAsia" w:ascii="宋体" w:hAnsi="宋体"/>
          <w:b/>
          <w:bCs/>
          <w:sz w:val="26"/>
          <w:szCs w:val="26"/>
        </w:rPr>
        <w:t>.有下列情形之一的，视为供应商串通提交响应文件，其响应文件无效：</w:t>
      </w:r>
    </w:p>
    <w:p w14:paraId="2E77A191">
      <w:pPr>
        <w:widowControl/>
        <w:wordWrap w:val="0"/>
        <w:spacing w:line="360" w:lineRule="auto"/>
        <w:ind w:firstLine="482" w:firstLineChars="200"/>
        <w:jc w:val="left"/>
        <w:rPr>
          <w:rFonts w:hint="eastAsia" w:ascii="宋体" w:hAnsi="宋体"/>
          <w:b/>
          <w:bCs/>
          <w:sz w:val="24"/>
        </w:rPr>
      </w:pPr>
      <w:r>
        <w:rPr>
          <w:rFonts w:hint="eastAsia" w:ascii="宋体" w:hAnsi="宋体"/>
          <w:b/>
          <w:bCs/>
          <w:sz w:val="24"/>
        </w:rPr>
        <w:t>4</w:t>
      </w:r>
      <w:r>
        <w:rPr>
          <w:rFonts w:ascii="宋体" w:hAnsi="宋体"/>
          <w:b/>
          <w:bCs/>
          <w:sz w:val="24"/>
        </w:rPr>
        <w:t xml:space="preserve">.1 </w:t>
      </w:r>
      <w:r>
        <w:rPr>
          <w:rFonts w:hint="eastAsia" w:ascii="宋体" w:hAnsi="宋体"/>
          <w:b/>
          <w:bCs/>
          <w:sz w:val="24"/>
        </w:rPr>
        <w:t>不同</w:t>
      </w:r>
      <w:r>
        <w:rPr>
          <w:rFonts w:hint="eastAsia" w:ascii="宋体" w:hAnsi="宋体" w:cs="仿宋"/>
          <w:b/>
          <w:bCs/>
          <w:sz w:val="24"/>
        </w:rPr>
        <w:t>供应商</w:t>
      </w:r>
      <w:r>
        <w:rPr>
          <w:rFonts w:hint="eastAsia" w:ascii="宋体" w:hAnsi="宋体"/>
          <w:b/>
          <w:bCs/>
          <w:sz w:val="24"/>
        </w:rPr>
        <w:t>的响应文件由同一单位或者个人编制；</w:t>
      </w:r>
    </w:p>
    <w:p w14:paraId="3E7E0D2B">
      <w:pPr>
        <w:widowControl/>
        <w:wordWrap w:val="0"/>
        <w:spacing w:line="360" w:lineRule="auto"/>
        <w:ind w:firstLine="480"/>
        <w:jc w:val="left"/>
        <w:rPr>
          <w:rFonts w:hint="eastAsia" w:ascii="宋体" w:hAnsi="宋体"/>
          <w:b/>
          <w:bCs/>
          <w:sz w:val="24"/>
        </w:rPr>
      </w:pPr>
      <w:r>
        <w:rPr>
          <w:rFonts w:hint="eastAsia" w:ascii="宋体" w:hAnsi="宋体"/>
          <w:b/>
          <w:bCs/>
          <w:sz w:val="24"/>
        </w:rPr>
        <w:t>4</w:t>
      </w:r>
      <w:r>
        <w:rPr>
          <w:rFonts w:ascii="宋体" w:hAnsi="宋体"/>
          <w:b/>
          <w:bCs/>
          <w:sz w:val="24"/>
        </w:rPr>
        <w:t xml:space="preserve">.2 </w:t>
      </w:r>
      <w:r>
        <w:rPr>
          <w:rFonts w:hint="eastAsia" w:ascii="宋体" w:hAnsi="宋体"/>
          <w:b/>
          <w:bCs/>
          <w:sz w:val="24"/>
        </w:rPr>
        <w:t>不同</w:t>
      </w:r>
      <w:r>
        <w:rPr>
          <w:rFonts w:hint="eastAsia" w:ascii="宋体" w:hAnsi="宋体" w:cs="仿宋"/>
          <w:b/>
          <w:bCs/>
          <w:sz w:val="24"/>
        </w:rPr>
        <w:t>供应商</w:t>
      </w:r>
      <w:r>
        <w:rPr>
          <w:rFonts w:hint="eastAsia" w:ascii="宋体" w:hAnsi="宋体"/>
          <w:b/>
          <w:bCs/>
          <w:sz w:val="24"/>
        </w:rPr>
        <w:t>委托同一单位或者个人办理提交响应文件事宜；</w:t>
      </w:r>
    </w:p>
    <w:p w14:paraId="04CC0E21">
      <w:pPr>
        <w:widowControl/>
        <w:wordWrap w:val="0"/>
        <w:spacing w:line="360" w:lineRule="auto"/>
        <w:ind w:firstLine="480"/>
        <w:jc w:val="left"/>
        <w:rPr>
          <w:rFonts w:hint="eastAsia" w:ascii="宋体" w:hAnsi="宋体"/>
          <w:b/>
          <w:bCs/>
          <w:sz w:val="24"/>
        </w:rPr>
      </w:pPr>
      <w:r>
        <w:rPr>
          <w:rFonts w:hint="eastAsia" w:ascii="宋体" w:hAnsi="宋体"/>
          <w:b/>
          <w:bCs/>
          <w:sz w:val="24"/>
        </w:rPr>
        <w:t>4</w:t>
      </w:r>
      <w:r>
        <w:rPr>
          <w:rFonts w:ascii="宋体" w:hAnsi="宋体"/>
          <w:b/>
          <w:bCs/>
          <w:sz w:val="24"/>
        </w:rPr>
        <w:t xml:space="preserve">.3 </w:t>
      </w:r>
      <w:r>
        <w:rPr>
          <w:rFonts w:hint="eastAsia" w:ascii="宋体" w:hAnsi="宋体"/>
          <w:b/>
          <w:bCs/>
          <w:sz w:val="24"/>
        </w:rPr>
        <w:t>不同</w:t>
      </w:r>
      <w:r>
        <w:rPr>
          <w:rFonts w:hint="eastAsia" w:ascii="宋体" w:hAnsi="宋体" w:cs="仿宋"/>
          <w:b/>
          <w:bCs/>
          <w:sz w:val="24"/>
        </w:rPr>
        <w:t>供应商</w:t>
      </w:r>
      <w:r>
        <w:rPr>
          <w:rFonts w:hint="eastAsia" w:ascii="宋体" w:hAnsi="宋体"/>
          <w:b/>
          <w:bCs/>
          <w:sz w:val="24"/>
        </w:rPr>
        <w:t>的响应文件载明的项目管理成员或者联系人员为同一人；</w:t>
      </w:r>
    </w:p>
    <w:p w14:paraId="2346C3DC">
      <w:pPr>
        <w:widowControl/>
        <w:wordWrap w:val="0"/>
        <w:spacing w:line="360" w:lineRule="auto"/>
        <w:ind w:firstLine="482" w:firstLineChars="200"/>
        <w:jc w:val="left"/>
        <w:rPr>
          <w:rFonts w:hint="eastAsia" w:ascii="宋体" w:hAnsi="宋体"/>
          <w:b/>
          <w:bCs/>
          <w:sz w:val="24"/>
        </w:rPr>
      </w:pPr>
      <w:r>
        <w:rPr>
          <w:rFonts w:hint="eastAsia" w:ascii="宋体" w:hAnsi="宋体"/>
          <w:b/>
          <w:bCs/>
          <w:sz w:val="24"/>
        </w:rPr>
        <w:t>4</w:t>
      </w:r>
      <w:r>
        <w:rPr>
          <w:rFonts w:ascii="宋体" w:hAnsi="宋体"/>
          <w:b/>
          <w:bCs/>
          <w:sz w:val="24"/>
        </w:rPr>
        <w:t xml:space="preserve">.4 </w:t>
      </w:r>
      <w:r>
        <w:rPr>
          <w:rFonts w:hint="eastAsia" w:ascii="宋体" w:hAnsi="宋体"/>
          <w:b/>
          <w:bCs/>
          <w:sz w:val="24"/>
        </w:rPr>
        <w:t>不同</w:t>
      </w:r>
      <w:r>
        <w:rPr>
          <w:rFonts w:hint="eastAsia" w:ascii="宋体" w:hAnsi="宋体" w:cs="仿宋"/>
          <w:b/>
          <w:bCs/>
          <w:sz w:val="24"/>
        </w:rPr>
        <w:t>供应商</w:t>
      </w:r>
      <w:r>
        <w:rPr>
          <w:rFonts w:hint="eastAsia" w:ascii="宋体" w:hAnsi="宋体"/>
          <w:b/>
          <w:bCs/>
          <w:sz w:val="24"/>
        </w:rPr>
        <w:t>的响应文件异常一致或者提交响应文件报价呈规律性差异；</w:t>
      </w:r>
    </w:p>
    <w:p w14:paraId="6CD4876A">
      <w:pPr>
        <w:widowControl/>
        <w:wordWrap w:val="0"/>
        <w:spacing w:line="360" w:lineRule="auto"/>
        <w:ind w:firstLine="482" w:firstLineChars="200"/>
        <w:jc w:val="left"/>
        <w:rPr>
          <w:rFonts w:hint="eastAsia" w:ascii="宋体" w:hAnsi="宋体"/>
          <w:b/>
          <w:bCs/>
          <w:sz w:val="24"/>
        </w:rPr>
      </w:pPr>
      <w:r>
        <w:rPr>
          <w:rFonts w:hint="eastAsia" w:ascii="宋体" w:hAnsi="宋体"/>
          <w:b/>
          <w:bCs/>
          <w:sz w:val="24"/>
        </w:rPr>
        <w:t>4</w:t>
      </w:r>
      <w:r>
        <w:rPr>
          <w:rFonts w:ascii="宋体" w:hAnsi="宋体"/>
          <w:b/>
          <w:bCs/>
          <w:sz w:val="24"/>
        </w:rPr>
        <w:t xml:space="preserve">.5 </w:t>
      </w:r>
      <w:r>
        <w:rPr>
          <w:rFonts w:hint="eastAsia" w:ascii="宋体" w:hAnsi="宋体"/>
          <w:b/>
          <w:bCs/>
          <w:sz w:val="24"/>
        </w:rPr>
        <w:t>不同</w:t>
      </w:r>
      <w:r>
        <w:rPr>
          <w:rFonts w:hint="eastAsia" w:ascii="宋体" w:hAnsi="宋体" w:cs="仿宋"/>
          <w:b/>
          <w:bCs/>
          <w:sz w:val="24"/>
        </w:rPr>
        <w:t>供应商</w:t>
      </w:r>
      <w:r>
        <w:rPr>
          <w:rFonts w:hint="eastAsia" w:ascii="宋体" w:hAnsi="宋体"/>
          <w:b/>
          <w:bCs/>
          <w:sz w:val="24"/>
        </w:rPr>
        <w:t>的响应文件相互混装。</w:t>
      </w:r>
    </w:p>
    <w:p w14:paraId="305BEC10">
      <w:pPr>
        <w:wordWrap w:val="0"/>
        <w:spacing w:line="360" w:lineRule="auto"/>
        <w:ind w:firstLine="482" w:firstLineChars="200"/>
        <w:rPr>
          <w:rFonts w:hint="eastAsia" w:ascii="宋体" w:hAnsi="宋体"/>
          <w:b/>
          <w:bCs/>
          <w:sz w:val="24"/>
        </w:rPr>
      </w:pPr>
      <w:r>
        <w:rPr>
          <w:rFonts w:hint="eastAsia" w:ascii="宋体" w:hAnsi="宋体"/>
          <w:b/>
          <w:bCs/>
          <w:sz w:val="24"/>
        </w:rPr>
        <w:t>5.依据《</w:t>
      </w:r>
      <w:bookmarkStart w:id="551" w:name="OLE_LINK5"/>
      <w:bookmarkStart w:id="552" w:name="OLE_LINK4"/>
      <w:r>
        <w:rPr>
          <w:rFonts w:hint="eastAsia" w:ascii="宋体" w:hAnsi="宋体"/>
          <w:b/>
          <w:bCs/>
          <w:sz w:val="24"/>
        </w:rPr>
        <w:t>河南省财政厅关于防范供应商串通提交响应文件促进政府采购公平竞争的通知</w:t>
      </w:r>
      <w:bookmarkEnd w:id="551"/>
      <w:bookmarkEnd w:id="552"/>
      <w:r>
        <w:rPr>
          <w:rFonts w:hint="eastAsia" w:ascii="宋体" w:hAnsi="宋体"/>
          <w:b/>
          <w:bCs/>
          <w:sz w:val="24"/>
        </w:rPr>
        <w:t>》｛豫财购﹝2021﹞6号｝文件中的相关规定，参与同一个标段（包）的</w:t>
      </w:r>
      <w:r>
        <w:rPr>
          <w:rFonts w:hint="eastAsia" w:ascii="宋体" w:hAnsi="宋体" w:cs="仿宋"/>
          <w:b/>
          <w:bCs/>
          <w:sz w:val="24"/>
        </w:rPr>
        <w:t>供应商</w:t>
      </w:r>
      <w:r>
        <w:rPr>
          <w:rFonts w:hint="eastAsia" w:ascii="宋体" w:hAnsi="宋体"/>
          <w:b/>
          <w:bCs/>
          <w:sz w:val="24"/>
        </w:rPr>
        <w:t>存在下列情形之一的，其提交响应文件无效：</w:t>
      </w:r>
    </w:p>
    <w:p w14:paraId="517BF3B5">
      <w:pPr>
        <w:wordWrap w:val="0"/>
        <w:spacing w:line="360" w:lineRule="auto"/>
        <w:ind w:firstLine="482" w:firstLineChars="200"/>
        <w:rPr>
          <w:rFonts w:hint="eastAsia" w:ascii="宋体" w:hAnsi="宋体"/>
          <w:b/>
          <w:bCs/>
          <w:sz w:val="24"/>
        </w:rPr>
      </w:pPr>
      <w:r>
        <w:rPr>
          <w:rFonts w:hint="eastAsia" w:ascii="宋体" w:hAnsi="宋体"/>
          <w:b/>
          <w:bCs/>
          <w:sz w:val="24"/>
        </w:rPr>
        <w:t>5</w:t>
      </w:r>
      <w:r>
        <w:rPr>
          <w:rFonts w:ascii="宋体" w:hAnsi="宋体"/>
          <w:b/>
          <w:bCs/>
          <w:sz w:val="24"/>
        </w:rPr>
        <w:t xml:space="preserve">.1 </w:t>
      </w:r>
      <w:r>
        <w:rPr>
          <w:rFonts w:hint="eastAsia" w:ascii="宋体" w:hAnsi="宋体"/>
          <w:b/>
          <w:bCs/>
          <w:sz w:val="24"/>
        </w:rPr>
        <w:t>不同</w:t>
      </w:r>
      <w:r>
        <w:rPr>
          <w:rFonts w:hint="eastAsia" w:ascii="宋体" w:hAnsi="宋体" w:cs="仿宋"/>
          <w:b/>
          <w:bCs/>
          <w:sz w:val="24"/>
        </w:rPr>
        <w:t>供应商</w:t>
      </w:r>
      <w:r>
        <w:rPr>
          <w:rFonts w:hint="eastAsia" w:ascii="宋体" w:hAnsi="宋体"/>
          <w:b/>
          <w:bCs/>
          <w:sz w:val="24"/>
        </w:rPr>
        <w:t>的电子提交响应文件上传计算机的网卡MAC地址、CPU序列号和硬盘序列号等硬件信息相同的(如有）；</w:t>
      </w:r>
    </w:p>
    <w:p w14:paraId="1B41550D">
      <w:pPr>
        <w:wordWrap w:val="0"/>
        <w:spacing w:line="360" w:lineRule="auto"/>
        <w:ind w:firstLine="482" w:firstLineChars="200"/>
        <w:rPr>
          <w:rFonts w:hint="eastAsia" w:ascii="宋体" w:hAnsi="宋体"/>
          <w:b/>
          <w:bCs/>
          <w:sz w:val="24"/>
        </w:rPr>
      </w:pPr>
      <w:r>
        <w:rPr>
          <w:rFonts w:hint="eastAsia" w:ascii="宋体" w:hAnsi="宋体"/>
          <w:b/>
          <w:bCs/>
          <w:sz w:val="24"/>
        </w:rPr>
        <w:t>5</w:t>
      </w:r>
      <w:r>
        <w:rPr>
          <w:rFonts w:ascii="宋体" w:hAnsi="宋体"/>
          <w:b/>
          <w:bCs/>
          <w:sz w:val="24"/>
        </w:rPr>
        <w:t xml:space="preserve">.2 </w:t>
      </w:r>
      <w:r>
        <w:rPr>
          <w:rFonts w:hint="eastAsia" w:ascii="宋体" w:hAnsi="宋体"/>
          <w:b/>
          <w:bCs/>
          <w:sz w:val="24"/>
        </w:rPr>
        <w:t>不同</w:t>
      </w:r>
      <w:r>
        <w:rPr>
          <w:rFonts w:hint="eastAsia" w:ascii="宋体" w:hAnsi="宋体" w:cs="仿宋"/>
          <w:b/>
          <w:bCs/>
          <w:sz w:val="24"/>
        </w:rPr>
        <w:t>供应商</w:t>
      </w:r>
      <w:r>
        <w:rPr>
          <w:rFonts w:hint="eastAsia" w:ascii="宋体" w:hAnsi="宋体"/>
          <w:b/>
          <w:bCs/>
          <w:sz w:val="24"/>
        </w:rPr>
        <w:t>的提交响应文件由同一电子设备编制、打印加密或者上传；</w:t>
      </w:r>
    </w:p>
    <w:p w14:paraId="34689596">
      <w:pPr>
        <w:wordWrap w:val="0"/>
        <w:spacing w:line="360" w:lineRule="auto"/>
        <w:ind w:firstLine="482" w:firstLineChars="200"/>
        <w:rPr>
          <w:rFonts w:hint="eastAsia" w:ascii="宋体" w:hAnsi="宋体"/>
          <w:b/>
          <w:bCs/>
          <w:sz w:val="24"/>
        </w:rPr>
      </w:pPr>
      <w:r>
        <w:rPr>
          <w:rFonts w:hint="eastAsia" w:ascii="宋体" w:hAnsi="宋体"/>
          <w:b/>
          <w:bCs/>
          <w:sz w:val="24"/>
        </w:rPr>
        <w:t>5</w:t>
      </w:r>
      <w:r>
        <w:rPr>
          <w:rFonts w:ascii="宋体" w:hAnsi="宋体"/>
          <w:b/>
          <w:bCs/>
          <w:sz w:val="24"/>
        </w:rPr>
        <w:t xml:space="preserve">.3 </w:t>
      </w:r>
      <w:r>
        <w:rPr>
          <w:rFonts w:hint="eastAsia" w:ascii="宋体" w:hAnsi="宋体"/>
          <w:b/>
          <w:bCs/>
          <w:sz w:val="24"/>
        </w:rPr>
        <w:t>不同</w:t>
      </w:r>
      <w:r>
        <w:rPr>
          <w:rFonts w:hint="eastAsia" w:ascii="宋体" w:hAnsi="宋体" w:cs="仿宋"/>
          <w:b/>
          <w:bCs/>
          <w:sz w:val="24"/>
        </w:rPr>
        <w:t>供应商</w:t>
      </w:r>
      <w:r>
        <w:rPr>
          <w:rFonts w:hint="eastAsia" w:ascii="宋体" w:hAnsi="宋体"/>
          <w:b/>
          <w:bCs/>
          <w:sz w:val="24"/>
        </w:rPr>
        <w:t>的提交响应文件由同一电子设备打印、复印；</w:t>
      </w:r>
    </w:p>
    <w:p w14:paraId="2B3F685F">
      <w:pPr>
        <w:wordWrap w:val="0"/>
        <w:spacing w:line="360" w:lineRule="auto"/>
        <w:ind w:firstLine="482" w:firstLineChars="200"/>
        <w:rPr>
          <w:rFonts w:hint="eastAsia" w:ascii="宋体" w:hAnsi="宋体"/>
          <w:b/>
          <w:bCs/>
          <w:sz w:val="24"/>
        </w:rPr>
      </w:pPr>
      <w:r>
        <w:rPr>
          <w:rFonts w:hint="eastAsia" w:ascii="宋体" w:hAnsi="宋体"/>
          <w:b/>
          <w:bCs/>
          <w:sz w:val="24"/>
        </w:rPr>
        <w:t>5</w:t>
      </w:r>
      <w:r>
        <w:rPr>
          <w:rFonts w:ascii="宋体" w:hAnsi="宋体"/>
          <w:b/>
          <w:bCs/>
          <w:sz w:val="24"/>
        </w:rPr>
        <w:t xml:space="preserve">.4 </w:t>
      </w:r>
      <w:r>
        <w:rPr>
          <w:rFonts w:hint="eastAsia" w:ascii="宋体" w:hAnsi="宋体"/>
          <w:b/>
          <w:bCs/>
          <w:sz w:val="24"/>
        </w:rPr>
        <w:t>不同</w:t>
      </w:r>
      <w:r>
        <w:rPr>
          <w:rFonts w:hint="eastAsia" w:ascii="宋体" w:hAnsi="宋体" w:cs="仿宋"/>
          <w:b/>
          <w:bCs/>
          <w:sz w:val="24"/>
        </w:rPr>
        <w:t>供应商</w:t>
      </w:r>
      <w:r>
        <w:rPr>
          <w:rFonts w:hint="eastAsia" w:ascii="宋体" w:hAnsi="宋体"/>
          <w:b/>
          <w:bCs/>
          <w:sz w:val="24"/>
        </w:rPr>
        <w:t>的提交响应文件由同一人送达或者分发，或者不同供应商联系人为同一人或不同联系人的联系电话一致的；</w:t>
      </w:r>
    </w:p>
    <w:p w14:paraId="3A93C5ED">
      <w:pPr>
        <w:wordWrap w:val="0"/>
        <w:spacing w:line="360" w:lineRule="auto"/>
        <w:ind w:firstLine="482" w:firstLineChars="200"/>
        <w:rPr>
          <w:rFonts w:hint="eastAsia" w:ascii="宋体" w:hAnsi="宋体"/>
          <w:b/>
          <w:bCs/>
          <w:sz w:val="24"/>
        </w:rPr>
      </w:pPr>
      <w:r>
        <w:rPr>
          <w:rFonts w:hint="eastAsia" w:ascii="宋体" w:hAnsi="宋体"/>
          <w:b/>
          <w:bCs/>
          <w:sz w:val="24"/>
        </w:rPr>
        <w:t>5</w:t>
      </w:r>
      <w:r>
        <w:rPr>
          <w:rFonts w:ascii="宋体" w:hAnsi="宋体"/>
          <w:b/>
          <w:bCs/>
          <w:sz w:val="24"/>
        </w:rPr>
        <w:t xml:space="preserve">.5 </w:t>
      </w:r>
      <w:r>
        <w:rPr>
          <w:rFonts w:hint="eastAsia" w:ascii="宋体" w:hAnsi="宋体"/>
          <w:b/>
          <w:bCs/>
          <w:sz w:val="24"/>
        </w:rPr>
        <w:t>不同供应商提交响应文件的内容存在两处以上细节错误一致；</w:t>
      </w:r>
    </w:p>
    <w:p w14:paraId="521CDE87">
      <w:pPr>
        <w:wordWrap w:val="0"/>
        <w:spacing w:line="360" w:lineRule="auto"/>
        <w:ind w:firstLine="482" w:firstLineChars="200"/>
        <w:rPr>
          <w:rFonts w:hint="eastAsia" w:ascii="宋体" w:hAnsi="宋体"/>
          <w:b/>
          <w:bCs/>
          <w:sz w:val="24"/>
        </w:rPr>
      </w:pPr>
      <w:r>
        <w:rPr>
          <w:rFonts w:hint="eastAsia" w:ascii="宋体" w:hAnsi="宋体"/>
          <w:b/>
          <w:bCs/>
          <w:sz w:val="24"/>
        </w:rPr>
        <w:t>5</w:t>
      </w:r>
      <w:r>
        <w:rPr>
          <w:rFonts w:ascii="宋体" w:hAnsi="宋体"/>
          <w:b/>
          <w:bCs/>
          <w:sz w:val="24"/>
        </w:rPr>
        <w:t xml:space="preserve">.6 </w:t>
      </w:r>
      <w:r>
        <w:rPr>
          <w:rFonts w:hint="eastAsia" w:ascii="宋体" w:hAnsi="宋体"/>
          <w:b/>
          <w:bCs/>
          <w:sz w:val="24"/>
        </w:rPr>
        <w:t>不同</w:t>
      </w:r>
      <w:r>
        <w:rPr>
          <w:rFonts w:hint="eastAsia" w:ascii="宋体" w:hAnsi="宋体" w:cs="仿宋"/>
          <w:b/>
          <w:bCs/>
          <w:sz w:val="24"/>
        </w:rPr>
        <w:t>供应商</w:t>
      </w:r>
      <w:r>
        <w:rPr>
          <w:rFonts w:hint="eastAsia" w:ascii="宋体" w:hAnsi="宋体"/>
          <w:b/>
          <w:bCs/>
          <w:sz w:val="24"/>
        </w:rPr>
        <w:t>的法定代表人、委托代理人、项目经理、项目负责人等由同一个单位缴纳社会保险或者领取报酬的；</w:t>
      </w:r>
    </w:p>
    <w:p w14:paraId="3891BB2F">
      <w:pPr>
        <w:wordWrap w:val="0"/>
        <w:spacing w:line="360" w:lineRule="auto"/>
        <w:ind w:firstLine="482" w:firstLineChars="200"/>
        <w:rPr>
          <w:rFonts w:hint="eastAsia" w:ascii="宋体" w:hAnsi="宋体"/>
          <w:b/>
          <w:bCs/>
          <w:sz w:val="24"/>
        </w:rPr>
      </w:pPr>
      <w:r>
        <w:rPr>
          <w:rFonts w:hint="eastAsia" w:ascii="宋体" w:hAnsi="宋体"/>
          <w:b/>
          <w:bCs/>
          <w:sz w:val="24"/>
        </w:rPr>
        <w:t>5</w:t>
      </w:r>
      <w:r>
        <w:rPr>
          <w:rFonts w:ascii="宋体" w:hAnsi="宋体"/>
          <w:b/>
          <w:bCs/>
          <w:sz w:val="24"/>
        </w:rPr>
        <w:t xml:space="preserve">.7 </w:t>
      </w:r>
      <w:r>
        <w:rPr>
          <w:rFonts w:hint="eastAsia" w:ascii="宋体" w:hAnsi="宋体"/>
          <w:b/>
          <w:bCs/>
          <w:sz w:val="24"/>
        </w:rPr>
        <w:t>不同</w:t>
      </w:r>
      <w:r>
        <w:rPr>
          <w:rFonts w:hint="eastAsia" w:ascii="宋体" w:hAnsi="宋体" w:cs="仿宋"/>
          <w:b/>
          <w:bCs/>
          <w:sz w:val="24"/>
        </w:rPr>
        <w:t>供应商</w:t>
      </w:r>
      <w:r>
        <w:rPr>
          <w:rFonts w:hint="eastAsia" w:ascii="宋体" w:hAnsi="宋体"/>
          <w:b/>
          <w:bCs/>
          <w:sz w:val="24"/>
        </w:rPr>
        <w:t>提交响应文件中法定代表人或者负责人签字出自同一人之手；</w:t>
      </w:r>
    </w:p>
    <w:p w14:paraId="49C6C141">
      <w:pPr>
        <w:widowControl/>
        <w:wordWrap w:val="0"/>
        <w:spacing w:line="360" w:lineRule="auto"/>
        <w:ind w:firstLine="482" w:firstLineChars="200"/>
        <w:rPr>
          <w:rFonts w:hint="eastAsia" w:ascii="宋体" w:hAnsi="宋体"/>
          <w:b/>
          <w:bCs/>
          <w:sz w:val="24"/>
        </w:rPr>
      </w:pPr>
      <w:r>
        <w:rPr>
          <w:rFonts w:hint="eastAsia" w:ascii="宋体" w:hAnsi="宋体"/>
          <w:b/>
          <w:bCs/>
          <w:sz w:val="24"/>
        </w:rPr>
        <w:t>5</w:t>
      </w:r>
      <w:r>
        <w:rPr>
          <w:rFonts w:ascii="宋体" w:hAnsi="宋体"/>
          <w:b/>
          <w:bCs/>
          <w:sz w:val="24"/>
        </w:rPr>
        <w:t xml:space="preserve">.8 </w:t>
      </w:r>
      <w:r>
        <w:rPr>
          <w:rFonts w:hint="eastAsia" w:ascii="宋体" w:hAnsi="宋体"/>
          <w:b/>
          <w:bCs/>
          <w:sz w:val="24"/>
        </w:rPr>
        <w:t>其他涉嫌串通的情形。</w:t>
      </w:r>
    </w:p>
    <w:bookmarkEnd w:id="550"/>
    <w:p w14:paraId="68F0C9E1">
      <w:pPr>
        <w:pStyle w:val="7"/>
        <w:wordWrap w:val="0"/>
        <w:spacing w:before="0" w:after="0" w:line="360" w:lineRule="auto"/>
        <w:rPr>
          <w:rFonts w:hint="eastAsia" w:ascii="黑体" w:hAnsi="黑体"/>
          <w:b w:val="0"/>
          <w:bCs w:val="0"/>
          <w:sz w:val="24"/>
        </w:rPr>
      </w:pPr>
      <w:bookmarkStart w:id="553" w:name="_Toc13852"/>
      <w:bookmarkStart w:id="554" w:name="_Toc8862"/>
      <w:bookmarkStart w:id="555" w:name="_Toc20836"/>
      <w:bookmarkStart w:id="556" w:name="_Toc17573"/>
      <w:r>
        <w:rPr>
          <w:rFonts w:hint="eastAsia" w:ascii="黑体" w:hAnsi="黑体"/>
          <w:b w:val="0"/>
          <w:bCs w:val="0"/>
          <w:sz w:val="24"/>
        </w:rPr>
        <w:t>（十）详细评审</w:t>
      </w:r>
      <w:bookmarkEnd w:id="553"/>
      <w:bookmarkEnd w:id="554"/>
      <w:bookmarkEnd w:id="555"/>
      <w:bookmarkEnd w:id="556"/>
    </w:p>
    <w:p w14:paraId="787DB2D2">
      <w:pPr>
        <w:wordWrap w:val="0"/>
        <w:adjustRightInd w:val="0"/>
        <w:snapToGrid w:val="0"/>
        <w:spacing w:line="360" w:lineRule="auto"/>
        <w:ind w:firstLine="480" w:firstLineChars="200"/>
        <w:rPr>
          <w:rFonts w:hint="eastAsia" w:ascii="宋体" w:hAnsi="宋体"/>
          <w:sz w:val="24"/>
        </w:rPr>
      </w:pPr>
      <w:r>
        <w:rPr>
          <w:rFonts w:ascii="宋体" w:hAnsi="宋体"/>
          <w:sz w:val="24"/>
        </w:rPr>
        <w:t>1</w:t>
      </w:r>
      <w:r>
        <w:rPr>
          <w:rFonts w:hint="eastAsia" w:ascii="宋体" w:hAnsi="宋体"/>
          <w:sz w:val="24"/>
        </w:rPr>
        <w:t>.磋商小组</w:t>
      </w:r>
      <w:r>
        <w:rPr>
          <w:rFonts w:ascii="宋体" w:hAnsi="宋体"/>
          <w:sz w:val="24"/>
        </w:rPr>
        <w:t>将按照</w:t>
      </w:r>
      <w:r>
        <w:rPr>
          <w:rFonts w:hint="eastAsia" w:ascii="宋体" w:hAnsi="宋体"/>
          <w:sz w:val="24"/>
        </w:rPr>
        <w:t>竞争性磋商文件</w:t>
      </w:r>
      <w:r>
        <w:rPr>
          <w:rFonts w:ascii="宋体" w:hAnsi="宋体"/>
          <w:sz w:val="24"/>
        </w:rPr>
        <w:t>中规定的</w:t>
      </w:r>
      <w:r>
        <w:rPr>
          <w:rFonts w:hint="eastAsia" w:ascii="宋体" w:hAnsi="宋体"/>
          <w:sz w:val="24"/>
        </w:rPr>
        <w:t>评审</w:t>
      </w:r>
      <w:r>
        <w:rPr>
          <w:rFonts w:ascii="宋体" w:hAnsi="宋体"/>
          <w:sz w:val="24"/>
        </w:rPr>
        <w:t>方法和标准，对符合性审查合格的</w:t>
      </w:r>
      <w:r>
        <w:rPr>
          <w:rFonts w:hint="eastAsia" w:ascii="宋体" w:hAnsi="宋体"/>
          <w:sz w:val="24"/>
        </w:rPr>
        <w:t>响应文件</w:t>
      </w:r>
      <w:r>
        <w:rPr>
          <w:rFonts w:ascii="宋体" w:hAnsi="宋体"/>
          <w:sz w:val="24"/>
        </w:rPr>
        <w:t>进行商务和技术评</w:t>
      </w:r>
      <w:r>
        <w:rPr>
          <w:rFonts w:hint="eastAsia" w:ascii="宋体" w:hAnsi="宋体"/>
          <w:sz w:val="24"/>
        </w:rPr>
        <w:t>审</w:t>
      </w:r>
      <w:r>
        <w:rPr>
          <w:rFonts w:ascii="宋体" w:hAnsi="宋体"/>
          <w:sz w:val="24"/>
        </w:rPr>
        <w:t>。</w:t>
      </w:r>
    </w:p>
    <w:p w14:paraId="09422CAF">
      <w:pPr>
        <w:wordWrap w:val="0"/>
        <w:adjustRightInd w:val="0"/>
        <w:snapToGrid w:val="0"/>
        <w:spacing w:line="360" w:lineRule="auto"/>
        <w:ind w:firstLine="480" w:firstLineChars="200"/>
        <w:rPr>
          <w:rFonts w:hint="eastAsia" w:ascii="宋体" w:hAnsi="宋体"/>
          <w:sz w:val="24"/>
        </w:rPr>
      </w:pPr>
      <w:r>
        <w:rPr>
          <w:rFonts w:ascii="宋体" w:hAnsi="宋体"/>
          <w:sz w:val="24"/>
        </w:rPr>
        <w:t>2</w:t>
      </w:r>
      <w:r>
        <w:rPr>
          <w:rFonts w:hint="eastAsia" w:ascii="宋体" w:hAnsi="宋体"/>
          <w:sz w:val="24"/>
        </w:rPr>
        <w:t>.评审</w:t>
      </w:r>
      <w:r>
        <w:rPr>
          <w:rFonts w:ascii="宋体" w:hAnsi="宋体"/>
          <w:sz w:val="24"/>
        </w:rPr>
        <w:t>方法</w:t>
      </w:r>
    </w:p>
    <w:p w14:paraId="4AB8FBEE">
      <w:pPr>
        <w:wordWrap w:val="0"/>
        <w:adjustRightInd w:val="0"/>
        <w:snapToGrid w:val="0"/>
        <w:spacing w:line="360" w:lineRule="auto"/>
        <w:ind w:firstLine="480" w:firstLineChars="200"/>
        <w:rPr>
          <w:rFonts w:hint="eastAsia" w:ascii="宋体" w:hAnsi="宋体"/>
          <w:b/>
          <w:bCs/>
          <w:sz w:val="24"/>
        </w:rPr>
      </w:pPr>
      <w:r>
        <w:rPr>
          <w:rFonts w:hint="eastAsia" w:ascii="宋体" w:hAnsi="宋体"/>
          <w:sz w:val="24"/>
        </w:rPr>
        <w:t>2</w:t>
      </w:r>
      <w:r>
        <w:rPr>
          <w:rFonts w:ascii="宋体" w:hAnsi="宋体"/>
          <w:sz w:val="24"/>
        </w:rPr>
        <w:t>.1 本项目采用的</w:t>
      </w:r>
      <w:r>
        <w:rPr>
          <w:rFonts w:hint="eastAsia" w:ascii="宋体" w:hAnsi="宋体"/>
          <w:sz w:val="24"/>
        </w:rPr>
        <w:t>评审</w:t>
      </w:r>
      <w:r>
        <w:rPr>
          <w:rFonts w:ascii="宋体" w:hAnsi="宋体"/>
          <w:sz w:val="24"/>
        </w:rPr>
        <w:t>方法为：</w:t>
      </w:r>
    </w:p>
    <w:p w14:paraId="35A5C8CE">
      <w:pPr>
        <w:wordWrap w:val="0"/>
        <w:adjustRightInd w:val="0"/>
        <w:snapToGrid w:val="0"/>
        <w:spacing w:line="360" w:lineRule="auto"/>
        <w:ind w:firstLine="480" w:firstLineChars="200"/>
        <w:rPr>
          <w:rFonts w:hint="eastAsia" w:ascii="宋体" w:hAnsi="宋体"/>
          <w:sz w:val="24"/>
        </w:rPr>
      </w:pPr>
      <w:bookmarkStart w:id="557" w:name="OLE_LINK52"/>
      <w:bookmarkStart w:id="558" w:name="OLE_LINK51"/>
      <w:bookmarkStart w:id="559" w:name="_Hlk178086192"/>
      <w:r>
        <w:rPr>
          <w:rFonts w:hint="eastAsia" w:ascii="黑体" w:hAnsi="黑体" w:eastAsia="黑体"/>
          <w:sz w:val="24"/>
        </w:rPr>
        <w:sym w:font="Wingdings 2" w:char="0052"/>
      </w:r>
      <w:bookmarkEnd w:id="557"/>
      <w:bookmarkEnd w:id="558"/>
      <w:r>
        <w:rPr>
          <w:rFonts w:ascii="黑体" w:hAnsi="黑体" w:eastAsia="黑体"/>
          <w:sz w:val="24"/>
        </w:rPr>
        <w:t>综合评分法，</w:t>
      </w:r>
      <w:r>
        <w:rPr>
          <w:rFonts w:hint="eastAsia" w:ascii="宋体" w:hAnsi="宋体"/>
          <w:sz w:val="24"/>
        </w:rPr>
        <w:t>是</w:t>
      </w:r>
      <w:r>
        <w:rPr>
          <w:rFonts w:ascii="宋体" w:hAnsi="宋体"/>
          <w:sz w:val="24"/>
        </w:rPr>
        <w:t>指</w:t>
      </w:r>
      <w:r>
        <w:rPr>
          <w:rFonts w:hint="eastAsia" w:ascii="宋体" w:hAnsi="宋体"/>
          <w:sz w:val="24"/>
        </w:rPr>
        <w:t>响应文件</w:t>
      </w:r>
      <w:r>
        <w:rPr>
          <w:rFonts w:ascii="宋体" w:hAnsi="宋体"/>
          <w:sz w:val="24"/>
        </w:rPr>
        <w:t>满足</w:t>
      </w:r>
      <w:r>
        <w:rPr>
          <w:rFonts w:hint="eastAsia" w:ascii="宋体" w:hAnsi="宋体"/>
          <w:sz w:val="24"/>
        </w:rPr>
        <w:t>竞争性磋商文件</w:t>
      </w:r>
      <w:r>
        <w:rPr>
          <w:rFonts w:ascii="宋体" w:hAnsi="宋体"/>
          <w:sz w:val="24"/>
        </w:rPr>
        <w:t>全部实质性要求，且按照评审因素的量化指标评审</w:t>
      </w:r>
      <w:r>
        <w:rPr>
          <w:rFonts w:hint="eastAsia" w:ascii="宋体" w:hAnsi="宋体"/>
          <w:sz w:val="24"/>
        </w:rPr>
        <w:t>最终</w:t>
      </w:r>
      <w:r>
        <w:rPr>
          <w:rFonts w:ascii="宋体" w:hAnsi="宋体"/>
          <w:sz w:val="24"/>
        </w:rPr>
        <w:t>得分最高的</w:t>
      </w:r>
      <w:r>
        <w:rPr>
          <w:rFonts w:hint="eastAsia" w:ascii="宋体" w:hAnsi="宋体"/>
          <w:sz w:val="24"/>
        </w:rPr>
        <w:t>供应商</w:t>
      </w:r>
      <w:r>
        <w:rPr>
          <w:rFonts w:ascii="宋体" w:hAnsi="宋体"/>
          <w:sz w:val="24"/>
        </w:rPr>
        <w:t>为</w:t>
      </w:r>
      <w:r>
        <w:rPr>
          <w:rFonts w:hint="eastAsia" w:ascii="宋体" w:hAnsi="宋体"/>
          <w:sz w:val="24"/>
        </w:rPr>
        <w:t>成交</w:t>
      </w:r>
      <w:r>
        <w:rPr>
          <w:rFonts w:ascii="宋体" w:hAnsi="宋体"/>
          <w:sz w:val="24"/>
        </w:rPr>
        <w:t>候选人的</w:t>
      </w:r>
      <w:r>
        <w:rPr>
          <w:rFonts w:hint="eastAsia" w:ascii="宋体" w:hAnsi="宋体"/>
          <w:sz w:val="24"/>
        </w:rPr>
        <w:t>评审</w:t>
      </w:r>
      <w:r>
        <w:rPr>
          <w:rFonts w:ascii="宋体" w:hAnsi="宋体"/>
          <w:sz w:val="24"/>
        </w:rPr>
        <w:t>方法，</w:t>
      </w:r>
      <w:r>
        <w:rPr>
          <w:rFonts w:hint="eastAsia" w:ascii="宋体" w:hAnsi="宋体"/>
          <w:sz w:val="24"/>
        </w:rPr>
        <w:t>见</w:t>
      </w:r>
      <w:r>
        <w:rPr>
          <w:rFonts w:ascii="宋体" w:hAnsi="宋体"/>
          <w:sz w:val="24"/>
        </w:rPr>
        <w:t>《评</w:t>
      </w:r>
      <w:r>
        <w:rPr>
          <w:rFonts w:hint="eastAsia" w:ascii="宋体" w:hAnsi="宋体"/>
          <w:sz w:val="24"/>
        </w:rPr>
        <w:t>审</w:t>
      </w:r>
      <w:r>
        <w:rPr>
          <w:rFonts w:ascii="宋体" w:hAnsi="宋体"/>
          <w:sz w:val="24"/>
        </w:rPr>
        <w:t>标准》，</w:t>
      </w:r>
      <w:r>
        <w:rPr>
          <w:rFonts w:hint="eastAsia" w:ascii="宋体" w:hAnsi="宋体"/>
          <w:sz w:val="24"/>
        </w:rPr>
        <w:t>竞争性磋商文件</w:t>
      </w:r>
      <w:r>
        <w:rPr>
          <w:rFonts w:ascii="宋体" w:hAnsi="宋体"/>
          <w:sz w:val="24"/>
        </w:rPr>
        <w:t>中没有规定的</w:t>
      </w:r>
      <w:r>
        <w:rPr>
          <w:rFonts w:hint="eastAsia" w:ascii="宋体" w:hAnsi="宋体"/>
          <w:sz w:val="24"/>
        </w:rPr>
        <w:t>评审</w:t>
      </w:r>
      <w:r>
        <w:rPr>
          <w:rFonts w:ascii="宋体" w:hAnsi="宋体"/>
          <w:sz w:val="24"/>
        </w:rPr>
        <w:t>标准不得作为评审的依据。</w:t>
      </w:r>
    </w:p>
    <w:p w14:paraId="34155D87">
      <w:pPr>
        <w:pStyle w:val="42"/>
        <w:shd w:val="clear" w:color="auto" w:fill="FFFFFF"/>
        <w:wordWrap w:val="0"/>
        <w:adjustRightInd w:val="0"/>
        <w:snapToGrid w:val="0"/>
        <w:spacing w:before="0" w:beforeAutospacing="0" w:after="0" w:afterAutospacing="0" w:line="360" w:lineRule="auto"/>
        <w:ind w:firstLine="480" w:firstLineChars="200"/>
        <w:rPr>
          <w:rFonts w:hint="eastAsia"/>
          <w:kern w:val="2"/>
          <w:szCs w:val="24"/>
        </w:rPr>
      </w:pPr>
      <w:r>
        <w:rPr>
          <w:rFonts w:hint="eastAsia" w:ascii="黑体" w:hAnsi="黑体" w:eastAsia="黑体"/>
        </w:rPr>
        <w:sym w:font="Wingdings 2" w:char="00A3"/>
      </w:r>
      <w:r>
        <w:rPr>
          <w:rFonts w:hint="eastAsia" w:ascii="黑体" w:hAnsi="黑体" w:eastAsia="黑体"/>
          <w:kern w:val="2"/>
          <w:szCs w:val="24"/>
        </w:rPr>
        <w:t>最低评审价法，</w:t>
      </w:r>
      <w:r>
        <w:rPr>
          <w:rFonts w:hint="eastAsia"/>
          <w:kern w:val="2"/>
          <w:szCs w:val="24"/>
        </w:rPr>
        <w:t>是指响应文件满足竞争性磋商文件全部实质性要求，且评审报价最低的供应商为成交候选人的评审方法。</w:t>
      </w:r>
      <w:bookmarkEnd w:id="559"/>
    </w:p>
    <w:p w14:paraId="32B1E3F4">
      <w:pPr>
        <w:pStyle w:val="42"/>
        <w:shd w:val="clear" w:color="auto" w:fill="FFFFFF"/>
        <w:wordWrap w:val="0"/>
        <w:adjustRightInd w:val="0"/>
        <w:snapToGrid w:val="0"/>
        <w:spacing w:before="0" w:beforeAutospacing="0" w:after="0" w:afterAutospacing="0" w:line="360" w:lineRule="auto"/>
        <w:ind w:firstLine="480" w:firstLineChars="200"/>
        <w:rPr>
          <w:rFonts w:hint="eastAsia"/>
          <w:kern w:val="2"/>
          <w:szCs w:val="24"/>
        </w:rPr>
      </w:pPr>
      <w:bookmarkStart w:id="560" w:name="OLE_LINK64"/>
      <w:bookmarkStart w:id="561" w:name="OLE_LINK62"/>
      <w:bookmarkStart w:id="562" w:name="OLE_LINK65"/>
      <w:r>
        <w:rPr>
          <w:kern w:val="2"/>
          <w:szCs w:val="24"/>
        </w:rPr>
        <w:t>3.</w:t>
      </w:r>
      <w:r>
        <w:rPr>
          <w:rFonts w:hint="eastAsia"/>
          <w:kern w:val="2"/>
          <w:szCs w:val="24"/>
        </w:rPr>
        <w:t>评审价是指供应商的提交响应文件最终报价在按照本章规定的算术修正和落实政府采购政策需进行价格扣除后的价格。</w:t>
      </w:r>
      <w:bookmarkEnd w:id="560"/>
      <w:bookmarkEnd w:id="561"/>
      <w:bookmarkEnd w:id="562"/>
    </w:p>
    <w:p w14:paraId="6D82CE4C">
      <w:pPr>
        <w:pStyle w:val="42"/>
        <w:shd w:val="clear" w:color="auto" w:fill="FFFFFF"/>
        <w:wordWrap w:val="0"/>
        <w:adjustRightInd w:val="0"/>
        <w:snapToGrid w:val="0"/>
        <w:spacing w:before="0" w:beforeAutospacing="0" w:after="0" w:afterAutospacing="0" w:line="360" w:lineRule="auto"/>
        <w:ind w:firstLine="480" w:firstLineChars="200"/>
        <w:rPr>
          <w:rFonts w:hint="eastAsia"/>
        </w:rPr>
      </w:pPr>
      <w:r>
        <w:rPr>
          <w:kern w:val="2"/>
          <w:szCs w:val="24"/>
        </w:rPr>
        <w:t>4.</w:t>
      </w:r>
      <w:r>
        <w:rPr>
          <w:rFonts w:hint="eastAsia"/>
          <w:kern w:val="2"/>
          <w:szCs w:val="24"/>
        </w:rPr>
        <w:t>除了算术修正和</w:t>
      </w:r>
      <w:bookmarkStart w:id="563" w:name="OLE_LINK61"/>
      <w:bookmarkStart w:id="564" w:name="OLE_LINK59"/>
      <w:r>
        <w:rPr>
          <w:rFonts w:hint="eastAsia"/>
          <w:kern w:val="2"/>
          <w:szCs w:val="24"/>
        </w:rPr>
        <w:t>落实政府采购政策需进行的价格扣除</w:t>
      </w:r>
      <w:bookmarkEnd w:id="563"/>
      <w:bookmarkEnd w:id="564"/>
      <w:r>
        <w:rPr>
          <w:rFonts w:hint="eastAsia"/>
          <w:kern w:val="2"/>
          <w:szCs w:val="24"/>
        </w:rPr>
        <w:t>外，不能对供应商的提交响应文件最终价格进行任何调整。</w:t>
      </w:r>
      <w:bookmarkStart w:id="565" w:name="_Hlk165879863"/>
    </w:p>
    <w:bookmarkEnd w:id="565"/>
    <w:p w14:paraId="4E311E76">
      <w:pPr>
        <w:wordWrap w:val="0"/>
        <w:adjustRightInd w:val="0"/>
        <w:snapToGrid w:val="0"/>
        <w:spacing w:line="360" w:lineRule="auto"/>
        <w:ind w:firstLine="480" w:firstLineChars="200"/>
        <w:rPr>
          <w:rFonts w:hint="eastAsia" w:ascii="宋体" w:hAnsi="宋体"/>
          <w:sz w:val="24"/>
        </w:rPr>
      </w:pPr>
      <w:r>
        <w:rPr>
          <w:rFonts w:hint="eastAsia"/>
          <w:sz w:val="24"/>
        </w:rPr>
        <w:t>5.磋商小组将根据评分标准，对通过资格审查、符合性审查的</w:t>
      </w:r>
      <w:r>
        <w:rPr>
          <w:rFonts w:hint="eastAsia" w:ascii="宋体" w:hAnsi="宋体"/>
          <w:sz w:val="24"/>
        </w:rPr>
        <w:t>响应文件</w:t>
      </w:r>
      <w:r>
        <w:rPr>
          <w:rFonts w:hint="eastAsia"/>
          <w:sz w:val="24"/>
        </w:rPr>
        <w:t>，进行综合评分。</w:t>
      </w:r>
      <w:bookmarkStart w:id="566" w:name="_Hlk178080959"/>
      <w:r>
        <w:rPr>
          <w:rFonts w:hint="eastAsia"/>
          <w:sz w:val="24"/>
        </w:rPr>
        <w:t>所有评委打分的算术平均值作为供应商的最终得分，</w:t>
      </w:r>
      <w:r>
        <w:rPr>
          <w:rFonts w:ascii="宋体" w:hAnsi="宋体"/>
          <w:sz w:val="24"/>
        </w:rPr>
        <w:t>评分分值计算保留小数点后两位，第三位四舍五入。</w:t>
      </w:r>
      <w:bookmarkEnd w:id="566"/>
    </w:p>
    <w:p w14:paraId="4D6A8196">
      <w:pPr>
        <w:wordWrap w:val="0"/>
        <w:adjustRightInd w:val="0"/>
        <w:snapToGrid w:val="0"/>
        <w:spacing w:line="360" w:lineRule="auto"/>
        <w:ind w:firstLine="480" w:firstLineChars="200"/>
      </w:pPr>
      <w:r>
        <w:rPr>
          <w:rFonts w:hint="eastAsia"/>
          <w:bCs/>
          <w:sz w:val="24"/>
        </w:rPr>
        <w:t>6.具体评审标准详见本章《评审标准表》</w:t>
      </w:r>
    </w:p>
    <w:p w14:paraId="09FA46D7">
      <w:pPr>
        <w:pStyle w:val="7"/>
        <w:wordWrap w:val="0"/>
        <w:spacing w:before="0" w:after="0" w:line="360" w:lineRule="auto"/>
        <w:rPr>
          <w:rFonts w:hint="eastAsia" w:ascii="黑体" w:hAnsi="黑体"/>
          <w:b w:val="0"/>
          <w:bCs w:val="0"/>
          <w:sz w:val="24"/>
        </w:rPr>
      </w:pPr>
      <w:bookmarkStart w:id="567" w:name="_Toc1202"/>
      <w:bookmarkStart w:id="568" w:name="_Toc178172054"/>
      <w:bookmarkStart w:id="569" w:name="_Toc16787"/>
      <w:bookmarkStart w:id="570" w:name="_Hlk218439974"/>
      <w:bookmarkStart w:id="571" w:name="_Toc2631"/>
      <w:bookmarkStart w:id="572" w:name="_Toc23437"/>
      <w:bookmarkStart w:id="573" w:name="_Hlk177199858"/>
      <w:r>
        <w:rPr>
          <w:rFonts w:hint="eastAsia" w:ascii="黑体" w:hAnsi="黑体"/>
          <w:b w:val="0"/>
          <w:bCs w:val="0"/>
          <w:sz w:val="24"/>
        </w:rPr>
        <w:t>（十一）出具评审报告</w:t>
      </w:r>
      <w:bookmarkEnd w:id="567"/>
      <w:bookmarkEnd w:id="568"/>
      <w:bookmarkEnd w:id="569"/>
      <w:bookmarkEnd w:id="570"/>
      <w:bookmarkEnd w:id="571"/>
      <w:bookmarkEnd w:id="572"/>
    </w:p>
    <w:p w14:paraId="617C566F">
      <w:pPr>
        <w:keepNext/>
        <w:keepLines/>
        <w:wordWrap w:val="0"/>
        <w:spacing w:line="360" w:lineRule="auto"/>
        <w:ind w:firstLine="480" w:firstLineChars="200"/>
        <w:outlineLvl w:val="2"/>
        <w:rPr>
          <w:rFonts w:hint="eastAsia" w:ascii="黑体" w:hAnsi="黑体" w:eastAsia="黑体" w:cs="宋体"/>
          <w:sz w:val="24"/>
        </w:rPr>
      </w:pPr>
      <w:bookmarkStart w:id="574" w:name="_Toc18520"/>
      <w:bookmarkStart w:id="575" w:name="_Toc178172055"/>
      <w:r>
        <w:rPr>
          <w:rFonts w:hint="eastAsia" w:ascii="黑体" w:hAnsi="黑体" w:eastAsia="黑体" w:cs="宋体"/>
          <w:sz w:val="24"/>
        </w:rPr>
        <w:t>1</w:t>
      </w:r>
      <w:r>
        <w:rPr>
          <w:rFonts w:ascii="黑体" w:hAnsi="黑体" w:eastAsia="黑体" w:cs="宋体"/>
          <w:sz w:val="24"/>
        </w:rPr>
        <w:t>.</w:t>
      </w:r>
      <w:r>
        <w:rPr>
          <w:rFonts w:hint="eastAsia" w:ascii="黑体" w:hAnsi="黑体" w:eastAsia="黑体" w:cs="宋体"/>
          <w:sz w:val="24"/>
        </w:rPr>
        <w:t>采用综合评分法时，确定成交候选人名单的方式：</w:t>
      </w:r>
      <w:bookmarkEnd w:id="574"/>
      <w:bookmarkEnd w:id="575"/>
    </w:p>
    <w:p w14:paraId="7A0CC03B">
      <w:pPr>
        <w:wordWrap w:val="0"/>
        <w:adjustRightInd w:val="0"/>
        <w:snapToGrid w:val="0"/>
        <w:spacing w:line="360" w:lineRule="auto"/>
        <w:ind w:firstLine="480" w:firstLineChars="200"/>
        <w:rPr>
          <w:rFonts w:hint="eastAsia" w:ascii="宋体" w:hAnsi="宋体"/>
          <w:sz w:val="24"/>
        </w:rPr>
      </w:pPr>
      <w:r>
        <w:rPr>
          <w:rFonts w:hint="eastAsia" w:ascii="宋体" w:hAnsi="宋体"/>
          <w:sz w:val="24"/>
        </w:rPr>
        <w:t>1</w:t>
      </w:r>
      <w:r>
        <w:rPr>
          <w:rFonts w:ascii="宋体" w:hAnsi="宋体"/>
          <w:sz w:val="24"/>
        </w:rPr>
        <w:t>.1 采用综合评分法时，</w:t>
      </w:r>
      <w:r>
        <w:rPr>
          <w:rFonts w:hint="eastAsia" w:ascii="宋体" w:hAnsi="宋体"/>
          <w:sz w:val="24"/>
        </w:rPr>
        <w:t>评审结果按评审后供应商最终得分由高到低的顺序排列。评审得分相同的，按照最后报价由低到高的顺序推荐。评审得分且最后报价相同的，按照技术指标优劣顺序推荐</w:t>
      </w:r>
      <w:r>
        <w:rPr>
          <w:rFonts w:ascii="宋体" w:hAnsi="宋体"/>
          <w:sz w:val="24"/>
        </w:rPr>
        <w:t>。</w:t>
      </w:r>
      <w:r>
        <w:rPr>
          <w:rFonts w:hint="eastAsia" w:ascii="宋体" w:hAnsi="宋体"/>
          <w:sz w:val="24"/>
        </w:rPr>
        <w:t>响应文件</w:t>
      </w:r>
      <w:r>
        <w:rPr>
          <w:rFonts w:ascii="宋体" w:hAnsi="宋体"/>
          <w:sz w:val="24"/>
        </w:rPr>
        <w:t>满足</w:t>
      </w:r>
      <w:r>
        <w:rPr>
          <w:rFonts w:hint="eastAsia" w:ascii="宋体" w:hAnsi="宋体"/>
          <w:sz w:val="24"/>
        </w:rPr>
        <w:t>竞争性磋商文件</w:t>
      </w:r>
      <w:r>
        <w:rPr>
          <w:rFonts w:ascii="宋体" w:hAnsi="宋体"/>
          <w:sz w:val="24"/>
        </w:rPr>
        <w:t>全部实质性要求，且按照评审因素的量化指标评审</w:t>
      </w:r>
      <w:r>
        <w:rPr>
          <w:rFonts w:hint="eastAsia" w:ascii="宋体" w:hAnsi="宋体"/>
          <w:sz w:val="24"/>
        </w:rPr>
        <w:t>最终</w:t>
      </w:r>
      <w:r>
        <w:rPr>
          <w:rFonts w:ascii="宋体" w:hAnsi="宋体"/>
          <w:sz w:val="24"/>
        </w:rPr>
        <w:t>得分最高的</w:t>
      </w:r>
      <w:r>
        <w:rPr>
          <w:rFonts w:hint="eastAsia" w:ascii="宋体" w:hAnsi="宋体"/>
          <w:sz w:val="24"/>
        </w:rPr>
        <w:t>供应商</w:t>
      </w:r>
      <w:r>
        <w:rPr>
          <w:rFonts w:ascii="宋体" w:hAnsi="宋体"/>
          <w:sz w:val="24"/>
        </w:rPr>
        <w:t>为排名第一的</w:t>
      </w:r>
      <w:r>
        <w:rPr>
          <w:rFonts w:hint="eastAsia" w:ascii="宋体" w:hAnsi="宋体"/>
          <w:sz w:val="24"/>
        </w:rPr>
        <w:t>成交</w:t>
      </w:r>
      <w:r>
        <w:rPr>
          <w:rFonts w:ascii="宋体" w:hAnsi="宋体"/>
          <w:sz w:val="24"/>
        </w:rPr>
        <w:t>候选人。</w:t>
      </w:r>
      <w:r>
        <w:rPr>
          <w:rFonts w:hint="eastAsia" w:ascii="宋体" w:hAnsi="宋体"/>
          <w:sz w:val="24"/>
        </w:rPr>
        <w:t>磋商小组</w:t>
      </w:r>
      <w:r>
        <w:rPr>
          <w:rFonts w:ascii="宋体" w:hAnsi="宋体"/>
          <w:sz w:val="24"/>
        </w:rPr>
        <w:t>将根据各</w:t>
      </w:r>
      <w:r>
        <w:rPr>
          <w:rFonts w:hint="eastAsia" w:ascii="宋体" w:hAnsi="宋体"/>
          <w:sz w:val="24"/>
        </w:rPr>
        <w:t>供应商</w:t>
      </w:r>
      <w:r>
        <w:rPr>
          <w:rFonts w:ascii="宋体" w:hAnsi="宋体"/>
          <w:sz w:val="24"/>
        </w:rPr>
        <w:t>的</w:t>
      </w:r>
      <w:r>
        <w:rPr>
          <w:rFonts w:hint="eastAsia" w:ascii="宋体" w:hAnsi="宋体"/>
          <w:sz w:val="24"/>
        </w:rPr>
        <w:t>评审</w:t>
      </w:r>
      <w:r>
        <w:rPr>
          <w:rFonts w:ascii="宋体" w:hAnsi="宋体"/>
          <w:sz w:val="24"/>
        </w:rPr>
        <w:t>排序，</w:t>
      </w:r>
      <w:r>
        <w:rPr>
          <w:rFonts w:hint="eastAsia" w:ascii="宋体" w:hAnsi="宋体"/>
          <w:sz w:val="24"/>
        </w:rPr>
        <w:t>向采购人</w:t>
      </w:r>
      <w:r>
        <w:rPr>
          <w:rFonts w:ascii="宋体" w:hAnsi="宋体"/>
          <w:sz w:val="24"/>
        </w:rPr>
        <w:t>推荐本项目（各采购包</w:t>
      </w:r>
      <w:r>
        <w:rPr>
          <w:rFonts w:hint="eastAsia" w:ascii="宋体" w:hAnsi="宋体"/>
          <w:sz w:val="24"/>
        </w:rPr>
        <w:t>或标段</w:t>
      </w:r>
      <w:r>
        <w:rPr>
          <w:rFonts w:ascii="宋体" w:hAnsi="宋体"/>
          <w:sz w:val="24"/>
        </w:rPr>
        <w:t>）</w:t>
      </w:r>
      <w:r>
        <w:rPr>
          <w:rFonts w:hint="eastAsia" w:ascii="宋体" w:hAnsi="宋体"/>
          <w:sz w:val="24"/>
        </w:rPr>
        <w:t>三名成交</w:t>
      </w:r>
      <w:r>
        <w:rPr>
          <w:rFonts w:ascii="宋体" w:hAnsi="宋体"/>
          <w:sz w:val="24"/>
        </w:rPr>
        <w:t>候选人</w:t>
      </w:r>
      <w:r>
        <w:rPr>
          <w:rFonts w:hint="eastAsia" w:ascii="宋体" w:hAnsi="宋体"/>
          <w:sz w:val="24"/>
        </w:rPr>
        <w:t>名单，或者</w:t>
      </w:r>
      <w:r>
        <w:rPr>
          <w:rFonts w:ascii="宋体" w:hAnsi="宋体"/>
          <w:sz w:val="24"/>
        </w:rPr>
        <w:t>根据采购人委托直接确定</w:t>
      </w:r>
      <w:r>
        <w:rPr>
          <w:rFonts w:hint="eastAsia" w:ascii="宋体" w:hAnsi="宋体"/>
          <w:sz w:val="24"/>
        </w:rPr>
        <w:t>成交人。</w:t>
      </w:r>
    </w:p>
    <w:p w14:paraId="56378474">
      <w:pPr>
        <w:wordWrap w:val="0"/>
        <w:adjustRightInd w:val="0"/>
        <w:snapToGrid w:val="0"/>
        <w:spacing w:line="360" w:lineRule="auto"/>
        <w:ind w:firstLine="480" w:firstLineChars="200"/>
        <w:rPr>
          <w:sz w:val="24"/>
        </w:rPr>
      </w:pPr>
      <w:r>
        <w:rPr>
          <w:rFonts w:hint="eastAsia"/>
          <w:sz w:val="24"/>
        </w:rPr>
        <w:t>评审价是指供应商的提交响应文件总报价在按照本章规定落实政府采购政策需要进行价格扣除后的价格。</w:t>
      </w:r>
    </w:p>
    <w:p w14:paraId="2AE13B12">
      <w:pPr>
        <w:wordWrap w:val="0"/>
        <w:adjustRightInd w:val="0"/>
        <w:snapToGrid w:val="0"/>
        <w:spacing w:line="360" w:lineRule="auto"/>
        <w:ind w:firstLine="480" w:firstLineChars="200"/>
        <w:rPr>
          <w:sz w:val="24"/>
        </w:rPr>
      </w:pPr>
      <w:r>
        <w:rPr>
          <w:rFonts w:hint="eastAsia"/>
          <w:sz w:val="24"/>
        </w:rPr>
        <w:t>如果供应商（或提供的产品）不符合本章落实政府采购政策需要进行价格扣除的条件则评审价是指供应商的提交响应文件总报价。</w:t>
      </w:r>
    </w:p>
    <w:bookmarkEnd w:id="573"/>
    <w:p w14:paraId="1DA3EEB8">
      <w:pPr>
        <w:wordWrap w:val="0"/>
        <w:adjustRightInd w:val="0"/>
        <w:snapToGrid w:val="0"/>
        <w:spacing w:line="360" w:lineRule="auto"/>
        <w:ind w:firstLine="480" w:firstLineChars="200"/>
        <w:rPr>
          <w:rFonts w:hint="eastAsia" w:ascii="黑体" w:hAnsi="黑体" w:eastAsia="黑体"/>
          <w:sz w:val="24"/>
        </w:rPr>
      </w:pPr>
      <w:bookmarkStart w:id="576" w:name="OLE_LINK110"/>
      <w:bookmarkStart w:id="577" w:name="_Hlk218440250"/>
      <w:r>
        <w:rPr>
          <w:rFonts w:hint="eastAsia" w:ascii="黑体" w:hAnsi="黑体" w:eastAsia="黑体"/>
          <w:sz w:val="24"/>
        </w:rPr>
        <w:t>1</w:t>
      </w:r>
      <w:r>
        <w:rPr>
          <w:rFonts w:ascii="黑体" w:hAnsi="黑体" w:eastAsia="黑体"/>
          <w:sz w:val="24"/>
        </w:rPr>
        <w:t>.</w:t>
      </w:r>
      <w:r>
        <w:rPr>
          <w:rFonts w:hint="eastAsia" w:ascii="黑体" w:hAnsi="黑体" w:eastAsia="黑体"/>
          <w:sz w:val="24"/>
        </w:rPr>
        <w:t>2</w:t>
      </w:r>
      <w:r>
        <w:rPr>
          <w:rFonts w:ascii="黑体" w:hAnsi="黑体" w:eastAsia="黑体"/>
          <w:sz w:val="24"/>
        </w:rPr>
        <w:t xml:space="preserve"> </w:t>
      </w:r>
      <w:r>
        <w:rPr>
          <w:rFonts w:hint="eastAsia" w:ascii="黑体" w:hAnsi="黑体" w:eastAsia="黑体"/>
          <w:sz w:val="24"/>
        </w:rPr>
        <w:t>成交候选人并列时的处理方式</w:t>
      </w:r>
    </w:p>
    <w:bookmarkEnd w:id="576"/>
    <w:bookmarkEnd w:id="577"/>
    <w:p w14:paraId="3509BFC4">
      <w:pPr>
        <w:wordWrap w:val="0"/>
        <w:adjustRightInd w:val="0"/>
        <w:snapToGrid w:val="0"/>
        <w:spacing w:line="360" w:lineRule="auto"/>
        <w:ind w:firstLine="480" w:firstLineChars="200"/>
        <w:rPr>
          <w:rFonts w:hint="eastAsia" w:ascii="宋体" w:hAnsi="宋体"/>
          <w:sz w:val="24"/>
        </w:rPr>
      </w:pPr>
      <w:r>
        <w:rPr>
          <w:rFonts w:hint="eastAsia" w:ascii="宋体" w:hAnsi="宋体"/>
          <w:sz w:val="24"/>
        </w:rPr>
        <w:t>采用综合评分法的，评审结果按评审后得分由高到低顺序排列。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w:t>
      </w:r>
    </w:p>
    <w:p w14:paraId="520EA183">
      <w:pPr>
        <w:keepNext/>
        <w:keepLines/>
        <w:wordWrap w:val="0"/>
        <w:spacing w:line="360" w:lineRule="auto"/>
        <w:ind w:firstLine="480" w:firstLineChars="200"/>
        <w:outlineLvl w:val="2"/>
        <w:rPr>
          <w:rFonts w:hint="eastAsia" w:ascii="黑体" w:hAnsi="黑体" w:eastAsia="黑体" w:cs="宋体"/>
          <w:bCs/>
          <w:sz w:val="24"/>
        </w:rPr>
      </w:pPr>
      <w:bookmarkStart w:id="578" w:name="_Toc19649"/>
      <w:bookmarkStart w:id="579" w:name="_Toc178172057"/>
      <w:r>
        <w:rPr>
          <w:rFonts w:hint="eastAsia" w:ascii="黑体" w:hAnsi="黑体" w:eastAsia="黑体" w:cs="宋体"/>
          <w:bCs/>
          <w:sz w:val="24"/>
        </w:rPr>
        <w:t>2</w:t>
      </w:r>
      <w:r>
        <w:rPr>
          <w:rFonts w:ascii="黑体" w:hAnsi="黑体" w:eastAsia="黑体" w:cs="宋体"/>
          <w:bCs/>
          <w:sz w:val="24"/>
        </w:rPr>
        <w:t>.核对</w:t>
      </w:r>
      <w:r>
        <w:rPr>
          <w:rFonts w:hint="eastAsia" w:ascii="黑体" w:hAnsi="黑体" w:eastAsia="黑体" w:cs="宋体"/>
          <w:bCs/>
          <w:sz w:val="24"/>
        </w:rPr>
        <w:t>评审结果</w:t>
      </w:r>
      <w:bookmarkEnd w:id="578"/>
      <w:bookmarkEnd w:id="579"/>
    </w:p>
    <w:p w14:paraId="1656FA3B">
      <w:pPr>
        <w:wordWrap w:val="0"/>
        <w:adjustRightInd w:val="0"/>
        <w:snapToGrid w:val="0"/>
        <w:spacing w:line="360" w:lineRule="auto"/>
        <w:ind w:firstLine="480" w:firstLineChars="200"/>
        <w:rPr>
          <w:rFonts w:hint="eastAsia" w:ascii="宋体" w:hAnsi="宋体"/>
          <w:sz w:val="24"/>
        </w:rPr>
      </w:pPr>
      <w:r>
        <w:rPr>
          <w:rFonts w:hint="eastAsia" w:ascii="宋体" w:hAnsi="宋体"/>
          <w:sz w:val="24"/>
        </w:rPr>
        <w:t>2</w:t>
      </w:r>
      <w:r>
        <w:rPr>
          <w:rFonts w:ascii="宋体" w:hAnsi="宋体"/>
          <w:sz w:val="24"/>
        </w:rPr>
        <w:t>.</w:t>
      </w:r>
      <w:r>
        <w:rPr>
          <w:rFonts w:hint="eastAsia" w:ascii="宋体" w:hAnsi="宋体"/>
          <w:sz w:val="24"/>
        </w:rPr>
        <w:t>1</w:t>
      </w:r>
      <w:r>
        <w:rPr>
          <w:rFonts w:ascii="宋体" w:hAnsi="宋体"/>
          <w:sz w:val="24"/>
        </w:rPr>
        <w:t xml:space="preserve"> </w:t>
      </w:r>
      <w:r>
        <w:rPr>
          <w:rFonts w:hint="eastAsia" w:ascii="宋体" w:hAnsi="宋体"/>
          <w:sz w:val="24"/>
        </w:rPr>
        <w:t>磋商小组</w:t>
      </w:r>
      <w:r>
        <w:rPr>
          <w:rFonts w:ascii="宋体" w:hAnsi="宋体"/>
          <w:sz w:val="24"/>
        </w:rPr>
        <w:t>对</w:t>
      </w:r>
      <w:r>
        <w:rPr>
          <w:rFonts w:hint="eastAsia" w:ascii="宋体" w:hAnsi="宋体"/>
          <w:sz w:val="24"/>
        </w:rPr>
        <w:t>评审、</w:t>
      </w:r>
      <w:r>
        <w:rPr>
          <w:rFonts w:ascii="宋体" w:hAnsi="宋体"/>
          <w:sz w:val="24"/>
        </w:rPr>
        <w:t>汇总情况进行复核，特别是对排名第一的、</w:t>
      </w:r>
      <w:r>
        <w:rPr>
          <w:rFonts w:hint="eastAsia" w:ascii="宋体" w:hAnsi="宋体"/>
          <w:sz w:val="24"/>
        </w:rPr>
        <w:t>评审价</w:t>
      </w:r>
      <w:r>
        <w:rPr>
          <w:rFonts w:ascii="宋体" w:hAnsi="宋体"/>
          <w:sz w:val="24"/>
        </w:rPr>
        <w:t>最低的、</w:t>
      </w:r>
      <w:r>
        <w:rPr>
          <w:rFonts w:hint="eastAsia" w:ascii="宋体" w:hAnsi="宋体"/>
          <w:sz w:val="24"/>
        </w:rPr>
        <w:t>响应文件</w:t>
      </w:r>
      <w:r>
        <w:rPr>
          <w:rFonts w:ascii="宋体" w:hAnsi="宋体"/>
          <w:sz w:val="24"/>
        </w:rPr>
        <w:t>被认定为无效的情形进行重点复核</w:t>
      </w:r>
      <w:r>
        <w:rPr>
          <w:rFonts w:hint="eastAsia" w:ascii="宋体" w:hAnsi="宋体"/>
          <w:sz w:val="24"/>
        </w:rPr>
        <w:t>，发现问题的及时进行修正。</w:t>
      </w:r>
    </w:p>
    <w:p w14:paraId="21CA6288">
      <w:pPr>
        <w:keepNext/>
        <w:keepLines/>
        <w:wordWrap w:val="0"/>
        <w:spacing w:line="360" w:lineRule="auto"/>
        <w:ind w:firstLine="480" w:firstLineChars="200"/>
        <w:outlineLvl w:val="2"/>
        <w:rPr>
          <w:rFonts w:hint="eastAsia" w:ascii="黑体" w:hAnsi="黑体" w:eastAsia="黑体" w:cs="宋体"/>
          <w:bCs/>
          <w:sz w:val="24"/>
        </w:rPr>
      </w:pPr>
      <w:bookmarkStart w:id="580" w:name="_Toc178172058"/>
      <w:bookmarkStart w:id="581" w:name="_Toc10454"/>
      <w:bookmarkStart w:id="582" w:name="_Hlk218440437"/>
      <w:r>
        <w:rPr>
          <w:rFonts w:hint="eastAsia" w:ascii="黑体" w:hAnsi="黑体" w:eastAsia="黑体" w:cs="宋体"/>
          <w:bCs/>
          <w:sz w:val="24"/>
        </w:rPr>
        <w:t>3</w:t>
      </w:r>
      <w:r>
        <w:rPr>
          <w:rFonts w:ascii="黑体" w:hAnsi="黑体" w:eastAsia="黑体" w:cs="宋体"/>
          <w:bCs/>
          <w:sz w:val="24"/>
        </w:rPr>
        <w:t>.</w:t>
      </w:r>
      <w:r>
        <w:rPr>
          <w:rFonts w:hint="eastAsia" w:ascii="黑体" w:hAnsi="黑体" w:eastAsia="黑体" w:cs="宋体"/>
          <w:bCs/>
          <w:sz w:val="24"/>
        </w:rPr>
        <w:t>磋商小组编制评审报告</w:t>
      </w:r>
      <w:bookmarkEnd w:id="580"/>
      <w:bookmarkEnd w:id="581"/>
    </w:p>
    <w:p w14:paraId="6C32BE9D">
      <w:pPr>
        <w:wordWrap w:val="0"/>
        <w:adjustRightInd w:val="0"/>
        <w:snapToGrid w:val="0"/>
        <w:spacing w:line="360" w:lineRule="auto"/>
        <w:ind w:firstLine="480" w:firstLineChars="200"/>
        <w:rPr>
          <w:rFonts w:hint="eastAsia" w:ascii="宋体" w:hAnsi="宋体"/>
          <w:sz w:val="24"/>
        </w:rPr>
      </w:pPr>
      <w:r>
        <w:rPr>
          <w:rFonts w:hint="eastAsia" w:ascii="宋体" w:hAnsi="宋体"/>
          <w:sz w:val="24"/>
        </w:rPr>
        <w:t>3</w:t>
      </w:r>
      <w:r>
        <w:rPr>
          <w:rFonts w:ascii="宋体" w:hAnsi="宋体"/>
          <w:sz w:val="24"/>
        </w:rPr>
        <w:t xml:space="preserve">.1 </w:t>
      </w:r>
      <w:r>
        <w:rPr>
          <w:rFonts w:hint="eastAsia" w:ascii="宋体" w:hAnsi="宋体"/>
          <w:sz w:val="24"/>
        </w:rPr>
        <w:t>磋商小组根据全体评审成员签字的原始评审记录和评审结果编写评审报告。</w:t>
      </w:r>
    </w:p>
    <w:p w14:paraId="71C78A9D">
      <w:pPr>
        <w:wordWrap w:val="0"/>
        <w:adjustRightInd w:val="0"/>
        <w:snapToGrid w:val="0"/>
        <w:spacing w:line="360" w:lineRule="auto"/>
        <w:ind w:firstLine="480" w:firstLineChars="200"/>
        <w:rPr>
          <w:rFonts w:hint="eastAsia" w:ascii="宋体" w:hAnsi="宋体"/>
          <w:sz w:val="24"/>
        </w:rPr>
      </w:pPr>
      <w:r>
        <w:rPr>
          <w:rFonts w:hint="eastAsia" w:ascii="宋体" w:hAnsi="宋体"/>
          <w:sz w:val="24"/>
        </w:rPr>
        <w:t>3</w:t>
      </w:r>
      <w:r>
        <w:rPr>
          <w:rFonts w:ascii="宋体" w:hAnsi="宋体"/>
          <w:sz w:val="24"/>
        </w:rPr>
        <w:t xml:space="preserve">.2 </w:t>
      </w:r>
      <w:r>
        <w:rPr>
          <w:rFonts w:hint="eastAsia" w:ascii="宋体" w:hAnsi="宋体"/>
          <w:sz w:val="24"/>
        </w:rPr>
        <w:t>磋商小组成员对需要共同认定的事项存在争议的，应当按照少数服从多数的原则作出结论。持不同意见的磋商小组成员应当在评审报告上签署不同意见及理由，否则视为同意评审报告。</w:t>
      </w:r>
    </w:p>
    <w:p w14:paraId="0F1D935D">
      <w:pPr>
        <w:wordWrap w:val="0"/>
        <w:adjustRightInd w:val="0"/>
        <w:snapToGrid w:val="0"/>
        <w:spacing w:line="360" w:lineRule="auto"/>
        <w:ind w:firstLine="480" w:firstLineChars="200"/>
        <w:rPr>
          <w:rFonts w:hint="eastAsia" w:ascii="宋体" w:hAnsi="宋体"/>
          <w:b/>
          <w:sz w:val="24"/>
        </w:rPr>
      </w:pPr>
      <w:r>
        <w:rPr>
          <w:rFonts w:hint="eastAsia" w:ascii="宋体" w:hAnsi="宋体"/>
          <w:sz w:val="24"/>
        </w:rPr>
        <w:t>3</w:t>
      </w:r>
      <w:r>
        <w:rPr>
          <w:rFonts w:ascii="宋体" w:hAnsi="宋体"/>
          <w:sz w:val="24"/>
        </w:rPr>
        <w:t>.3</w:t>
      </w:r>
      <w:r>
        <w:rPr>
          <w:rFonts w:hint="eastAsia" w:ascii="宋体" w:hAnsi="宋体"/>
          <w:sz w:val="24"/>
        </w:rPr>
        <w:t>评审报告应当由磋商小组全体人员签字认可。磋商小组成员对评审报告有异议的，磋商小组按照少数服从多数的原则推荐成交候选人，采购程序继续进行。对评审报告有异议的磋商小组成员，应当在评审报告上签署不同意见并说明理由，由磋商小组书面记录相关情况。磋商小组成员拒绝在评审报告上签字又不书面说明其不同意见和理由的，视为同意评审报告。</w:t>
      </w:r>
      <w:bookmarkEnd w:id="582"/>
      <w:bookmarkStart w:id="583" w:name="_Hlk166473725"/>
    </w:p>
    <w:p w14:paraId="7CAB00AB">
      <w:pPr>
        <w:pStyle w:val="7"/>
        <w:wordWrap w:val="0"/>
        <w:spacing w:before="0" w:after="0" w:line="360" w:lineRule="auto"/>
        <w:rPr>
          <w:rFonts w:hint="eastAsia" w:ascii="黑体" w:hAnsi="黑体"/>
          <w:b w:val="0"/>
          <w:bCs w:val="0"/>
          <w:sz w:val="24"/>
        </w:rPr>
      </w:pPr>
      <w:bookmarkStart w:id="584" w:name="_Toc6373"/>
      <w:bookmarkStart w:id="585" w:name="_Toc14091"/>
      <w:bookmarkStart w:id="586" w:name="_Toc178172045"/>
      <w:bookmarkStart w:id="587" w:name="_Toc17295"/>
      <w:bookmarkStart w:id="588" w:name="_Toc13575"/>
      <w:r>
        <w:rPr>
          <w:rFonts w:hint="eastAsia" w:ascii="黑体" w:hAnsi="黑体"/>
          <w:b w:val="0"/>
          <w:bCs w:val="0"/>
          <w:sz w:val="24"/>
        </w:rPr>
        <w:t>（十二）评审中应执行的政府采购政策</w:t>
      </w:r>
      <w:bookmarkEnd w:id="584"/>
      <w:bookmarkEnd w:id="585"/>
      <w:bookmarkEnd w:id="586"/>
      <w:bookmarkEnd w:id="587"/>
      <w:bookmarkEnd w:id="588"/>
    </w:p>
    <w:p w14:paraId="47458E91">
      <w:pPr>
        <w:keepNext/>
        <w:keepLines/>
        <w:wordWrap w:val="0"/>
        <w:spacing w:line="360" w:lineRule="auto"/>
        <w:ind w:firstLine="480" w:firstLineChars="200"/>
        <w:outlineLvl w:val="2"/>
        <w:rPr>
          <w:rFonts w:hint="eastAsia" w:ascii="黑体" w:hAnsi="黑体" w:eastAsia="黑体" w:cs="宋体"/>
          <w:bCs/>
          <w:sz w:val="24"/>
        </w:rPr>
      </w:pPr>
      <w:bookmarkStart w:id="589" w:name="_Toc25108"/>
      <w:bookmarkStart w:id="590" w:name="_Toc178172046"/>
      <w:r>
        <w:rPr>
          <w:rFonts w:hint="eastAsia" w:ascii="黑体" w:hAnsi="黑体" w:eastAsia="黑体" w:cs="宋体"/>
          <w:bCs/>
          <w:sz w:val="24"/>
        </w:rPr>
        <w:t>1.</w:t>
      </w:r>
      <w:r>
        <w:rPr>
          <w:rFonts w:ascii="黑体" w:hAnsi="黑体" w:eastAsia="黑体" w:cs="宋体"/>
          <w:bCs/>
          <w:sz w:val="24"/>
        </w:rPr>
        <w:t>落实政府采购政策价格调整</w:t>
      </w:r>
      <w:r>
        <w:rPr>
          <w:rFonts w:hint="eastAsia" w:ascii="黑体" w:hAnsi="黑体" w:eastAsia="黑体" w:cs="宋体"/>
          <w:bCs/>
          <w:sz w:val="24"/>
        </w:rPr>
        <w:t>的文件依据：</w:t>
      </w:r>
      <w:bookmarkEnd w:id="589"/>
      <w:bookmarkEnd w:id="590"/>
    </w:p>
    <w:p w14:paraId="527B20A0">
      <w:pPr>
        <w:pStyle w:val="5"/>
        <w:wordWrap w:val="0"/>
        <w:spacing w:after="0" w:line="360" w:lineRule="auto"/>
        <w:ind w:firstLine="480" w:firstLineChars="200"/>
        <w:rPr>
          <w:rFonts w:hint="eastAsia" w:ascii="宋体" w:hAnsi="宋体"/>
          <w:sz w:val="24"/>
        </w:rPr>
      </w:pPr>
      <w:r>
        <w:rPr>
          <w:rFonts w:ascii="宋体" w:hAnsi="宋体"/>
          <w:sz w:val="24"/>
          <w:szCs w:val="24"/>
        </w:rPr>
        <w:t>1.</w:t>
      </w:r>
      <w:bookmarkStart w:id="591" w:name="_Hlk82446153"/>
      <w:r>
        <w:rPr>
          <w:rFonts w:hint="eastAsia" w:ascii="宋体" w:hAnsi="宋体"/>
          <w:sz w:val="24"/>
          <w:szCs w:val="24"/>
        </w:rPr>
        <w:t>1</w:t>
      </w:r>
      <w:r>
        <w:rPr>
          <w:rFonts w:ascii="宋体" w:hAnsi="宋体"/>
          <w:sz w:val="24"/>
          <w:szCs w:val="24"/>
        </w:rPr>
        <w:t xml:space="preserve"> </w:t>
      </w:r>
      <w:r>
        <w:rPr>
          <w:rFonts w:hint="eastAsia" w:ascii="宋体" w:hAnsi="宋体"/>
          <w:sz w:val="24"/>
        </w:rPr>
        <w:t>《政府采购促进中小企业发展管理办法》的通知</w:t>
      </w:r>
      <w:r>
        <w:rPr>
          <w:rFonts w:ascii="宋体" w:hAnsi="宋体"/>
          <w:sz w:val="24"/>
        </w:rPr>
        <w:t xml:space="preserve"> </w:t>
      </w:r>
      <w:r>
        <w:rPr>
          <w:rFonts w:hint="eastAsia" w:ascii="宋体" w:hAnsi="宋体"/>
          <w:sz w:val="24"/>
        </w:rPr>
        <w:t>｛</w:t>
      </w:r>
      <w:r>
        <w:rPr>
          <w:rFonts w:ascii="宋体" w:hAnsi="宋体"/>
          <w:sz w:val="24"/>
        </w:rPr>
        <w:t>财库〔2020〕46号</w:t>
      </w:r>
      <w:r>
        <w:rPr>
          <w:rFonts w:hint="eastAsia" w:ascii="宋体" w:hAnsi="宋体"/>
          <w:sz w:val="24"/>
        </w:rPr>
        <w:t>｝</w:t>
      </w:r>
      <w:bookmarkEnd w:id="591"/>
      <w:r>
        <w:rPr>
          <w:rFonts w:hint="eastAsia" w:ascii="宋体" w:hAnsi="宋体"/>
          <w:sz w:val="24"/>
        </w:rPr>
        <w:t>；</w:t>
      </w:r>
    </w:p>
    <w:p w14:paraId="589F6CB2">
      <w:pPr>
        <w:pStyle w:val="5"/>
        <w:wordWrap w:val="0"/>
        <w:spacing w:after="0" w:line="360" w:lineRule="auto"/>
        <w:ind w:firstLine="480" w:firstLineChars="200"/>
        <w:rPr>
          <w:rFonts w:hint="eastAsia" w:ascii="宋体" w:hAnsi="宋体"/>
          <w:sz w:val="24"/>
          <w:szCs w:val="24"/>
        </w:rPr>
      </w:pPr>
      <w:r>
        <w:rPr>
          <w:rFonts w:ascii="宋体" w:hAnsi="宋体"/>
          <w:sz w:val="24"/>
        </w:rPr>
        <w:t>1.</w:t>
      </w:r>
      <w:r>
        <w:rPr>
          <w:rFonts w:hint="eastAsia" w:ascii="宋体" w:hAnsi="宋体"/>
          <w:sz w:val="24"/>
        </w:rPr>
        <w:t>2</w:t>
      </w:r>
      <w:r>
        <w:rPr>
          <w:rFonts w:ascii="宋体" w:hAnsi="宋体"/>
          <w:sz w:val="24"/>
        </w:rPr>
        <w:t xml:space="preserve"> </w:t>
      </w:r>
      <w:r>
        <w:rPr>
          <w:rFonts w:hint="eastAsia" w:ascii="宋体" w:hAnsi="宋体"/>
          <w:sz w:val="24"/>
          <w:szCs w:val="24"/>
        </w:rPr>
        <w:t>《</w:t>
      </w:r>
      <w:r>
        <w:rPr>
          <w:rFonts w:ascii="宋体" w:hAnsi="宋体"/>
          <w:sz w:val="24"/>
          <w:szCs w:val="24"/>
        </w:rPr>
        <w:t>财政部 司法部关于政府采购支持监狱企业发展有关问题的通知</w:t>
      </w:r>
      <w:r>
        <w:rPr>
          <w:rFonts w:hint="eastAsia" w:ascii="宋体" w:hAnsi="宋体"/>
          <w:sz w:val="24"/>
          <w:szCs w:val="24"/>
        </w:rPr>
        <w:t>》（财库〔2014〕68号）；</w:t>
      </w:r>
    </w:p>
    <w:p w14:paraId="7719C8F2">
      <w:pPr>
        <w:pStyle w:val="5"/>
        <w:wordWrap w:val="0"/>
        <w:spacing w:after="0" w:line="360" w:lineRule="auto"/>
        <w:ind w:firstLine="480" w:firstLineChars="200"/>
        <w:rPr>
          <w:rFonts w:hint="eastAsia" w:ascii="宋体" w:hAnsi="宋体"/>
          <w:sz w:val="24"/>
          <w:szCs w:val="24"/>
        </w:rPr>
      </w:pPr>
      <w:r>
        <w:rPr>
          <w:rFonts w:hint="eastAsia" w:ascii="宋体" w:hAnsi="宋体"/>
          <w:sz w:val="24"/>
          <w:szCs w:val="24"/>
        </w:rPr>
        <w:t>1</w:t>
      </w:r>
      <w:r>
        <w:rPr>
          <w:rFonts w:ascii="宋体" w:hAnsi="宋体"/>
          <w:sz w:val="24"/>
          <w:szCs w:val="24"/>
        </w:rPr>
        <w:t>.</w:t>
      </w:r>
      <w:r>
        <w:rPr>
          <w:rFonts w:hint="eastAsia" w:ascii="宋体" w:hAnsi="宋体"/>
          <w:sz w:val="24"/>
          <w:szCs w:val="24"/>
        </w:rPr>
        <w:t>3</w:t>
      </w:r>
      <w:r>
        <w:rPr>
          <w:rFonts w:ascii="宋体" w:hAnsi="宋体"/>
          <w:sz w:val="24"/>
          <w:szCs w:val="24"/>
        </w:rPr>
        <w:t xml:space="preserve"> </w:t>
      </w:r>
      <w:r>
        <w:rPr>
          <w:rFonts w:hint="eastAsia" w:ascii="宋体" w:hAnsi="宋体"/>
          <w:sz w:val="24"/>
          <w:szCs w:val="24"/>
        </w:rPr>
        <w:t>《三部门联合发布关于促进残疾人就业政府采购政策的通知》（财库〔2017〕141号）；</w:t>
      </w:r>
    </w:p>
    <w:p w14:paraId="333ED56A">
      <w:pPr>
        <w:wordWrap w:val="0"/>
        <w:adjustRightInd w:val="0"/>
        <w:snapToGrid w:val="0"/>
        <w:spacing w:line="360" w:lineRule="auto"/>
        <w:ind w:firstLine="480" w:firstLineChars="200"/>
        <w:rPr>
          <w:rFonts w:hint="eastAsia" w:ascii="宋体" w:hAnsi="宋体"/>
          <w:sz w:val="24"/>
        </w:rPr>
      </w:pPr>
      <w:r>
        <w:rPr>
          <w:rFonts w:ascii="宋体" w:hAnsi="宋体" w:cs="宋体"/>
          <w:sz w:val="24"/>
        </w:rPr>
        <w:t>1.</w:t>
      </w:r>
      <w:r>
        <w:rPr>
          <w:rFonts w:hint="eastAsia" w:ascii="宋体" w:hAnsi="宋体" w:cs="宋体"/>
          <w:sz w:val="24"/>
        </w:rPr>
        <w:t>4</w:t>
      </w:r>
      <w:r>
        <w:rPr>
          <w:rFonts w:ascii="宋体" w:hAnsi="宋体" w:cs="宋体"/>
          <w:sz w:val="24"/>
        </w:rPr>
        <w:t xml:space="preserve"> </w:t>
      </w:r>
      <w:r>
        <w:rPr>
          <w:rFonts w:hint="eastAsia" w:ascii="宋体" w:hAnsi="宋体" w:cs="宋体"/>
          <w:sz w:val="24"/>
        </w:rPr>
        <w:t>《</w:t>
      </w:r>
      <w:r>
        <w:rPr>
          <w:rFonts w:hint="eastAsia" w:ascii="宋体" w:hAnsi="宋体"/>
          <w:sz w:val="24"/>
        </w:rPr>
        <w:t>关于进一步加大政府采购支持中小企业力度的通知</w:t>
      </w:r>
      <w:r>
        <w:rPr>
          <w:rFonts w:hint="eastAsia" w:ascii="宋体" w:hAnsi="宋体" w:cs="宋体"/>
          <w:sz w:val="24"/>
        </w:rPr>
        <w:t>》</w:t>
      </w:r>
      <w:r>
        <w:rPr>
          <w:rFonts w:hint="eastAsia" w:ascii="宋体" w:hAnsi="宋体"/>
          <w:sz w:val="24"/>
        </w:rPr>
        <w:t>财库〔2022〕19号；</w:t>
      </w:r>
    </w:p>
    <w:p w14:paraId="0C8E13C2">
      <w:pPr>
        <w:wordWrap w:val="0"/>
        <w:adjustRightInd w:val="0"/>
        <w:snapToGrid w:val="0"/>
        <w:spacing w:line="360" w:lineRule="auto"/>
        <w:ind w:firstLine="480" w:firstLineChars="200"/>
        <w:rPr>
          <w:rFonts w:hint="eastAsia" w:ascii="宋体" w:hAnsi="宋体"/>
          <w:sz w:val="24"/>
        </w:rPr>
      </w:pPr>
      <w:r>
        <w:rPr>
          <w:rFonts w:ascii="宋体" w:hAnsi="宋体" w:cs="宋体"/>
          <w:sz w:val="24"/>
        </w:rPr>
        <w:t>1.</w:t>
      </w:r>
      <w:r>
        <w:rPr>
          <w:rFonts w:hint="eastAsia" w:ascii="宋体" w:hAnsi="宋体" w:cs="宋体"/>
          <w:sz w:val="24"/>
        </w:rPr>
        <w:t>5</w:t>
      </w:r>
      <w:r>
        <w:rPr>
          <w:rFonts w:ascii="宋体" w:hAnsi="宋体" w:cs="宋体"/>
          <w:sz w:val="24"/>
        </w:rPr>
        <w:t xml:space="preserve"> </w:t>
      </w:r>
      <w:r>
        <w:rPr>
          <w:rFonts w:hint="eastAsia" w:ascii="宋体" w:hAnsi="宋体" w:cs="宋体"/>
          <w:sz w:val="24"/>
        </w:rPr>
        <w:t>《</w:t>
      </w:r>
      <w:r>
        <w:rPr>
          <w:rFonts w:hint="eastAsia" w:ascii="宋体" w:hAnsi="宋体"/>
          <w:sz w:val="24"/>
        </w:rPr>
        <w:t>河南省财政厅关于进一步做好政府采购支持中小企业发展有关事项的通知</w:t>
      </w:r>
      <w:r>
        <w:rPr>
          <w:rFonts w:hint="eastAsia" w:ascii="宋体" w:hAnsi="宋体" w:cs="宋体"/>
          <w:sz w:val="24"/>
        </w:rPr>
        <w:t xml:space="preserve">》 </w:t>
      </w:r>
      <w:r>
        <w:rPr>
          <w:rFonts w:hint="eastAsia" w:ascii="宋体" w:hAnsi="宋体"/>
          <w:sz w:val="24"/>
        </w:rPr>
        <w:t>豫财购〔2022〕5号。</w:t>
      </w:r>
    </w:p>
    <w:p w14:paraId="4198C18F">
      <w:pPr>
        <w:keepNext/>
        <w:keepLines/>
        <w:wordWrap w:val="0"/>
        <w:spacing w:line="360" w:lineRule="auto"/>
        <w:ind w:firstLine="480" w:firstLineChars="200"/>
        <w:outlineLvl w:val="2"/>
        <w:rPr>
          <w:rFonts w:hint="eastAsia" w:ascii="黑体" w:hAnsi="黑体" w:eastAsia="黑体" w:cs="宋体"/>
          <w:bCs/>
          <w:sz w:val="24"/>
        </w:rPr>
      </w:pPr>
      <w:bookmarkStart w:id="592" w:name="_Toc3389"/>
      <w:bookmarkStart w:id="593" w:name="_Toc178172047"/>
      <w:r>
        <w:rPr>
          <w:rFonts w:ascii="黑体" w:hAnsi="黑体" w:eastAsia="黑体" w:cs="宋体"/>
          <w:bCs/>
          <w:sz w:val="24"/>
        </w:rPr>
        <w:t>2</w:t>
      </w:r>
      <w:r>
        <w:rPr>
          <w:rFonts w:hint="eastAsia" w:ascii="黑体" w:hAnsi="黑体" w:eastAsia="黑体" w:cs="宋体"/>
          <w:bCs/>
          <w:sz w:val="24"/>
        </w:rPr>
        <w:t>.</w:t>
      </w:r>
      <w:bookmarkEnd w:id="592"/>
      <w:bookmarkEnd w:id="593"/>
      <w:bookmarkStart w:id="594" w:name="_Toc16196"/>
      <w:bookmarkStart w:id="595" w:name="_Toc178172048"/>
      <w:r>
        <w:rPr>
          <w:rFonts w:hint="eastAsia" w:ascii="黑体" w:hAnsi="黑体" w:eastAsia="黑体" w:cs="宋体"/>
          <w:bCs/>
          <w:sz w:val="24"/>
        </w:rPr>
        <w:t>节能环保的政府采购政策文件依据</w:t>
      </w:r>
      <w:bookmarkEnd w:id="594"/>
      <w:bookmarkEnd w:id="595"/>
    </w:p>
    <w:p w14:paraId="1C465AC0">
      <w:pPr>
        <w:pStyle w:val="5"/>
        <w:wordWrap w:val="0"/>
        <w:spacing w:after="0" w:line="360" w:lineRule="auto"/>
        <w:ind w:firstLine="480" w:firstLineChars="200"/>
        <w:jc w:val="left"/>
        <w:rPr>
          <w:rFonts w:hint="eastAsia" w:ascii="宋体" w:hAnsi="宋体"/>
          <w:sz w:val="24"/>
          <w:szCs w:val="24"/>
        </w:rPr>
      </w:pPr>
      <w:r>
        <w:rPr>
          <w:rFonts w:hint="eastAsia" w:ascii="宋体" w:hAnsi="宋体"/>
          <w:sz w:val="24"/>
          <w:szCs w:val="24"/>
        </w:rPr>
        <w:t>3</w:t>
      </w:r>
      <w:r>
        <w:rPr>
          <w:rFonts w:ascii="宋体" w:hAnsi="宋体"/>
          <w:sz w:val="24"/>
          <w:szCs w:val="24"/>
        </w:rPr>
        <w:t xml:space="preserve">.1 </w:t>
      </w:r>
      <w:r>
        <w:rPr>
          <w:rFonts w:hint="eastAsia" w:ascii="宋体" w:hAnsi="宋体"/>
          <w:sz w:val="24"/>
          <w:szCs w:val="24"/>
        </w:rPr>
        <w:t>《财政部发展改革委 生态环境部 市场监管总局 关于调整优化节能产品、环境标志产品政府采购执行机制的通知》（财库〔2019〕9号）；</w:t>
      </w:r>
    </w:p>
    <w:p w14:paraId="52143C62">
      <w:pPr>
        <w:pStyle w:val="5"/>
        <w:wordWrap w:val="0"/>
        <w:spacing w:after="0" w:line="360" w:lineRule="auto"/>
        <w:ind w:firstLine="480" w:firstLineChars="200"/>
        <w:jc w:val="left"/>
        <w:rPr>
          <w:rFonts w:hint="eastAsia" w:ascii="宋体" w:hAnsi="宋体"/>
          <w:sz w:val="24"/>
          <w:szCs w:val="24"/>
        </w:rPr>
      </w:pPr>
      <w:r>
        <w:rPr>
          <w:rFonts w:hint="eastAsia" w:ascii="宋体" w:hAnsi="宋体"/>
          <w:sz w:val="24"/>
          <w:szCs w:val="24"/>
        </w:rPr>
        <w:t>3</w:t>
      </w:r>
      <w:r>
        <w:rPr>
          <w:rFonts w:ascii="宋体" w:hAnsi="宋体"/>
          <w:sz w:val="24"/>
          <w:szCs w:val="24"/>
        </w:rPr>
        <w:t xml:space="preserve">.2 </w:t>
      </w:r>
      <w:r>
        <w:rPr>
          <w:rFonts w:hint="eastAsia" w:ascii="宋体" w:hAnsi="宋体"/>
          <w:sz w:val="24"/>
          <w:szCs w:val="24"/>
        </w:rPr>
        <w:t>《市场监管总局关于发布参与实施政府采购节能产品、环境标志产品认证机构名录的公告》（市场监管总局2019年4月3日下发）（以下简称“机构名录”）；</w:t>
      </w:r>
    </w:p>
    <w:p w14:paraId="6D5D6420">
      <w:pPr>
        <w:pStyle w:val="5"/>
        <w:wordWrap w:val="0"/>
        <w:spacing w:after="0" w:line="360" w:lineRule="auto"/>
        <w:ind w:firstLine="480" w:firstLineChars="200"/>
        <w:jc w:val="left"/>
        <w:rPr>
          <w:rFonts w:hint="eastAsia" w:ascii="宋体" w:hAnsi="宋体"/>
          <w:sz w:val="24"/>
          <w:szCs w:val="24"/>
        </w:rPr>
      </w:pPr>
      <w:r>
        <w:rPr>
          <w:rFonts w:hint="eastAsia" w:ascii="宋体" w:hAnsi="宋体"/>
          <w:sz w:val="24"/>
          <w:szCs w:val="24"/>
        </w:rPr>
        <w:t>3</w:t>
      </w:r>
      <w:r>
        <w:rPr>
          <w:rFonts w:ascii="宋体" w:hAnsi="宋体"/>
          <w:sz w:val="24"/>
          <w:szCs w:val="24"/>
        </w:rPr>
        <w:t xml:space="preserve">.3 </w:t>
      </w:r>
      <w:r>
        <w:rPr>
          <w:rFonts w:hint="eastAsia" w:ascii="宋体" w:hAnsi="宋体"/>
          <w:sz w:val="24"/>
          <w:szCs w:val="24"/>
        </w:rPr>
        <w:t>《关于印发节能产品政府采购品目清单的通知》（财库〔2019〕19号）（以下简称“节能清单”）；</w:t>
      </w:r>
    </w:p>
    <w:p w14:paraId="32D70860">
      <w:pPr>
        <w:pStyle w:val="5"/>
        <w:wordWrap w:val="0"/>
        <w:spacing w:after="0" w:line="360" w:lineRule="auto"/>
        <w:ind w:firstLine="480" w:firstLineChars="200"/>
        <w:jc w:val="left"/>
        <w:rPr>
          <w:rFonts w:hint="eastAsia" w:ascii="宋体" w:hAnsi="宋体"/>
          <w:sz w:val="24"/>
          <w:szCs w:val="24"/>
        </w:rPr>
      </w:pPr>
      <w:r>
        <w:rPr>
          <w:rFonts w:hint="eastAsia" w:ascii="宋体" w:hAnsi="宋体"/>
          <w:sz w:val="24"/>
          <w:szCs w:val="24"/>
        </w:rPr>
        <w:t>3</w:t>
      </w:r>
      <w:r>
        <w:rPr>
          <w:rFonts w:ascii="宋体" w:hAnsi="宋体"/>
          <w:sz w:val="24"/>
          <w:szCs w:val="24"/>
        </w:rPr>
        <w:t xml:space="preserve">.4 </w:t>
      </w:r>
      <w:r>
        <w:rPr>
          <w:rFonts w:hint="eastAsia" w:ascii="宋体" w:hAnsi="宋体"/>
          <w:sz w:val="24"/>
          <w:szCs w:val="24"/>
        </w:rPr>
        <w:t>《关于印发环境标志产品政府采购品目清单的通知》（财库〔2019〕18号）（以下简称“环保清单”）。</w:t>
      </w:r>
    </w:p>
    <w:p w14:paraId="7E692250">
      <w:pPr>
        <w:keepNext/>
        <w:keepLines/>
        <w:wordWrap w:val="0"/>
        <w:spacing w:line="360" w:lineRule="auto"/>
        <w:ind w:firstLine="480" w:firstLineChars="200"/>
        <w:outlineLvl w:val="2"/>
        <w:rPr>
          <w:rFonts w:hint="eastAsia" w:ascii="黑体" w:hAnsi="黑体" w:eastAsia="黑体" w:cs="宋体"/>
          <w:bCs/>
          <w:sz w:val="24"/>
        </w:rPr>
      </w:pPr>
      <w:bookmarkStart w:id="596" w:name="_Toc178172049"/>
      <w:bookmarkStart w:id="597" w:name="_Toc28508"/>
      <w:r>
        <w:rPr>
          <w:rFonts w:hint="eastAsia" w:ascii="黑体" w:hAnsi="黑体" w:eastAsia="黑体" w:cs="宋体"/>
          <w:bCs/>
          <w:sz w:val="24"/>
        </w:rPr>
        <w:t>3.对强制节能产品的要求</w:t>
      </w:r>
      <w:bookmarkEnd w:id="596"/>
      <w:bookmarkEnd w:id="597"/>
    </w:p>
    <w:p w14:paraId="2256564B">
      <w:pPr>
        <w:pStyle w:val="5"/>
        <w:wordWrap w:val="0"/>
        <w:spacing w:after="0" w:line="360" w:lineRule="auto"/>
        <w:ind w:firstLine="480" w:firstLineChars="200"/>
        <w:jc w:val="left"/>
        <w:rPr>
          <w:rFonts w:hint="eastAsia" w:ascii="宋体" w:hAnsi="宋体"/>
          <w:sz w:val="24"/>
          <w:szCs w:val="24"/>
        </w:rPr>
      </w:pPr>
      <w:r>
        <w:rPr>
          <w:rFonts w:hint="eastAsia" w:ascii="宋体" w:hAnsi="宋体"/>
          <w:sz w:val="24"/>
          <w:szCs w:val="24"/>
        </w:rPr>
        <w:t>3</w:t>
      </w:r>
      <w:r>
        <w:rPr>
          <w:rFonts w:ascii="宋体" w:hAnsi="宋体"/>
          <w:sz w:val="24"/>
          <w:szCs w:val="24"/>
        </w:rPr>
        <w:t xml:space="preserve">.1 </w:t>
      </w:r>
      <w:r>
        <w:rPr>
          <w:rFonts w:hint="eastAsia" w:ascii="宋体" w:hAnsi="宋体"/>
          <w:sz w:val="24"/>
          <w:szCs w:val="24"/>
        </w:rPr>
        <w:t>根据要求，提交响应文件产品如有属于“节能清单”成交记“★”产品的，必须提供经过“机构名录”中的认证机构出具的“节能产品认证证书”证书中应当明确产品名称及规格型号；未提供或未按要求提供的按无效提交响应文件处理。</w:t>
      </w:r>
    </w:p>
    <w:p w14:paraId="65393F34">
      <w:pPr>
        <w:pStyle w:val="5"/>
        <w:wordWrap w:val="0"/>
        <w:spacing w:after="0" w:line="360" w:lineRule="auto"/>
        <w:ind w:firstLine="360" w:firstLineChars="150"/>
        <w:rPr>
          <w:rFonts w:hint="eastAsia" w:ascii="宋体" w:hAnsi="宋体"/>
          <w:sz w:val="24"/>
          <w:szCs w:val="24"/>
        </w:rPr>
      </w:pPr>
      <w:r>
        <w:rPr>
          <w:rFonts w:hint="eastAsia" w:ascii="宋体" w:hAnsi="宋体"/>
          <w:sz w:val="24"/>
          <w:szCs w:val="24"/>
        </w:rPr>
        <w:t>3</w:t>
      </w:r>
      <w:r>
        <w:rPr>
          <w:rFonts w:ascii="宋体" w:hAnsi="宋体"/>
          <w:sz w:val="24"/>
          <w:szCs w:val="24"/>
        </w:rPr>
        <w:t xml:space="preserve">.2 </w:t>
      </w:r>
      <w:r>
        <w:rPr>
          <w:rFonts w:hint="eastAsia" w:ascii="宋体" w:hAnsi="宋体"/>
          <w:sz w:val="24"/>
          <w:szCs w:val="24"/>
        </w:rPr>
        <w:t>对于提交响应文件产品属于“节能清单”中非标记“★”产品的以及属于“环保清单”产品并经“机构名录”中的认证机构出具相应的产品认证证书（证书中应当明确产品名称及规格型号）的给予优先采购。</w:t>
      </w:r>
    </w:p>
    <w:p w14:paraId="603AA46D">
      <w:pPr>
        <w:pStyle w:val="5"/>
        <w:wordWrap w:val="0"/>
        <w:spacing w:after="0" w:line="360" w:lineRule="auto"/>
        <w:ind w:firstLine="480" w:firstLineChars="200"/>
        <w:rPr>
          <w:rFonts w:hint="eastAsia" w:ascii="宋体" w:hAnsi="宋体"/>
          <w:sz w:val="24"/>
          <w:szCs w:val="24"/>
        </w:rPr>
      </w:pPr>
      <w:r>
        <w:rPr>
          <w:rFonts w:hint="eastAsia" w:ascii="宋体" w:hAnsi="宋体"/>
          <w:sz w:val="24"/>
          <w:szCs w:val="24"/>
        </w:rPr>
        <w:t>采购人采购产品属于节能产品或环境标志产品品目清单范围内，且供应商所投产品具有有效期内的产品认证证书，在评审时予以优先采购，具体</w:t>
      </w:r>
      <w:r>
        <w:rPr>
          <w:rFonts w:ascii="宋体" w:hAnsi="宋体"/>
          <w:sz w:val="24"/>
          <w:szCs w:val="24"/>
        </w:rPr>
        <w:t>优惠措施为：</w:t>
      </w:r>
      <w:r>
        <w:rPr>
          <w:rFonts w:hint="eastAsia" w:ascii="宋体" w:hAnsi="宋体"/>
          <w:sz w:val="24"/>
          <w:szCs w:val="24"/>
        </w:rPr>
        <w:t>如果采购项目包有多种设备，在技术部分打分项中给予优先采购体现。</w:t>
      </w:r>
    </w:p>
    <w:p w14:paraId="44C2D113">
      <w:pPr>
        <w:keepNext/>
        <w:keepLines/>
        <w:wordWrap w:val="0"/>
        <w:spacing w:line="360" w:lineRule="auto"/>
        <w:ind w:firstLine="480" w:firstLineChars="200"/>
        <w:outlineLvl w:val="2"/>
        <w:rPr>
          <w:rFonts w:hint="eastAsia" w:ascii="黑体" w:hAnsi="黑体" w:eastAsia="黑体" w:cs="宋体"/>
          <w:bCs/>
          <w:sz w:val="24"/>
        </w:rPr>
      </w:pPr>
      <w:bookmarkStart w:id="598" w:name="_Toc1675"/>
      <w:bookmarkStart w:id="599" w:name="_Toc178172051"/>
      <w:r>
        <w:rPr>
          <w:rFonts w:hint="eastAsia" w:ascii="黑体" w:hAnsi="黑体" w:eastAsia="黑体" w:cs="宋体"/>
          <w:bCs/>
          <w:sz w:val="24"/>
        </w:rPr>
        <w:t>4.其他政府采购政策要求</w:t>
      </w:r>
      <w:bookmarkEnd w:id="598"/>
      <w:bookmarkEnd w:id="599"/>
      <w:r>
        <w:rPr>
          <w:rFonts w:hint="eastAsia" w:ascii="黑体" w:hAnsi="黑体" w:eastAsia="黑体" w:cs="宋体"/>
          <w:bCs/>
          <w:sz w:val="24"/>
        </w:rPr>
        <w:t>：无。</w:t>
      </w:r>
    </w:p>
    <w:p w14:paraId="00DB99D4">
      <w:pPr>
        <w:wordWrap w:val="0"/>
        <w:adjustRightInd w:val="0"/>
        <w:snapToGrid w:val="0"/>
        <w:spacing w:line="360" w:lineRule="auto"/>
        <w:rPr>
          <w:rFonts w:hint="eastAsia" w:ascii="宋体" w:hAnsi="宋体"/>
          <w:b/>
          <w:sz w:val="24"/>
        </w:rPr>
      </w:pPr>
    </w:p>
    <w:p w14:paraId="03A8F7EB">
      <w:pPr>
        <w:wordWrap w:val="0"/>
        <w:adjustRightInd w:val="0"/>
        <w:snapToGrid w:val="0"/>
        <w:spacing w:line="360" w:lineRule="auto"/>
        <w:rPr>
          <w:rFonts w:hint="eastAsia" w:ascii="宋体" w:hAnsi="宋体"/>
          <w:sz w:val="24"/>
        </w:rPr>
      </w:pPr>
      <w:r>
        <w:rPr>
          <w:rFonts w:hint="eastAsia" w:ascii="宋体" w:hAnsi="宋体"/>
          <w:b/>
          <w:sz w:val="24"/>
        </w:rPr>
        <w:br w:type="page"/>
      </w:r>
      <w:bookmarkEnd w:id="583"/>
    </w:p>
    <w:p w14:paraId="043B91B2">
      <w:pPr>
        <w:wordWrap w:val="0"/>
      </w:pPr>
    </w:p>
    <w:p w14:paraId="7C5115C9">
      <w:pPr>
        <w:wordWrap w:val="0"/>
        <w:rPr>
          <w:rFonts w:hint="eastAsia" w:hAnsi="宋体"/>
        </w:rPr>
      </w:pPr>
    </w:p>
    <w:p w14:paraId="4DBDC2D2">
      <w:pPr>
        <w:pStyle w:val="6"/>
        <w:tabs>
          <w:tab w:val="left" w:pos="0"/>
        </w:tabs>
        <w:wordWrap w:val="0"/>
        <w:autoSpaceDE w:val="0"/>
        <w:autoSpaceDN w:val="0"/>
        <w:adjustRightInd w:val="0"/>
        <w:spacing w:before="0" w:after="0" w:line="360" w:lineRule="auto"/>
        <w:jc w:val="center"/>
        <w:rPr>
          <w:rFonts w:hint="eastAsia" w:ascii="宋体" w:hAnsi="宋体"/>
          <w:sz w:val="24"/>
        </w:rPr>
      </w:pPr>
      <w:bookmarkStart w:id="600" w:name="_Toc216582812"/>
      <w:bookmarkStart w:id="601" w:name="_Toc32220"/>
      <w:bookmarkStart w:id="602" w:name="_Toc20850"/>
      <w:bookmarkStart w:id="603" w:name="_Toc15048333"/>
      <w:bookmarkStart w:id="604" w:name="_Toc15328"/>
      <w:bookmarkStart w:id="605" w:name="_Toc515647802"/>
      <w:bookmarkStart w:id="606" w:name="_Toc532473493"/>
      <w:bookmarkStart w:id="607" w:name="_Toc728"/>
      <w:bookmarkStart w:id="608" w:name="_Toc702"/>
      <w:r>
        <w:rPr>
          <w:rFonts w:hint="eastAsia" w:ascii="黑体" w:hAnsi="黑体" w:eastAsia="黑体"/>
          <w:b w:val="0"/>
          <w:bCs w:val="0"/>
        </w:rPr>
        <w:t xml:space="preserve">第六章 </w:t>
      </w:r>
      <w:r>
        <w:rPr>
          <w:rFonts w:ascii="黑体" w:hAnsi="黑体" w:eastAsia="黑体"/>
          <w:b w:val="0"/>
          <w:bCs w:val="0"/>
        </w:rPr>
        <w:t xml:space="preserve"> </w:t>
      </w:r>
      <w:r>
        <w:rPr>
          <w:rFonts w:hint="eastAsia" w:ascii="黑体" w:hAnsi="黑体" w:eastAsia="黑体"/>
          <w:b w:val="0"/>
          <w:bCs w:val="0"/>
        </w:rPr>
        <w:t>响应文件格式</w:t>
      </w:r>
      <w:bookmarkEnd w:id="600"/>
      <w:bookmarkEnd w:id="601"/>
      <w:bookmarkEnd w:id="602"/>
      <w:bookmarkEnd w:id="603"/>
      <w:bookmarkEnd w:id="604"/>
      <w:bookmarkEnd w:id="605"/>
      <w:bookmarkEnd w:id="606"/>
      <w:bookmarkEnd w:id="607"/>
      <w:bookmarkEnd w:id="608"/>
    </w:p>
    <w:p w14:paraId="03E7D1FA">
      <w:pPr>
        <w:wordWrap w:val="0"/>
        <w:spacing w:line="360" w:lineRule="auto"/>
        <w:rPr>
          <w:rFonts w:hint="eastAsia" w:ascii="宋体" w:hAnsi="宋体"/>
          <w:sz w:val="24"/>
        </w:rPr>
      </w:pPr>
    </w:p>
    <w:p w14:paraId="6F6F1592">
      <w:pPr>
        <w:wordWrap w:val="0"/>
        <w:jc w:val="center"/>
        <w:rPr>
          <w:rFonts w:hint="eastAsia" w:ascii="宋体" w:hAnsi="宋体"/>
          <w:sz w:val="32"/>
          <w:szCs w:val="32"/>
        </w:rPr>
      </w:pPr>
      <w:r>
        <w:rPr>
          <w:rFonts w:hint="eastAsia" w:ascii="黑体" w:hAnsi="黑体" w:eastAsia="黑体"/>
          <w:bCs/>
          <w:sz w:val="48"/>
          <w:szCs w:val="48"/>
        </w:rPr>
        <w:t>中国人民银行郑州培训学院二号培训楼修缮改造项目（四层五层及三层北区）</w:t>
      </w:r>
    </w:p>
    <w:p w14:paraId="139B7342">
      <w:pPr>
        <w:tabs>
          <w:tab w:val="left" w:pos="55"/>
        </w:tabs>
        <w:wordWrap w:val="0"/>
        <w:jc w:val="left"/>
        <w:rPr>
          <w:rFonts w:hint="eastAsia" w:ascii="宋体" w:hAnsi="宋体"/>
          <w:b/>
          <w:w w:val="150"/>
          <w:sz w:val="48"/>
          <w:szCs w:val="48"/>
        </w:rPr>
      </w:pPr>
      <w:r>
        <w:rPr>
          <w:rFonts w:hint="eastAsia" w:ascii="宋体" w:hAnsi="宋体"/>
          <w:b/>
          <w:w w:val="150"/>
          <w:sz w:val="84"/>
        </w:rPr>
        <w:tab/>
      </w:r>
    </w:p>
    <w:p w14:paraId="4DA17023">
      <w:pPr>
        <w:tabs>
          <w:tab w:val="left" w:pos="1950"/>
        </w:tabs>
        <w:wordWrap w:val="0"/>
        <w:jc w:val="left"/>
        <w:rPr>
          <w:rFonts w:hint="eastAsia" w:ascii="宋体" w:hAnsi="宋体"/>
          <w:b/>
          <w:w w:val="150"/>
          <w:sz w:val="48"/>
          <w:szCs w:val="48"/>
        </w:rPr>
      </w:pPr>
    </w:p>
    <w:p w14:paraId="4557BB4B">
      <w:pPr>
        <w:tabs>
          <w:tab w:val="left" w:pos="1950"/>
        </w:tabs>
        <w:wordWrap w:val="0"/>
        <w:jc w:val="left"/>
        <w:rPr>
          <w:rFonts w:hint="eastAsia" w:ascii="宋体" w:hAnsi="宋体"/>
          <w:b/>
          <w:w w:val="150"/>
          <w:sz w:val="48"/>
          <w:szCs w:val="48"/>
        </w:rPr>
      </w:pPr>
    </w:p>
    <w:p w14:paraId="51B8F826">
      <w:pPr>
        <w:tabs>
          <w:tab w:val="left" w:pos="1950"/>
        </w:tabs>
        <w:wordWrap w:val="0"/>
        <w:jc w:val="left"/>
        <w:rPr>
          <w:rFonts w:hint="eastAsia" w:ascii="宋体" w:hAnsi="宋体"/>
          <w:b/>
          <w:w w:val="150"/>
          <w:sz w:val="48"/>
          <w:szCs w:val="48"/>
        </w:rPr>
      </w:pPr>
    </w:p>
    <w:p w14:paraId="4014A3B8">
      <w:pPr>
        <w:tabs>
          <w:tab w:val="left" w:pos="1950"/>
        </w:tabs>
        <w:wordWrap w:val="0"/>
        <w:jc w:val="left"/>
        <w:rPr>
          <w:rFonts w:hint="eastAsia" w:ascii="宋体" w:hAnsi="宋体"/>
          <w:b/>
          <w:w w:val="150"/>
          <w:sz w:val="48"/>
          <w:szCs w:val="48"/>
        </w:rPr>
      </w:pPr>
    </w:p>
    <w:p w14:paraId="72D9A27B">
      <w:pPr>
        <w:wordWrap w:val="0"/>
        <w:jc w:val="center"/>
        <w:rPr>
          <w:rFonts w:hint="eastAsia" w:ascii="黑体" w:hAnsi="黑体" w:eastAsia="黑体"/>
          <w:bCs/>
          <w:sz w:val="84"/>
          <w:szCs w:val="84"/>
        </w:rPr>
      </w:pPr>
      <w:bookmarkStart w:id="609" w:name="_Hlk181975986"/>
      <w:r>
        <w:rPr>
          <w:rFonts w:hint="eastAsia" w:ascii="黑体" w:hAnsi="黑体" w:eastAsia="黑体"/>
          <w:bCs/>
          <w:sz w:val="84"/>
          <w:szCs w:val="84"/>
        </w:rPr>
        <w:t>响 应 文 件</w:t>
      </w:r>
    </w:p>
    <w:p w14:paraId="223B4451">
      <w:pPr>
        <w:wordWrap w:val="0"/>
        <w:spacing w:line="360" w:lineRule="auto"/>
        <w:jc w:val="center"/>
        <w:rPr>
          <w:rFonts w:hint="eastAsia" w:ascii="黑体" w:hAnsi="黑体" w:eastAsia="黑体"/>
          <w:sz w:val="28"/>
          <w:szCs w:val="28"/>
        </w:rPr>
      </w:pPr>
      <w:r>
        <w:rPr>
          <w:rFonts w:hint="eastAsia" w:ascii="黑体" w:hAnsi="黑体" w:eastAsia="黑体"/>
          <w:sz w:val="28"/>
          <w:szCs w:val="28"/>
        </w:rPr>
        <w:t>项目编号：ZPJC-2026-010</w:t>
      </w:r>
    </w:p>
    <w:bookmarkEnd w:id="609"/>
    <w:p w14:paraId="56B8A62D">
      <w:pPr>
        <w:wordWrap w:val="0"/>
        <w:spacing w:line="360" w:lineRule="auto"/>
        <w:rPr>
          <w:rFonts w:hint="eastAsia" w:ascii="宋体" w:hAnsi="宋体"/>
          <w:b/>
          <w:sz w:val="32"/>
        </w:rPr>
      </w:pPr>
    </w:p>
    <w:p w14:paraId="04CBE285">
      <w:pPr>
        <w:wordWrap w:val="0"/>
        <w:spacing w:line="360" w:lineRule="auto"/>
        <w:jc w:val="center"/>
        <w:rPr>
          <w:rFonts w:hint="eastAsia" w:ascii="宋体" w:hAnsi="宋体"/>
          <w:b/>
          <w:sz w:val="32"/>
        </w:rPr>
      </w:pPr>
    </w:p>
    <w:p w14:paraId="1CBDB773">
      <w:pPr>
        <w:wordWrap w:val="0"/>
        <w:spacing w:line="360" w:lineRule="auto"/>
        <w:jc w:val="center"/>
        <w:rPr>
          <w:rFonts w:hint="eastAsia" w:ascii="宋体" w:hAnsi="宋体"/>
          <w:b/>
          <w:sz w:val="32"/>
        </w:rPr>
      </w:pPr>
    </w:p>
    <w:p w14:paraId="353373EB">
      <w:pPr>
        <w:wordWrap w:val="0"/>
        <w:spacing w:line="360" w:lineRule="auto"/>
        <w:jc w:val="center"/>
        <w:rPr>
          <w:rFonts w:hint="eastAsia" w:ascii="宋体" w:hAnsi="宋体"/>
          <w:b/>
          <w:sz w:val="32"/>
        </w:rPr>
      </w:pPr>
    </w:p>
    <w:p w14:paraId="11F2E09B">
      <w:pPr>
        <w:wordWrap w:val="0"/>
        <w:spacing w:line="360" w:lineRule="auto"/>
        <w:jc w:val="center"/>
        <w:rPr>
          <w:rFonts w:hint="eastAsia" w:ascii="宋体" w:hAnsi="宋体"/>
          <w:b/>
          <w:sz w:val="32"/>
        </w:rPr>
      </w:pPr>
    </w:p>
    <w:p w14:paraId="2D9F52CE">
      <w:pPr>
        <w:wordWrap w:val="0"/>
        <w:spacing w:line="360" w:lineRule="auto"/>
        <w:jc w:val="center"/>
        <w:rPr>
          <w:rFonts w:hint="eastAsia" w:ascii="宋体" w:hAnsi="宋体"/>
          <w:b/>
          <w:sz w:val="32"/>
        </w:rPr>
      </w:pPr>
    </w:p>
    <w:p w14:paraId="54388107">
      <w:pPr>
        <w:wordWrap w:val="0"/>
        <w:spacing w:line="360" w:lineRule="auto"/>
        <w:jc w:val="center"/>
        <w:rPr>
          <w:rFonts w:hint="eastAsia" w:ascii="宋体" w:hAnsi="宋体"/>
          <w:b/>
          <w:sz w:val="28"/>
          <w:szCs w:val="28"/>
        </w:rPr>
      </w:pPr>
    </w:p>
    <w:p w14:paraId="16BABB5E">
      <w:pPr>
        <w:wordWrap w:val="0"/>
        <w:spacing w:line="360" w:lineRule="auto"/>
        <w:ind w:firstLine="473" w:firstLineChars="169"/>
        <w:rPr>
          <w:rFonts w:hint="eastAsia" w:ascii="黑体" w:hAnsi="黑体" w:eastAsia="黑体"/>
          <w:sz w:val="28"/>
          <w:szCs w:val="28"/>
        </w:rPr>
      </w:pPr>
      <w:bookmarkStart w:id="610" w:name="_Hlk181976011"/>
      <w:r>
        <w:rPr>
          <w:rFonts w:hint="eastAsia" w:ascii="黑体" w:hAnsi="黑体" w:eastAsia="黑体"/>
          <w:sz w:val="28"/>
          <w:szCs w:val="28"/>
        </w:rPr>
        <w:t>供应商：</w:t>
      </w:r>
      <w:r>
        <w:rPr>
          <w:rFonts w:hint="eastAsia" w:ascii="黑体" w:hAnsi="黑体" w:eastAsia="黑体"/>
          <w:sz w:val="28"/>
          <w:szCs w:val="28"/>
          <w:u w:val="single"/>
        </w:rPr>
        <w:t xml:space="preserve"> </w:t>
      </w:r>
      <w:r>
        <w:rPr>
          <w:rFonts w:ascii="黑体" w:hAnsi="黑体" w:eastAsia="黑体"/>
          <w:sz w:val="28"/>
          <w:szCs w:val="28"/>
          <w:u w:val="single"/>
        </w:rPr>
        <w:t xml:space="preserve">                           </w:t>
      </w:r>
      <w:r>
        <w:rPr>
          <w:rFonts w:ascii="黑体" w:hAnsi="黑体" w:eastAsia="黑体"/>
          <w:sz w:val="28"/>
          <w:szCs w:val="28"/>
        </w:rPr>
        <w:t xml:space="preserve"> </w:t>
      </w:r>
      <w:r>
        <w:rPr>
          <w:rFonts w:hint="eastAsia" w:ascii="黑体" w:hAnsi="黑体" w:eastAsia="黑体"/>
          <w:sz w:val="28"/>
          <w:szCs w:val="28"/>
        </w:rPr>
        <w:t>（加盖单位公章）</w:t>
      </w:r>
    </w:p>
    <w:p w14:paraId="14B2C61D">
      <w:pPr>
        <w:wordWrap w:val="0"/>
        <w:spacing w:line="360" w:lineRule="auto"/>
        <w:ind w:firstLine="459" w:firstLineChars="164"/>
        <w:rPr>
          <w:rFonts w:hint="eastAsia" w:ascii="黑体" w:hAnsi="黑体" w:eastAsia="黑体"/>
          <w:sz w:val="28"/>
          <w:szCs w:val="28"/>
        </w:rPr>
      </w:pPr>
      <w:r>
        <w:rPr>
          <w:rFonts w:hint="eastAsia" w:ascii="黑体" w:hAnsi="黑体" w:eastAsia="黑体"/>
          <w:sz w:val="28"/>
          <w:szCs w:val="28"/>
        </w:rPr>
        <w:t>法定代表人或负责人或委托代理人：</w:t>
      </w:r>
      <w:r>
        <w:rPr>
          <w:rFonts w:ascii="黑体" w:hAnsi="黑体" w:eastAsia="黑体"/>
          <w:sz w:val="28"/>
          <w:szCs w:val="28"/>
          <w:u w:val="single"/>
        </w:rPr>
        <w:t xml:space="preserve">     </w:t>
      </w:r>
      <w:r>
        <w:rPr>
          <w:rFonts w:hint="eastAsia" w:ascii="黑体" w:hAnsi="黑体" w:eastAsia="黑体"/>
          <w:sz w:val="28"/>
          <w:szCs w:val="28"/>
        </w:rPr>
        <w:t>（签字或加盖个人章）</w:t>
      </w:r>
    </w:p>
    <w:p w14:paraId="29670C85">
      <w:pPr>
        <w:wordWrap w:val="0"/>
        <w:spacing w:line="360" w:lineRule="auto"/>
        <w:ind w:firstLine="467" w:firstLineChars="167"/>
        <w:rPr>
          <w:rFonts w:hint="eastAsia" w:ascii="黑体" w:hAnsi="黑体" w:eastAsia="黑体"/>
          <w:sz w:val="28"/>
          <w:szCs w:val="28"/>
        </w:rPr>
      </w:pPr>
      <w:r>
        <w:rPr>
          <w:rFonts w:hint="eastAsia" w:ascii="黑体" w:hAnsi="黑体" w:eastAsia="黑体"/>
          <w:sz w:val="28"/>
          <w:szCs w:val="28"/>
        </w:rPr>
        <w:t>日    期：    年    月    日</w:t>
      </w:r>
    </w:p>
    <w:bookmarkEnd w:id="610"/>
    <w:p w14:paraId="715816D1">
      <w:pPr>
        <w:wordWrap w:val="0"/>
        <w:spacing w:line="360" w:lineRule="auto"/>
        <w:rPr>
          <w:rFonts w:hint="eastAsia" w:ascii="宋体" w:hAnsi="宋体"/>
          <w:sz w:val="24"/>
        </w:rPr>
      </w:pPr>
    </w:p>
    <w:p w14:paraId="5B703B39">
      <w:pPr>
        <w:pStyle w:val="7"/>
        <w:widowControl/>
        <w:wordWrap w:val="0"/>
        <w:jc w:val="center"/>
        <w:rPr>
          <w:rFonts w:hint="eastAsia" w:ascii="宋体" w:hAnsi="宋体" w:cs="黑体"/>
          <w:b w:val="0"/>
          <w:bCs w:val="0"/>
          <w:kern w:val="0"/>
          <w:sz w:val="36"/>
          <w:szCs w:val="36"/>
        </w:rPr>
      </w:pPr>
      <w:bookmarkStart w:id="611" w:name="_Toc26452"/>
      <w:bookmarkStart w:id="612" w:name="_Toc20205"/>
      <w:bookmarkStart w:id="613" w:name="_Toc31834"/>
      <w:bookmarkStart w:id="614" w:name="_Toc28861"/>
      <w:r>
        <w:rPr>
          <w:rFonts w:hint="eastAsia" w:ascii="宋体" w:hAnsi="宋体" w:cs="黑体"/>
          <w:b w:val="0"/>
          <w:bCs w:val="0"/>
          <w:kern w:val="0"/>
          <w:sz w:val="36"/>
          <w:szCs w:val="36"/>
        </w:rPr>
        <w:t>目    录</w:t>
      </w:r>
      <w:bookmarkEnd w:id="611"/>
      <w:bookmarkEnd w:id="612"/>
      <w:bookmarkEnd w:id="613"/>
      <w:bookmarkEnd w:id="614"/>
    </w:p>
    <w:p w14:paraId="7B9CD7BD">
      <w:pPr>
        <w:pStyle w:val="7"/>
        <w:widowControl/>
        <w:wordWrap w:val="0"/>
        <w:jc w:val="center"/>
        <w:rPr>
          <w:rFonts w:hint="eastAsia" w:ascii="黑体" w:hAnsi="黑体"/>
          <w:sz w:val="30"/>
          <w:szCs w:val="30"/>
        </w:rPr>
      </w:pPr>
      <w:bookmarkStart w:id="615" w:name="_Toc515647803"/>
      <w:bookmarkStart w:id="616" w:name="_Toc21369"/>
      <w:bookmarkStart w:id="617" w:name="_Toc9690"/>
      <w:bookmarkStart w:id="618" w:name="_Toc18974"/>
      <w:bookmarkStart w:id="619" w:name="_Toc15048334"/>
      <w:bookmarkStart w:id="620" w:name="_Toc532473494"/>
      <w:bookmarkStart w:id="621" w:name="_Toc8698"/>
      <w:bookmarkStart w:id="622" w:name="_Toc20604"/>
      <w:bookmarkStart w:id="623" w:name="_Toc18694"/>
      <w:r>
        <w:rPr>
          <w:rFonts w:ascii="黑体" w:hAnsi="黑体" w:cs="黑体"/>
          <w:b w:val="0"/>
          <w:bCs w:val="0"/>
          <w:kern w:val="0"/>
          <w:sz w:val="30"/>
          <w:szCs w:val="30"/>
        </w:rPr>
        <w:t>第一部分</w:t>
      </w:r>
      <w:r>
        <w:rPr>
          <w:rFonts w:hint="eastAsia" w:ascii="黑体" w:hAnsi="黑体" w:cs="黑体"/>
          <w:b w:val="0"/>
          <w:bCs w:val="0"/>
          <w:kern w:val="0"/>
          <w:sz w:val="30"/>
          <w:szCs w:val="30"/>
        </w:rPr>
        <w:t xml:space="preserve">  资格证明文件</w:t>
      </w:r>
      <w:bookmarkEnd w:id="615"/>
      <w:bookmarkEnd w:id="616"/>
      <w:bookmarkEnd w:id="617"/>
      <w:bookmarkEnd w:id="618"/>
      <w:bookmarkEnd w:id="619"/>
      <w:bookmarkEnd w:id="620"/>
      <w:bookmarkEnd w:id="621"/>
      <w:bookmarkEnd w:id="622"/>
      <w:bookmarkEnd w:id="623"/>
    </w:p>
    <w:p w14:paraId="4B0D6C4A">
      <w:pPr>
        <w:pStyle w:val="2"/>
        <w:wordWrap w:val="0"/>
        <w:spacing w:after="0" w:line="360" w:lineRule="auto"/>
        <w:ind w:left="0" w:leftChars="0" w:firstLine="0" w:firstLineChars="0"/>
        <w:rPr>
          <w:rFonts w:hint="eastAsia" w:ascii="黑体" w:hAnsi="黑体" w:eastAsia="黑体" w:cs="黑体"/>
          <w:kern w:val="0"/>
          <w:sz w:val="28"/>
          <w:szCs w:val="28"/>
        </w:rPr>
      </w:pPr>
      <w:r>
        <w:rPr>
          <w:rFonts w:hint="eastAsia" w:ascii="黑体" w:hAnsi="黑体" w:eastAsia="黑体" w:cs="黑体"/>
          <w:kern w:val="0"/>
          <w:sz w:val="28"/>
          <w:szCs w:val="28"/>
        </w:rPr>
        <w:t>1.供应商须知前附表要求的资格证明文件</w:t>
      </w:r>
      <w:bookmarkStart w:id="624" w:name="_Toc16152971"/>
    </w:p>
    <w:bookmarkEnd w:id="624"/>
    <w:p w14:paraId="5D002BD2">
      <w:pPr>
        <w:pStyle w:val="2"/>
        <w:wordWrap w:val="0"/>
        <w:spacing w:after="0" w:line="360" w:lineRule="auto"/>
        <w:ind w:left="560" w:leftChars="0" w:hanging="560" w:hangingChars="200"/>
        <w:rPr>
          <w:rFonts w:hint="eastAsia" w:ascii="黑体" w:hAnsi="黑体" w:eastAsia="黑体" w:cs="黑体"/>
          <w:kern w:val="0"/>
          <w:sz w:val="28"/>
          <w:szCs w:val="28"/>
        </w:rPr>
      </w:pPr>
      <w:bookmarkStart w:id="625" w:name="_Toc16152972"/>
      <w:r>
        <w:rPr>
          <w:rFonts w:hint="eastAsia" w:ascii="黑体" w:hAnsi="黑体" w:eastAsia="黑体" w:cs="黑体"/>
          <w:kern w:val="0"/>
          <w:sz w:val="28"/>
          <w:szCs w:val="28"/>
        </w:rPr>
        <w:t>1-1、法人或者非法人组织的营业执照或其他证明文件或自然人的身份证明</w:t>
      </w:r>
    </w:p>
    <w:p w14:paraId="6A9E086E">
      <w:pPr>
        <w:pStyle w:val="2"/>
        <w:wordWrap w:val="0"/>
        <w:spacing w:after="0" w:line="360" w:lineRule="auto"/>
        <w:ind w:left="560" w:leftChars="0" w:hanging="560" w:hangingChars="200"/>
        <w:rPr>
          <w:rFonts w:hint="eastAsia" w:ascii="黑体" w:hAnsi="黑体" w:eastAsia="黑体" w:cs="黑体"/>
          <w:kern w:val="0"/>
          <w:sz w:val="28"/>
          <w:szCs w:val="28"/>
        </w:rPr>
      </w:pPr>
      <w:r>
        <w:rPr>
          <w:rFonts w:hint="eastAsia" w:ascii="黑体" w:hAnsi="黑体" w:eastAsia="黑体" w:cs="黑体"/>
          <w:kern w:val="0"/>
          <w:sz w:val="28"/>
          <w:szCs w:val="28"/>
        </w:rPr>
        <w:t>1-2、财务状况报告或资信证明</w:t>
      </w:r>
      <w:bookmarkEnd w:id="625"/>
      <w:r>
        <w:rPr>
          <w:rFonts w:hint="eastAsia" w:ascii="黑体" w:hAnsi="黑体" w:eastAsia="黑体" w:cs="黑体"/>
          <w:kern w:val="0"/>
          <w:sz w:val="28"/>
          <w:szCs w:val="28"/>
        </w:rPr>
        <w:t>或担保函</w:t>
      </w:r>
    </w:p>
    <w:p w14:paraId="4BB64870">
      <w:pPr>
        <w:pStyle w:val="2"/>
        <w:wordWrap w:val="0"/>
        <w:spacing w:after="0" w:line="360" w:lineRule="auto"/>
        <w:ind w:left="0" w:leftChars="0" w:firstLine="0" w:firstLineChars="0"/>
        <w:rPr>
          <w:rFonts w:hint="eastAsia" w:ascii="黑体" w:hAnsi="黑体" w:eastAsia="黑体" w:cs="黑体"/>
          <w:kern w:val="0"/>
          <w:sz w:val="28"/>
          <w:szCs w:val="28"/>
        </w:rPr>
      </w:pPr>
      <w:bookmarkStart w:id="626" w:name="_Toc16152973"/>
      <w:r>
        <w:rPr>
          <w:rFonts w:hint="eastAsia" w:ascii="黑体" w:hAnsi="黑体" w:eastAsia="黑体" w:cs="黑体"/>
          <w:kern w:val="0"/>
          <w:sz w:val="28"/>
          <w:szCs w:val="28"/>
        </w:rPr>
        <w:t>1-3、具备履行合同所必需的设备和专业技术能力的</w:t>
      </w:r>
      <w:bookmarkEnd w:id="626"/>
      <w:r>
        <w:rPr>
          <w:rFonts w:hint="eastAsia" w:ascii="黑体" w:hAnsi="黑体" w:eastAsia="黑体" w:cs="黑体"/>
          <w:kern w:val="0"/>
          <w:sz w:val="28"/>
          <w:szCs w:val="28"/>
        </w:rPr>
        <w:t>承诺函</w:t>
      </w:r>
    </w:p>
    <w:p w14:paraId="2B05E0C8">
      <w:pPr>
        <w:pStyle w:val="2"/>
        <w:wordWrap w:val="0"/>
        <w:spacing w:after="0" w:line="360" w:lineRule="auto"/>
        <w:ind w:left="0" w:leftChars="0" w:firstLine="0" w:firstLineChars="0"/>
        <w:rPr>
          <w:rFonts w:hint="eastAsia" w:ascii="黑体" w:hAnsi="黑体" w:eastAsia="黑体" w:cs="黑体"/>
          <w:kern w:val="0"/>
          <w:sz w:val="28"/>
          <w:szCs w:val="28"/>
        </w:rPr>
      </w:pPr>
      <w:bookmarkStart w:id="627" w:name="_Toc16152974"/>
      <w:r>
        <w:rPr>
          <w:rFonts w:hint="eastAsia" w:ascii="黑体" w:hAnsi="黑体" w:eastAsia="黑体" w:cs="黑体"/>
          <w:kern w:val="0"/>
          <w:sz w:val="28"/>
          <w:szCs w:val="28"/>
        </w:rPr>
        <w:t>1-4、依法缴纳税收和社会保障资金的记录</w:t>
      </w:r>
      <w:bookmarkEnd w:id="627"/>
    </w:p>
    <w:p w14:paraId="1B8D284F">
      <w:pPr>
        <w:pStyle w:val="2"/>
        <w:wordWrap w:val="0"/>
        <w:spacing w:after="0" w:line="360" w:lineRule="auto"/>
        <w:ind w:left="0" w:leftChars="0" w:firstLine="0" w:firstLineChars="0"/>
        <w:rPr>
          <w:rFonts w:hint="eastAsia" w:ascii="黑体" w:hAnsi="黑体" w:eastAsia="黑体" w:cs="黑体"/>
          <w:kern w:val="0"/>
          <w:sz w:val="28"/>
          <w:szCs w:val="28"/>
        </w:rPr>
      </w:pPr>
      <w:r>
        <w:rPr>
          <w:rFonts w:hint="eastAsia" w:ascii="黑体" w:hAnsi="黑体" w:eastAsia="黑体" w:cs="黑体"/>
          <w:kern w:val="0"/>
          <w:sz w:val="28"/>
          <w:szCs w:val="28"/>
        </w:rPr>
        <w:t>1-5、参加政府采购活动前三年内在经营活动中没有重大违法记录的书面声明</w:t>
      </w:r>
    </w:p>
    <w:p w14:paraId="11501566">
      <w:pPr>
        <w:pStyle w:val="2"/>
        <w:wordWrap w:val="0"/>
        <w:spacing w:after="0" w:line="360" w:lineRule="auto"/>
        <w:ind w:left="0" w:leftChars="0" w:firstLine="0" w:firstLineChars="0"/>
        <w:rPr>
          <w:rFonts w:hint="eastAsia" w:ascii="黑体" w:hAnsi="黑体" w:eastAsia="黑体" w:cs="黑体"/>
          <w:kern w:val="0"/>
          <w:sz w:val="28"/>
          <w:szCs w:val="28"/>
        </w:rPr>
      </w:pPr>
      <w:r>
        <w:rPr>
          <w:rFonts w:hint="eastAsia" w:ascii="黑体" w:hAnsi="黑体" w:eastAsia="黑体" w:cs="黑体"/>
          <w:kern w:val="0"/>
          <w:sz w:val="28"/>
          <w:szCs w:val="28"/>
        </w:rPr>
        <w:t>1-6、单位负责人为同一人或者存在直接控股、管理关系的不同供应商，不得参加同一合同项下的政府采购活动的承诺函</w:t>
      </w:r>
    </w:p>
    <w:p w14:paraId="4851B475">
      <w:pPr>
        <w:pStyle w:val="2"/>
        <w:spacing w:after="0" w:line="360" w:lineRule="auto"/>
        <w:ind w:left="0" w:leftChars="0" w:firstLine="0" w:firstLineChars="0"/>
        <w:rPr>
          <w:rFonts w:hint="eastAsia" w:ascii="黑体" w:hAnsi="黑体" w:eastAsia="黑体" w:cs="黑体"/>
          <w:kern w:val="0"/>
          <w:sz w:val="28"/>
          <w:szCs w:val="28"/>
        </w:rPr>
      </w:pPr>
      <w:r>
        <w:rPr>
          <w:rFonts w:hint="eastAsia" w:ascii="黑体" w:hAnsi="黑体" w:eastAsia="黑体" w:cs="黑体"/>
          <w:kern w:val="0"/>
          <w:sz w:val="28"/>
          <w:szCs w:val="28"/>
        </w:rPr>
        <w:t>2.中小企业声明函</w:t>
      </w:r>
    </w:p>
    <w:p w14:paraId="0184D482">
      <w:pPr>
        <w:pStyle w:val="2"/>
        <w:spacing w:after="0" w:line="360" w:lineRule="auto"/>
        <w:ind w:left="0" w:leftChars="0" w:firstLine="0" w:firstLineChars="0"/>
        <w:rPr>
          <w:rFonts w:hint="eastAsia" w:ascii="黑体" w:hAnsi="黑体" w:eastAsia="黑体" w:cs="黑体"/>
          <w:kern w:val="0"/>
          <w:sz w:val="28"/>
          <w:szCs w:val="28"/>
        </w:rPr>
      </w:pPr>
      <w:r>
        <w:rPr>
          <w:rFonts w:hint="eastAsia" w:ascii="黑体" w:hAnsi="黑体" w:eastAsia="黑体" w:cs="黑体"/>
          <w:kern w:val="0"/>
          <w:sz w:val="28"/>
          <w:szCs w:val="28"/>
        </w:rPr>
        <w:t>2-1  供应商为中小企业声明函</w:t>
      </w:r>
    </w:p>
    <w:p w14:paraId="5FD93732">
      <w:pPr>
        <w:pStyle w:val="2"/>
        <w:spacing w:after="0" w:line="360" w:lineRule="auto"/>
        <w:ind w:left="0" w:leftChars="0" w:firstLine="0" w:firstLineChars="0"/>
        <w:rPr>
          <w:rFonts w:hint="eastAsia" w:ascii="黑体" w:hAnsi="黑体" w:eastAsia="黑体" w:cs="黑体"/>
          <w:kern w:val="0"/>
          <w:sz w:val="28"/>
          <w:szCs w:val="28"/>
        </w:rPr>
      </w:pPr>
      <w:r>
        <w:rPr>
          <w:rFonts w:hint="eastAsia" w:ascii="黑体" w:hAnsi="黑体" w:eastAsia="黑体" w:cs="黑体"/>
          <w:kern w:val="0"/>
          <w:sz w:val="28"/>
          <w:szCs w:val="28"/>
        </w:rPr>
        <w:t>2-2  供应商为监狱企业声明函</w:t>
      </w:r>
    </w:p>
    <w:p w14:paraId="2B276D4E">
      <w:pPr>
        <w:pStyle w:val="2"/>
        <w:wordWrap w:val="0"/>
        <w:spacing w:after="0" w:line="360" w:lineRule="auto"/>
        <w:ind w:left="0" w:leftChars="0" w:firstLine="0" w:firstLineChars="0"/>
        <w:rPr>
          <w:rFonts w:hint="eastAsia" w:ascii="黑体" w:hAnsi="黑体" w:eastAsia="黑体" w:cs="黑体"/>
          <w:kern w:val="0"/>
          <w:sz w:val="28"/>
          <w:szCs w:val="28"/>
        </w:rPr>
      </w:pPr>
      <w:r>
        <w:rPr>
          <w:rFonts w:hint="eastAsia" w:ascii="黑体" w:hAnsi="黑体" w:eastAsia="黑体" w:cs="黑体"/>
          <w:kern w:val="0"/>
          <w:sz w:val="28"/>
          <w:szCs w:val="28"/>
        </w:rPr>
        <w:t>2-3  供应商为残疾人福利性单位声明函</w:t>
      </w:r>
    </w:p>
    <w:p w14:paraId="22991D1C">
      <w:pPr>
        <w:pStyle w:val="2"/>
        <w:wordWrap w:val="0"/>
        <w:spacing w:after="0" w:line="360" w:lineRule="auto"/>
        <w:ind w:left="0" w:leftChars="0" w:firstLine="0" w:firstLineChars="0"/>
        <w:rPr>
          <w:rFonts w:hint="eastAsia" w:ascii="黑体" w:hAnsi="黑体" w:eastAsia="黑体" w:cs="黑体"/>
          <w:kern w:val="0"/>
          <w:sz w:val="28"/>
          <w:szCs w:val="28"/>
        </w:rPr>
      </w:pPr>
      <w:r>
        <w:rPr>
          <w:rFonts w:hint="eastAsia" w:ascii="黑体" w:hAnsi="黑体" w:eastAsia="黑体" w:cs="黑体"/>
          <w:kern w:val="0"/>
          <w:sz w:val="28"/>
          <w:szCs w:val="28"/>
        </w:rPr>
        <w:t>3.本项目的特定资格要求需提供资料</w:t>
      </w:r>
    </w:p>
    <w:p w14:paraId="66FE717E">
      <w:pPr>
        <w:wordWrap w:val="0"/>
        <w:spacing w:line="360" w:lineRule="auto"/>
        <w:rPr>
          <w:rFonts w:hint="eastAsia" w:ascii="宋体" w:hAnsi="宋体"/>
          <w:sz w:val="24"/>
        </w:rPr>
      </w:pPr>
    </w:p>
    <w:p w14:paraId="4A54E310">
      <w:pPr>
        <w:wordWrap w:val="0"/>
      </w:pPr>
    </w:p>
    <w:p w14:paraId="3597B30E">
      <w:pPr>
        <w:wordWrap w:val="0"/>
      </w:pPr>
    </w:p>
    <w:p w14:paraId="17BCFC8D">
      <w:pPr>
        <w:wordWrap w:val="0"/>
      </w:pPr>
    </w:p>
    <w:p w14:paraId="4831663E">
      <w:pPr>
        <w:wordWrap w:val="0"/>
      </w:pPr>
    </w:p>
    <w:p w14:paraId="2A2C3B21">
      <w:pPr>
        <w:wordWrap w:val="0"/>
        <w:jc w:val="left"/>
        <w:rPr>
          <w:sz w:val="24"/>
        </w:rPr>
      </w:pPr>
      <w:r>
        <w:rPr>
          <w:rFonts w:hint="eastAsia"/>
          <w:sz w:val="24"/>
        </w:rPr>
        <w:t>注：目录需根据响应文件编制内容添加详细页码。</w:t>
      </w:r>
      <w:r>
        <w:rPr>
          <w:rFonts w:hint="eastAsia"/>
          <w:sz w:val="24"/>
        </w:rPr>
        <w:br w:type="page"/>
      </w:r>
    </w:p>
    <w:p w14:paraId="7DE53C53">
      <w:pPr>
        <w:wordWrap w:val="0"/>
        <w:spacing w:line="360" w:lineRule="auto"/>
        <w:rPr>
          <w:rFonts w:hint="eastAsia" w:ascii="宋体" w:hAnsi="宋体"/>
          <w:sz w:val="24"/>
        </w:rPr>
      </w:pPr>
    </w:p>
    <w:p w14:paraId="5E482619">
      <w:pPr>
        <w:pStyle w:val="7"/>
        <w:widowControl/>
        <w:wordWrap w:val="0"/>
        <w:spacing w:before="120" w:beforeLines="50"/>
        <w:jc w:val="center"/>
        <w:rPr>
          <w:rFonts w:hint="eastAsia" w:ascii="黑体" w:hAnsi="黑体"/>
          <w:sz w:val="24"/>
        </w:rPr>
      </w:pPr>
      <w:bookmarkStart w:id="628" w:name="_Toc15048343"/>
      <w:bookmarkStart w:id="629" w:name="_Toc515647813"/>
      <w:bookmarkStart w:id="630" w:name="_Toc532473502"/>
      <w:bookmarkStart w:id="631" w:name="_Toc29703"/>
      <w:bookmarkStart w:id="632" w:name="_Toc17207"/>
      <w:bookmarkStart w:id="633" w:name="_Toc16386"/>
      <w:bookmarkStart w:id="634" w:name="_Toc12745"/>
      <w:r>
        <w:rPr>
          <w:rFonts w:hint="eastAsia" w:ascii="黑体" w:hAnsi="黑体" w:cs="黑体"/>
          <w:b w:val="0"/>
          <w:bCs w:val="0"/>
          <w:kern w:val="0"/>
          <w:sz w:val="28"/>
          <w:szCs w:val="28"/>
        </w:rPr>
        <w:t>1.</w:t>
      </w:r>
      <w:bookmarkEnd w:id="628"/>
      <w:bookmarkEnd w:id="629"/>
      <w:bookmarkEnd w:id="630"/>
      <w:bookmarkEnd w:id="631"/>
      <w:bookmarkEnd w:id="632"/>
      <w:r>
        <w:rPr>
          <w:rFonts w:hint="eastAsia" w:ascii="黑体" w:hAnsi="黑体" w:cs="黑体"/>
          <w:b w:val="0"/>
          <w:bCs w:val="0"/>
          <w:kern w:val="0"/>
          <w:sz w:val="28"/>
          <w:szCs w:val="28"/>
        </w:rPr>
        <w:t>供应商须知前附表要求的资格证明文件</w:t>
      </w:r>
      <w:bookmarkEnd w:id="633"/>
      <w:bookmarkEnd w:id="634"/>
    </w:p>
    <w:p w14:paraId="10EA874B">
      <w:pPr>
        <w:pStyle w:val="7"/>
        <w:widowControl/>
        <w:wordWrap w:val="0"/>
        <w:jc w:val="center"/>
        <w:rPr>
          <w:rFonts w:hint="eastAsia" w:ascii="黑体" w:hAnsi="黑体"/>
          <w:b w:val="0"/>
          <w:sz w:val="28"/>
          <w:szCs w:val="28"/>
        </w:rPr>
      </w:pPr>
      <w:bookmarkStart w:id="635" w:name="_Toc515647805"/>
      <w:bookmarkStart w:id="636" w:name="_Toc17577"/>
      <w:bookmarkStart w:id="637" w:name="_Toc29535"/>
      <w:bookmarkStart w:id="638" w:name="_Toc532473496"/>
      <w:bookmarkStart w:id="639" w:name="_Toc15048336"/>
      <w:bookmarkStart w:id="640" w:name="_Toc19427"/>
      <w:bookmarkStart w:id="641" w:name="_Toc29899"/>
      <w:r>
        <w:rPr>
          <w:rFonts w:hint="eastAsia" w:ascii="黑体" w:hAnsi="黑体" w:cs="黑体"/>
          <w:b w:val="0"/>
          <w:bCs w:val="0"/>
          <w:kern w:val="0"/>
          <w:sz w:val="28"/>
          <w:szCs w:val="28"/>
        </w:rPr>
        <w:t>1-1、法人或者非法人组织的营业执照或其他证明文件</w:t>
      </w:r>
      <w:bookmarkEnd w:id="635"/>
      <w:bookmarkStart w:id="642" w:name="_Toc515647806"/>
      <w:r>
        <w:rPr>
          <w:rFonts w:hint="eastAsia" w:ascii="黑体" w:hAnsi="黑体" w:cs="黑体"/>
          <w:b w:val="0"/>
          <w:bCs w:val="0"/>
          <w:kern w:val="0"/>
          <w:sz w:val="28"/>
          <w:szCs w:val="28"/>
        </w:rPr>
        <w:t>或自然人的身份证明</w:t>
      </w:r>
      <w:bookmarkEnd w:id="636"/>
      <w:bookmarkEnd w:id="637"/>
      <w:bookmarkEnd w:id="638"/>
      <w:bookmarkEnd w:id="639"/>
      <w:bookmarkEnd w:id="640"/>
      <w:bookmarkEnd w:id="641"/>
      <w:bookmarkEnd w:id="642"/>
    </w:p>
    <w:p w14:paraId="1055058A">
      <w:pPr>
        <w:pStyle w:val="26"/>
        <w:tabs>
          <w:tab w:val="left" w:pos="5580"/>
        </w:tabs>
        <w:wordWrap w:val="0"/>
        <w:spacing w:line="360" w:lineRule="auto"/>
        <w:ind w:left="269" w:leftChars="128"/>
        <w:rPr>
          <w:rFonts w:hint="eastAsia" w:hAnsi="宋体"/>
          <w:b/>
          <w:sz w:val="24"/>
        </w:rPr>
      </w:pPr>
    </w:p>
    <w:p w14:paraId="28C248F0">
      <w:pPr>
        <w:wordWrap w:val="0"/>
        <w:spacing w:line="360" w:lineRule="auto"/>
        <w:ind w:firstLine="560" w:firstLineChars="200"/>
        <w:rPr>
          <w:rFonts w:hint="eastAsia" w:ascii="黑体" w:hAnsi="黑体" w:eastAsia="黑体"/>
          <w:sz w:val="28"/>
          <w:szCs w:val="28"/>
        </w:rPr>
      </w:pPr>
      <w:r>
        <w:rPr>
          <w:rFonts w:hint="eastAsia" w:ascii="黑体" w:hAnsi="黑体" w:eastAsia="黑体"/>
          <w:sz w:val="28"/>
          <w:szCs w:val="28"/>
        </w:rPr>
        <w:t>供应商应提供资料：</w:t>
      </w:r>
    </w:p>
    <w:p w14:paraId="4074F5CE">
      <w:pPr>
        <w:pStyle w:val="26"/>
        <w:tabs>
          <w:tab w:val="left" w:pos="5580"/>
        </w:tabs>
        <w:wordWrap w:val="0"/>
        <w:spacing w:line="360" w:lineRule="auto"/>
        <w:ind w:left="1080" w:leftChars="257" w:hanging="540"/>
        <w:rPr>
          <w:rFonts w:hint="eastAsia" w:hAnsi="宋体"/>
          <w:sz w:val="24"/>
        </w:rPr>
      </w:pPr>
      <w:r>
        <w:rPr>
          <w:rFonts w:hint="eastAsia" w:hAnsi="宋体"/>
          <w:sz w:val="24"/>
        </w:rPr>
        <w:t>1.提供有效的营业执照或其他证明文件的复印件，</w:t>
      </w:r>
      <w:r>
        <w:rPr>
          <w:rFonts w:hint="eastAsia" w:ascii="Calibri" w:hAnsi="Calibri"/>
          <w:sz w:val="24"/>
        </w:rPr>
        <w:t>加盖公章</w:t>
      </w:r>
      <w:r>
        <w:rPr>
          <w:rFonts w:hint="eastAsia" w:hAnsi="宋体"/>
          <w:sz w:val="24"/>
        </w:rPr>
        <w:t>。</w:t>
      </w:r>
    </w:p>
    <w:p w14:paraId="6206B8C6">
      <w:pPr>
        <w:pStyle w:val="26"/>
        <w:tabs>
          <w:tab w:val="left" w:pos="5580"/>
        </w:tabs>
        <w:wordWrap w:val="0"/>
        <w:spacing w:line="360" w:lineRule="auto"/>
        <w:ind w:left="1080" w:leftChars="257" w:hanging="540"/>
        <w:rPr>
          <w:rFonts w:hint="eastAsia" w:hAnsi="宋体"/>
          <w:sz w:val="24"/>
        </w:rPr>
      </w:pPr>
      <w:r>
        <w:rPr>
          <w:rFonts w:hint="eastAsia" w:hAnsi="宋体"/>
          <w:sz w:val="24"/>
        </w:rPr>
        <w:t>2.供应商为自然人的，应提供身份证明的复印件，</w:t>
      </w:r>
      <w:r>
        <w:rPr>
          <w:rFonts w:hint="eastAsia" w:ascii="Calibri" w:hAnsi="Calibri"/>
          <w:sz w:val="24"/>
        </w:rPr>
        <w:t>加盖公章</w:t>
      </w:r>
      <w:r>
        <w:rPr>
          <w:rFonts w:hint="eastAsia" w:hAnsi="宋体"/>
          <w:sz w:val="24"/>
        </w:rPr>
        <w:t>。</w:t>
      </w:r>
    </w:p>
    <w:p w14:paraId="36EB7513">
      <w:pPr>
        <w:wordWrap w:val="0"/>
        <w:spacing w:line="360" w:lineRule="auto"/>
        <w:rPr>
          <w:rFonts w:hint="eastAsia" w:ascii="宋体" w:hAnsi="宋体"/>
          <w:sz w:val="24"/>
        </w:rPr>
      </w:pPr>
    </w:p>
    <w:p w14:paraId="01F71806">
      <w:pPr>
        <w:wordWrap w:val="0"/>
        <w:spacing w:line="360" w:lineRule="auto"/>
        <w:rPr>
          <w:rFonts w:hint="eastAsia" w:ascii="宋体" w:hAnsi="宋体"/>
          <w:sz w:val="24"/>
        </w:rPr>
      </w:pPr>
    </w:p>
    <w:p w14:paraId="7F61418B">
      <w:pPr>
        <w:wordWrap w:val="0"/>
        <w:spacing w:line="360" w:lineRule="auto"/>
        <w:rPr>
          <w:rFonts w:hint="eastAsia" w:ascii="宋体" w:hAnsi="宋体"/>
          <w:sz w:val="24"/>
        </w:rPr>
      </w:pPr>
    </w:p>
    <w:p w14:paraId="511C6783">
      <w:pPr>
        <w:wordWrap w:val="0"/>
        <w:spacing w:line="360" w:lineRule="auto"/>
        <w:rPr>
          <w:rFonts w:hint="eastAsia" w:ascii="宋体" w:hAnsi="宋体"/>
          <w:sz w:val="24"/>
        </w:rPr>
      </w:pPr>
    </w:p>
    <w:p w14:paraId="49BBDA4A">
      <w:pPr>
        <w:wordWrap w:val="0"/>
        <w:rPr>
          <w:rFonts w:hint="eastAsia" w:ascii="宋体" w:hAnsi="宋体"/>
          <w:sz w:val="24"/>
        </w:rPr>
      </w:pPr>
    </w:p>
    <w:p w14:paraId="46B23095">
      <w:pPr>
        <w:pStyle w:val="7"/>
        <w:widowControl/>
        <w:wordWrap w:val="0"/>
        <w:jc w:val="center"/>
        <w:rPr>
          <w:rFonts w:hint="eastAsia" w:ascii="黑体" w:hAnsi="黑体" w:cs="黑体"/>
          <w:b w:val="0"/>
          <w:bCs w:val="0"/>
          <w:kern w:val="0"/>
          <w:sz w:val="28"/>
          <w:szCs w:val="28"/>
        </w:rPr>
      </w:pPr>
      <w:bookmarkStart w:id="643" w:name="_Toc166085761"/>
      <w:bookmarkStart w:id="644" w:name="_Toc14625"/>
      <w:bookmarkStart w:id="645" w:name="_Toc16984"/>
      <w:r>
        <w:rPr>
          <w:rFonts w:hint="eastAsia" w:ascii="黑体" w:hAnsi="黑体" w:cs="黑体"/>
          <w:b w:val="0"/>
          <w:bCs w:val="0"/>
          <w:kern w:val="0"/>
          <w:sz w:val="28"/>
          <w:szCs w:val="28"/>
        </w:rPr>
        <w:t>1-2、</w:t>
      </w:r>
      <w:bookmarkEnd w:id="643"/>
      <w:bookmarkEnd w:id="644"/>
      <w:r>
        <w:rPr>
          <w:rFonts w:hint="eastAsia" w:ascii="黑体" w:hAnsi="黑体" w:cs="黑体"/>
          <w:b w:val="0"/>
          <w:bCs w:val="0"/>
          <w:kern w:val="0"/>
          <w:sz w:val="28"/>
          <w:szCs w:val="28"/>
        </w:rPr>
        <w:t>财务状况报告或资信证明或担保函</w:t>
      </w:r>
      <w:bookmarkEnd w:id="645"/>
    </w:p>
    <w:p w14:paraId="3CFEACF4">
      <w:pPr>
        <w:wordWrap w:val="0"/>
        <w:spacing w:line="360" w:lineRule="auto"/>
        <w:ind w:firstLine="480" w:firstLineChars="200"/>
        <w:rPr>
          <w:rFonts w:hint="eastAsia" w:ascii="宋体" w:hAnsi="宋体"/>
          <w:sz w:val="24"/>
        </w:rPr>
      </w:pPr>
      <w:r>
        <w:rPr>
          <w:rFonts w:hint="eastAsia" w:ascii="宋体" w:hAnsi="宋体"/>
          <w:sz w:val="24"/>
        </w:rPr>
        <w:t>供应商应提供的资料：</w:t>
      </w:r>
    </w:p>
    <w:p w14:paraId="113DEAE7">
      <w:pPr>
        <w:wordWrap w:val="0"/>
        <w:adjustRightInd w:val="0"/>
        <w:snapToGrid w:val="0"/>
        <w:spacing w:line="360" w:lineRule="auto"/>
        <w:ind w:firstLine="480" w:firstLineChars="200"/>
        <w:rPr>
          <w:rFonts w:hint="eastAsia" w:ascii="宋体" w:hAnsi="宋体"/>
          <w:sz w:val="24"/>
        </w:rPr>
      </w:pPr>
      <w:r>
        <w:rPr>
          <w:rFonts w:hint="eastAsia" w:ascii="宋体" w:hAnsi="宋体"/>
          <w:sz w:val="24"/>
        </w:rPr>
        <w:t>1.提供2025年度经审计的财务报告（财务审计报告应具有2名及以上注册会计师盖章和签字）复印件或银行出具的资信证明或财政部门认可的政府采购专业担保机构出具的担保函，复印件加盖</w:t>
      </w:r>
      <w:r>
        <w:rPr>
          <w:rFonts w:hint="eastAsia" w:ascii="Calibri" w:hAnsi="Calibri"/>
          <w:sz w:val="24"/>
        </w:rPr>
        <w:t>公章</w:t>
      </w:r>
      <w:r>
        <w:rPr>
          <w:rFonts w:hint="eastAsia" w:ascii="宋体" w:hAnsi="宋体" w:cs="宋体"/>
          <w:sz w:val="24"/>
        </w:rPr>
        <w:t>。</w:t>
      </w:r>
    </w:p>
    <w:p w14:paraId="0F6966BA">
      <w:pPr>
        <w:wordWrap w:val="0"/>
        <w:spacing w:line="360" w:lineRule="auto"/>
        <w:ind w:firstLine="480" w:firstLineChars="200"/>
        <w:rPr>
          <w:rFonts w:hint="eastAsia" w:ascii="宋体" w:hAnsi="宋体"/>
          <w:sz w:val="24"/>
        </w:rPr>
      </w:pPr>
      <w:r>
        <w:rPr>
          <w:rFonts w:hint="eastAsia" w:ascii="宋体" w:hAnsi="宋体"/>
          <w:sz w:val="24"/>
        </w:rPr>
        <w:t>说明：参考《财政部关于注册会计师在审计报告上签名盖章有关问题的通知》（财会〔2001〕1035号）规定，审计报告应当由两名具备相关业务资格的注册会计师签名盖章并经会计师事务所盖章方为有效。</w:t>
      </w:r>
    </w:p>
    <w:p w14:paraId="5996B9FF">
      <w:pPr>
        <w:wordWrap w:val="0"/>
        <w:spacing w:line="360" w:lineRule="auto"/>
        <w:rPr>
          <w:rFonts w:hint="eastAsia" w:ascii="宋体" w:hAnsi="宋体"/>
        </w:rPr>
      </w:pPr>
    </w:p>
    <w:p w14:paraId="066A4FF8">
      <w:pPr>
        <w:wordWrap w:val="0"/>
        <w:spacing w:line="360" w:lineRule="auto"/>
        <w:rPr>
          <w:rFonts w:hint="eastAsia" w:ascii="宋体" w:hAnsi="宋体"/>
        </w:rPr>
      </w:pPr>
    </w:p>
    <w:p w14:paraId="378A98E3">
      <w:pPr>
        <w:wordWrap w:val="0"/>
        <w:spacing w:line="360" w:lineRule="auto"/>
        <w:rPr>
          <w:rFonts w:hint="eastAsia" w:ascii="宋体" w:hAnsi="宋体"/>
        </w:rPr>
      </w:pPr>
    </w:p>
    <w:p w14:paraId="5B18145B">
      <w:pPr>
        <w:rPr>
          <w:rFonts w:hint="eastAsia" w:ascii="黑体" w:hAnsi="黑体" w:cs="黑体"/>
          <w:kern w:val="0"/>
          <w:sz w:val="28"/>
          <w:szCs w:val="28"/>
        </w:rPr>
      </w:pPr>
      <w:bookmarkStart w:id="646" w:name="_Toc8950"/>
      <w:r>
        <w:rPr>
          <w:rFonts w:hint="eastAsia" w:ascii="黑体" w:hAnsi="黑体" w:cs="黑体"/>
          <w:kern w:val="0"/>
          <w:sz w:val="28"/>
          <w:szCs w:val="28"/>
        </w:rPr>
        <w:br w:type="page"/>
      </w:r>
    </w:p>
    <w:p w14:paraId="45D1C35F">
      <w:pPr>
        <w:pStyle w:val="7"/>
        <w:widowControl/>
        <w:wordWrap w:val="0"/>
        <w:jc w:val="center"/>
        <w:rPr>
          <w:rFonts w:hint="eastAsia" w:ascii="黑体" w:hAnsi="黑体"/>
          <w:sz w:val="24"/>
        </w:rPr>
      </w:pPr>
      <w:bookmarkStart w:id="647" w:name="_Toc9712"/>
      <w:r>
        <w:rPr>
          <w:rFonts w:hint="eastAsia" w:ascii="黑体" w:hAnsi="黑体" w:cs="黑体"/>
          <w:b w:val="0"/>
          <w:bCs w:val="0"/>
          <w:kern w:val="0"/>
          <w:sz w:val="28"/>
          <w:szCs w:val="28"/>
        </w:rPr>
        <w:t>1-3、具备履行合同所必需的设备和专业技术能力的承诺函</w:t>
      </w:r>
      <w:bookmarkEnd w:id="646"/>
      <w:bookmarkEnd w:id="647"/>
    </w:p>
    <w:p w14:paraId="1B40E4F6">
      <w:pPr>
        <w:pStyle w:val="7"/>
        <w:widowControl/>
        <w:wordWrap w:val="0"/>
        <w:jc w:val="center"/>
        <w:rPr>
          <w:rFonts w:hint="eastAsia" w:ascii="宋体" w:hAnsi="宋体" w:eastAsia="宋体"/>
          <w:sz w:val="24"/>
        </w:rPr>
      </w:pPr>
      <w:bookmarkStart w:id="648" w:name="_Toc9873"/>
      <w:bookmarkStart w:id="649" w:name="_Toc25659"/>
      <w:r>
        <w:rPr>
          <w:rFonts w:hint="eastAsia" w:ascii="黑体" w:hAnsi="黑体" w:cs="黑体"/>
          <w:b w:val="0"/>
          <w:bCs w:val="0"/>
          <w:kern w:val="0"/>
          <w:sz w:val="28"/>
          <w:szCs w:val="28"/>
        </w:rPr>
        <w:t>承诺函</w:t>
      </w:r>
      <w:bookmarkEnd w:id="648"/>
      <w:bookmarkEnd w:id="649"/>
    </w:p>
    <w:p w14:paraId="239C75DB">
      <w:pPr>
        <w:pStyle w:val="3"/>
        <w:wordWrap w:val="0"/>
        <w:spacing w:line="360" w:lineRule="auto"/>
        <w:jc w:val="left"/>
        <w:rPr>
          <w:rFonts w:hint="eastAsia" w:ascii="宋体" w:hAnsi="宋体"/>
          <w:sz w:val="24"/>
        </w:rPr>
      </w:pPr>
    </w:p>
    <w:p w14:paraId="446206C9">
      <w:pPr>
        <w:pStyle w:val="3"/>
        <w:wordWrap w:val="0"/>
        <w:spacing w:line="360" w:lineRule="auto"/>
        <w:jc w:val="left"/>
        <w:rPr>
          <w:rFonts w:hint="eastAsia" w:ascii="宋体" w:hAnsi="宋体"/>
          <w:sz w:val="24"/>
        </w:rPr>
      </w:pPr>
      <w:r>
        <w:rPr>
          <w:rFonts w:hint="eastAsia" w:ascii="宋体" w:hAnsi="宋体" w:cs="仿宋_GB2312"/>
          <w:sz w:val="24"/>
          <w:u w:val="single"/>
        </w:rPr>
        <w:t xml:space="preserve">致： （填写采购人名称） </w:t>
      </w:r>
      <w:r>
        <w:rPr>
          <w:rFonts w:hint="eastAsia" w:ascii="宋体" w:hAnsi="宋体" w:cs="仿宋_GB2312"/>
          <w:sz w:val="24"/>
        </w:rPr>
        <w:t xml:space="preserve"> </w:t>
      </w:r>
    </w:p>
    <w:p w14:paraId="7FAB17A5">
      <w:pPr>
        <w:pStyle w:val="3"/>
        <w:wordWrap w:val="0"/>
        <w:spacing w:line="360" w:lineRule="auto"/>
        <w:ind w:firstLine="480" w:firstLineChars="200"/>
        <w:jc w:val="left"/>
        <w:rPr>
          <w:rFonts w:hint="eastAsia" w:ascii="宋体" w:hAnsi="宋体"/>
          <w:sz w:val="24"/>
        </w:rPr>
      </w:pPr>
      <w:r>
        <w:rPr>
          <w:rFonts w:hint="eastAsia" w:ascii="宋体" w:hAnsi="宋体"/>
          <w:sz w:val="24"/>
        </w:rPr>
        <w:t>我单位参加本次采购活动，承诺具备履行本项目合同所必需的设备和专业技术能力。</w:t>
      </w:r>
    </w:p>
    <w:p w14:paraId="61B711D8">
      <w:pPr>
        <w:pStyle w:val="46"/>
        <w:wordWrap w:val="0"/>
      </w:pPr>
    </w:p>
    <w:p w14:paraId="473483E1">
      <w:pPr>
        <w:wordWrap w:val="0"/>
        <w:spacing w:line="360" w:lineRule="auto"/>
        <w:ind w:firstLine="960" w:firstLineChars="400"/>
        <w:rPr>
          <w:rFonts w:hint="eastAsia" w:ascii="宋体" w:hAnsi="宋体"/>
          <w:sz w:val="24"/>
        </w:rPr>
      </w:pPr>
      <w:r>
        <w:rPr>
          <w:rFonts w:hint="eastAsia" w:ascii="宋体" w:hAnsi="宋体"/>
          <w:sz w:val="24"/>
        </w:rPr>
        <w:t>供应商：</w:t>
      </w:r>
      <w:r>
        <w:rPr>
          <w:rFonts w:ascii="宋体" w:hAnsi="宋体"/>
          <w:sz w:val="24"/>
          <w:u w:val="single"/>
        </w:rPr>
        <w:t xml:space="preserve">                            </w:t>
      </w:r>
      <w:r>
        <w:rPr>
          <w:rFonts w:hint="eastAsia" w:ascii="宋体" w:hAnsi="宋体"/>
          <w:sz w:val="24"/>
        </w:rPr>
        <w:t>（加盖单位公章）</w:t>
      </w:r>
    </w:p>
    <w:p w14:paraId="44B4249B">
      <w:pPr>
        <w:pStyle w:val="46"/>
        <w:wordWrap w:val="0"/>
        <w:ind w:firstLine="960" w:firstLineChars="400"/>
        <w:rPr>
          <w:rFonts w:hint="eastAsia" w:ascii="宋体" w:hAnsi="宋体" w:eastAsia="宋体" w:cs="宋体"/>
          <w:sz w:val="24"/>
          <w:szCs w:val="24"/>
        </w:rPr>
      </w:pPr>
      <w:r>
        <w:rPr>
          <w:rFonts w:hint="eastAsia" w:ascii="宋体" w:hAnsi="宋体" w:eastAsia="宋体" w:cs="宋体"/>
          <w:sz w:val="24"/>
          <w:szCs w:val="24"/>
        </w:rPr>
        <w:t xml:space="preserve">日  期： </w:t>
      </w:r>
      <w:r>
        <w:rPr>
          <w:rFonts w:ascii="宋体" w:hAnsi="宋体" w:eastAsia="宋体" w:cs="宋体"/>
          <w:sz w:val="24"/>
          <w:szCs w:val="24"/>
        </w:rPr>
        <w:t xml:space="preserve">   </w:t>
      </w:r>
      <w:r>
        <w:rPr>
          <w:rFonts w:hint="eastAsia" w:ascii="宋体" w:hAnsi="宋体" w:eastAsia="宋体" w:cs="宋体"/>
          <w:sz w:val="24"/>
          <w:szCs w:val="24"/>
        </w:rPr>
        <w:t>年</w:t>
      </w:r>
      <w:r>
        <w:rPr>
          <w:rFonts w:ascii="宋体" w:hAnsi="宋体" w:eastAsia="宋体" w:cs="宋体"/>
          <w:sz w:val="24"/>
          <w:szCs w:val="24"/>
        </w:rPr>
        <w:t xml:space="preserve">   </w:t>
      </w:r>
      <w:r>
        <w:rPr>
          <w:rFonts w:hint="eastAsia" w:ascii="宋体" w:hAnsi="宋体" w:eastAsia="宋体" w:cs="宋体"/>
          <w:sz w:val="24"/>
          <w:szCs w:val="24"/>
        </w:rPr>
        <w:t>月</w:t>
      </w:r>
      <w:r>
        <w:rPr>
          <w:rFonts w:ascii="宋体" w:hAnsi="宋体" w:eastAsia="宋体" w:cs="宋体"/>
          <w:sz w:val="24"/>
          <w:szCs w:val="24"/>
        </w:rPr>
        <w:t xml:space="preserve">   </w:t>
      </w:r>
      <w:r>
        <w:rPr>
          <w:rFonts w:hint="eastAsia" w:ascii="宋体" w:hAnsi="宋体" w:eastAsia="宋体" w:cs="宋体"/>
          <w:sz w:val="24"/>
          <w:szCs w:val="24"/>
        </w:rPr>
        <w:t>日</w:t>
      </w:r>
    </w:p>
    <w:p w14:paraId="4DED2E4B">
      <w:pPr>
        <w:wordWrap w:val="0"/>
        <w:spacing w:line="360" w:lineRule="auto"/>
        <w:rPr>
          <w:rFonts w:hint="eastAsia" w:ascii="宋体" w:hAnsi="宋体"/>
          <w:sz w:val="24"/>
        </w:rPr>
      </w:pPr>
    </w:p>
    <w:p w14:paraId="1F15C0E0">
      <w:pPr>
        <w:wordWrap w:val="0"/>
        <w:spacing w:line="360" w:lineRule="auto"/>
        <w:rPr>
          <w:rFonts w:hint="eastAsia" w:ascii="宋体" w:hAnsi="宋体"/>
          <w:sz w:val="24"/>
        </w:rPr>
      </w:pPr>
    </w:p>
    <w:p w14:paraId="20950BBF">
      <w:pPr>
        <w:wordWrap w:val="0"/>
        <w:spacing w:line="360" w:lineRule="auto"/>
        <w:rPr>
          <w:rFonts w:hint="eastAsia" w:ascii="宋体" w:hAnsi="宋体"/>
          <w:sz w:val="24"/>
        </w:rPr>
      </w:pPr>
    </w:p>
    <w:p w14:paraId="10F064F9">
      <w:pPr>
        <w:wordWrap w:val="0"/>
        <w:spacing w:line="360" w:lineRule="auto"/>
        <w:rPr>
          <w:rFonts w:hint="eastAsia" w:ascii="宋体" w:hAnsi="宋体"/>
          <w:sz w:val="24"/>
        </w:rPr>
      </w:pPr>
    </w:p>
    <w:p w14:paraId="715E5BFA">
      <w:pPr>
        <w:pStyle w:val="7"/>
        <w:widowControl/>
        <w:wordWrap w:val="0"/>
        <w:jc w:val="center"/>
        <w:rPr>
          <w:rFonts w:hint="eastAsia" w:ascii="黑体" w:hAnsi="黑体"/>
          <w:sz w:val="24"/>
        </w:rPr>
      </w:pPr>
      <w:bookmarkStart w:id="650" w:name="_Toc10700"/>
      <w:bookmarkStart w:id="651" w:name="_Toc2980"/>
      <w:bookmarkStart w:id="652" w:name="_Toc164701844"/>
      <w:r>
        <w:rPr>
          <w:rFonts w:hint="eastAsia" w:ascii="黑体" w:hAnsi="黑体" w:cs="黑体"/>
          <w:b w:val="0"/>
          <w:bCs w:val="0"/>
          <w:kern w:val="0"/>
          <w:sz w:val="28"/>
          <w:szCs w:val="28"/>
        </w:rPr>
        <w:t>1-4、依法缴纳税收和社会保障资金的记录</w:t>
      </w:r>
      <w:bookmarkEnd w:id="650"/>
      <w:bookmarkEnd w:id="651"/>
      <w:bookmarkEnd w:id="652"/>
    </w:p>
    <w:p w14:paraId="4BFB7683">
      <w:pPr>
        <w:wordWrap w:val="0"/>
        <w:spacing w:line="360" w:lineRule="auto"/>
        <w:ind w:firstLine="480" w:firstLineChars="200"/>
        <w:rPr>
          <w:rFonts w:hint="eastAsia" w:ascii="宋体" w:hAnsi="宋体"/>
          <w:sz w:val="24"/>
        </w:rPr>
      </w:pPr>
      <w:r>
        <w:rPr>
          <w:rFonts w:hint="eastAsia" w:ascii="宋体" w:hAnsi="宋体"/>
          <w:sz w:val="24"/>
        </w:rPr>
        <w:t>供应商应提供资料：</w:t>
      </w:r>
    </w:p>
    <w:p w14:paraId="08FE60A0">
      <w:pPr>
        <w:wordWrap w:val="0"/>
        <w:spacing w:line="360" w:lineRule="auto"/>
        <w:ind w:firstLine="480" w:firstLineChars="200"/>
        <w:rPr>
          <w:rFonts w:hint="eastAsia" w:ascii="宋体" w:hAnsi="宋体"/>
          <w:sz w:val="24"/>
        </w:rPr>
      </w:pPr>
      <w:r>
        <w:rPr>
          <w:rFonts w:hint="eastAsia" w:ascii="宋体" w:hAnsi="宋体"/>
          <w:sz w:val="24"/>
        </w:rPr>
        <w:t>1.</w:t>
      </w:r>
      <w:bookmarkStart w:id="653" w:name="_Hlk218442217"/>
      <w:r>
        <w:rPr>
          <w:rFonts w:hint="eastAsia" w:ascii="宋体" w:hAnsi="宋体"/>
          <w:sz w:val="24"/>
        </w:rPr>
        <w:t>提供自2026年1月1日以来任意1个月依法缴纳税收和社会保障资金的相关证明材料复印件；依法免税或不需要缴纳社会保障资金的供应商应提供相应证明文件的复印件，加盖公章</w:t>
      </w:r>
      <w:r>
        <w:rPr>
          <w:rFonts w:hint="eastAsia" w:hAnsi="宋体"/>
          <w:sz w:val="24"/>
        </w:rPr>
        <w:t>。</w:t>
      </w:r>
    </w:p>
    <w:bookmarkEnd w:id="653"/>
    <w:p w14:paraId="21CD9638">
      <w:pPr>
        <w:wordWrap w:val="0"/>
        <w:spacing w:line="360" w:lineRule="auto"/>
        <w:rPr>
          <w:rFonts w:hint="eastAsia" w:ascii="宋体" w:hAnsi="宋体"/>
          <w:sz w:val="24"/>
        </w:rPr>
      </w:pPr>
    </w:p>
    <w:p w14:paraId="6708AFBE">
      <w:pPr>
        <w:wordWrap w:val="0"/>
        <w:spacing w:line="360" w:lineRule="auto"/>
        <w:rPr>
          <w:rFonts w:hint="eastAsia" w:ascii="宋体" w:hAnsi="宋体"/>
          <w:sz w:val="24"/>
        </w:rPr>
      </w:pPr>
    </w:p>
    <w:p w14:paraId="534AFE37">
      <w:pPr>
        <w:wordWrap w:val="0"/>
        <w:spacing w:line="360" w:lineRule="auto"/>
        <w:rPr>
          <w:rFonts w:hint="eastAsia" w:ascii="宋体" w:hAnsi="宋体"/>
          <w:sz w:val="24"/>
        </w:rPr>
      </w:pPr>
    </w:p>
    <w:p w14:paraId="7F0756EC">
      <w:pPr>
        <w:rPr>
          <w:rFonts w:hint="eastAsia" w:ascii="黑体" w:hAnsi="黑体" w:cs="黑体"/>
          <w:kern w:val="0"/>
          <w:sz w:val="28"/>
          <w:szCs w:val="28"/>
        </w:rPr>
      </w:pPr>
      <w:bookmarkStart w:id="654" w:name="_Toc221378231"/>
      <w:bookmarkStart w:id="655" w:name="_Toc27627"/>
      <w:bookmarkStart w:id="656" w:name="OLE_LINK29"/>
      <w:r>
        <w:rPr>
          <w:rFonts w:hint="eastAsia" w:ascii="黑体" w:hAnsi="黑体" w:cs="黑体"/>
          <w:kern w:val="0"/>
          <w:sz w:val="28"/>
          <w:szCs w:val="28"/>
        </w:rPr>
        <w:br w:type="page"/>
      </w:r>
    </w:p>
    <w:p w14:paraId="579E9EDC">
      <w:pPr>
        <w:pStyle w:val="7"/>
        <w:widowControl/>
        <w:wordWrap w:val="0"/>
        <w:spacing w:after="0"/>
        <w:jc w:val="center"/>
        <w:rPr>
          <w:rFonts w:hint="eastAsia" w:ascii="宋体" w:hAnsi="宋体" w:cs="黑体"/>
          <w:b w:val="0"/>
          <w:bCs w:val="0"/>
          <w:kern w:val="0"/>
          <w:sz w:val="28"/>
          <w:szCs w:val="28"/>
        </w:rPr>
      </w:pPr>
      <w:bookmarkStart w:id="657" w:name="_Toc11256"/>
      <w:r>
        <w:rPr>
          <w:rFonts w:hint="eastAsia" w:ascii="黑体" w:hAnsi="黑体" w:cs="黑体"/>
          <w:b w:val="0"/>
          <w:bCs w:val="0"/>
          <w:kern w:val="0"/>
          <w:sz w:val="28"/>
          <w:szCs w:val="28"/>
        </w:rPr>
        <w:t>1-5、</w:t>
      </w:r>
      <w:bookmarkStart w:id="658" w:name="_Hlk96070088"/>
      <w:r>
        <w:rPr>
          <w:rFonts w:hint="eastAsia" w:ascii="宋体" w:hAnsi="宋体" w:cs="黑体"/>
          <w:b w:val="0"/>
          <w:bCs w:val="0"/>
          <w:kern w:val="0"/>
          <w:sz w:val="28"/>
          <w:szCs w:val="28"/>
        </w:rPr>
        <w:t>参加政府采购活动前三年内</w:t>
      </w:r>
      <w:bookmarkStart w:id="659" w:name="_Toc515647812"/>
      <w:bookmarkStart w:id="660" w:name="_Toc1137"/>
      <w:bookmarkStart w:id="661" w:name="_Toc6008"/>
      <w:r>
        <w:rPr>
          <w:rFonts w:hint="eastAsia" w:ascii="宋体" w:hAnsi="宋体" w:cs="黑体"/>
          <w:b w:val="0"/>
          <w:bCs w:val="0"/>
          <w:kern w:val="0"/>
          <w:sz w:val="28"/>
          <w:szCs w:val="28"/>
        </w:rPr>
        <w:t>在经营活动中没有重大违法记录的</w:t>
      </w:r>
      <w:bookmarkEnd w:id="654"/>
      <w:bookmarkEnd w:id="655"/>
      <w:bookmarkEnd w:id="657"/>
      <w:bookmarkEnd w:id="659"/>
      <w:bookmarkEnd w:id="660"/>
      <w:bookmarkEnd w:id="661"/>
    </w:p>
    <w:bookmarkEnd w:id="656"/>
    <w:p w14:paraId="7B4132F6">
      <w:pPr>
        <w:pStyle w:val="7"/>
        <w:widowControl/>
        <w:wordWrap w:val="0"/>
        <w:spacing w:before="0"/>
        <w:jc w:val="center"/>
        <w:rPr>
          <w:rFonts w:hint="eastAsia" w:ascii="宋体" w:hAnsi="宋体" w:eastAsia="宋体"/>
          <w:sz w:val="24"/>
        </w:rPr>
      </w:pPr>
      <w:bookmarkStart w:id="662" w:name="_Toc8263"/>
      <w:bookmarkStart w:id="663" w:name="_Toc221378232"/>
      <w:bookmarkStart w:id="664" w:name="_Toc3844"/>
      <w:r>
        <w:rPr>
          <w:rFonts w:hint="eastAsia" w:ascii="宋体" w:hAnsi="宋体" w:cs="黑体"/>
          <w:b w:val="0"/>
          <w:bCs w:val="0"/>
          <w:kern w:val="0"/>
          <w:sz w:val="28"/>
          <w:szCs w:val="28"/>
        </w:rPr>
        <w:t>书面声明</w:t>
      </w:r>
      <w:bookmarkEnd w:id="658"/>
      <w:bookmarkEnd w:id="662"/>
      <w:bookmarkEnd w:id="663"/>
      <w:bookmarkEnd w:id="664"/>
    </w:p>
    <w:p w14:paraId="0F4D0DCB">
      <w:pPr>
        <w:pStyle w:val="3"/>
        <w:wordWrap w:val="0"/>
        <w:spacing w:line="360" w:lineRule="auto"/>
        <w:jc w:val="left"/>
        <w:rPr>
          <w:rFonts w:hint="eastAsia" w:ascii="宋体" w:hAnsi="宋体"/>
          <w:sz w:val="24"/>
        </w:rPr>
      </w:pPr>
    </w:p>
    <w:p w14:paraId="1A16D321">
      <w:pPr>
        <w:pStyle w:val="3"/>
        <w:wordWrap w:val="0"/>
        <w:spacing w:line="360" w:lineRule="auto"/>
        <w:ind w:left="0" w:leftChars="0" w:firstLine="480" w:firstLineChars="200"/>
        <w:jc w:val="left"/>
        <w:rPr>
          <w:rFonts w:hint="eastAsia" w:ascii="宋体" w:hAnsi="宋体"/>
          <w:sz w:val="24"/>
        </w:rPr>
      </w:pPr>
      <w:r>
        <w:rPr>
          <w:rFonts w:hint="eastAsia" w:ascii="宋体" w:hAnsi="宋体" w:cs="仿宋_GB2312"/>
          <w:sz w:val="24"/>
          <w:u w:val="single"/>
        </w:rPr>
        <w:t xml:space="preserve">致： （填写采购人名称） </w:t>
      </w:r>
      <w:r>
        <w:rPr>
          <w:rFonts w:hint="eastAsia" w:ascii="宋体" w:hAnsi="宋体" w:cs="仿宋_GB2312"/>
          <w:sz w:val="24"/>
        </w:rPr>
        <w:t xml:space="preserve"> </w:t>
      </w:r>
    </w:p>
    <w:p w14:paraId="78AE5D2B">
      <w:pPr>
        <w:pStyle w:val="3"/>
        <w:wordWrap w:val="0"/>
        <w:spacing w:line="360" w:lineRule="auto"/>
        <w:ind w:left="0" w:leftChars="0" w:firstLine="480" w:firstLineChars="200"/>
        <w:jc w:val="left"/>
        <w:rPr>
          <w:rFonts w:hint="eastAsia" w:ascii="宋体" w:hAnsi="宋体"/>
          <w:sz w:val="24"/>
        </w:rPr>
      </w:pPr>
      <w:bookmarkStart w:id="665" w:name="_Hlk96070197"/>
      <w:r>
        <w:rPr>
          <w:rFonts w:hint="eastAsia" w:ascii="宋体" w:hAnsi="宋体"/>
          <w:sz w:val="24"/>
        </w:rPr>
        <w:t>我单位声明：</w:t>
      </w:r>
    </w:p>
    <w:p w14:paraId="54394610">
      <w:pPr>
        <w:pStyle w:val="3"/>
        <w:wordWrap w:val="0"/>
        <w:spacing w:line="360" w:lineRule="auto"/>
        <w:ind w:left="0" w:leftChars="0" w:firstLine="480" w:firstLineChars="200"/>
        <w:jc w:val="left"/>
        <w:rPr>
          <w:rFonts w:hint="eastAsia" w:ascii="宋体" w:hAnsi="宋体"/>
          <w:sz w:val="24"/>
        </w:rPr>
      </w:pPr>
      <w:bookmarkStart w:id="666" w:name="_Hlk95836409"/>
      <w:bookmarkStart w:id="667" w:name="_Hlk96069469"/>
      <w:r>
        <w:rPr>
          <w:rFonts w:hint="eastAsia" w:ascii="宋体" w:hAnsi="宋体"/>
          <w:sz w:val="24"/>
        </w:rPr>
        <w:t>我单位参加本次政府采购活动前三年内在经营活动中没有重大违法记录</w:t>
      </w:r>
      <w:bookmarkEnd w:id="666"/>
      <w:r>
        <w:rPr>
          <w:rFonts w:hint="eastAsia" w:ascii="宋体" w:hAnsi="宋体"/>
          <w:sz w:val="24"/>
        </w:rPr>
        <w:t>。如发现我单位提供的书面声明不属实时，我单位将按照《中华人民共和国政府采购法》有关提供虚假材料的规定，接受处罚。同意取消我单位参与本项目政府采购活动的资格，并将承担相关法律责任。</w:t>
      </w:r>
      <w:bookmarkEnd w:id="667"/>
    </w:p>
    <w:p w14:paraId="3441AF00">
      <w:pPr>
        <w:wordWrap w:val="0"/>
        <w:spacing w:line="360" w:lineRule="auto"/>
        <w:ind w:firstLine="480" w:firstLineChars="200"/>
        <w:rPr>
          <w:rFonts w:hint="eastAsia" w:ascii="宋体" w:hAnsi="宋体"/>
          <w:sz w:val="24"/>
          <w:szCs w:val="20"/>
        </w:rPr>
      </w:pPr>
      <w:r>
        <w:rPr>
          <w:rFonts w:hint="eastAsia" w:ascii="宋体" w:hAnsi="宋体"/>
          <w:sz w:val="24"/>
          <w:szCs w:val="20"/>
        </w:rPr>
        <w:t>特此声明。</w:t>
      </w:r>
      <w:bookmarkEnd w:id="665"/>
    </w:p>
    <w:p w14:paraId="56E36F03">
      <w:pPr>
        <w:pStyle w:val="5"/>
        <w:wordWrap w:val="0"/>
      </w:pPr>
    </w:p>
    <w:p w14:paraId="6E26A206">
      <w:pPr>
        <w:pStyle w:val="46"/>
        <w:wordWrap w:val="0"/>
      </w:pPr>
    </w:p>
    <w:p w14:paraId="5B22BB83">
      <w:pPr>
        <w:pStyle w:val="46"/>
        <w:wordWrap w:val="0"/>
      </w:pPr>
    </w:p>
    <w:p w14:paraId="5E8069D4">
      <w:pPr>
        <w:wordWrap w:val="0"/>
        <w:spacing w:line="360" w:lineRule="auto"/>
        <w:ind w:firstLine="480" w:firstLineChars="200"/>
        <w:rPr>
          <w:rFonts w:hint="eastAsia" w:ascii="宋体" w:hAnsi="宋体"/>
          <w:sz w:val="24"/>
        </w:rPr>
      </w:pPr>
      <w:r>
        <w:rPr>
          <w:rFonts w:hint="eastAsia" w:ascii="宋体" w:hAnsi="宋体"/>
          <w:sz w:val="24"/>
        </w:rPr>
        <w:t>供应商：</w:t>
      </w:r>
      <w:r>
        <w:rPr>
          <w:rFonts w:ascii="宋体" w:hAnsi="宋体"/>
          <w:sz w:val="24"/>
          <w:u w:val="single"/>
        </w:rPr>
        <w:t xml:space="preserve">                            </w:t>
      </w:r>
      <w:r>
        <w:rPr>
          <w:rFonts w:hint="eastAsia" w:ascii="宋体" w:hAnsi="宋体"/>
          <w:sz w:val="24"/>
        </w:rPr>
        <w:t>（加盖单位公章）</w:t>
      </w:r>
    </w:p>
    <w:p w14:paraId="7F68D0AA">
      <w:pPr>
        <w:pStyle w:val="46"/>
        <w:wordWrap w:val="0"/>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日  期： </w:t>
      </w:r>
      <w:r>
        <w:rPr>
          <w:rFonts w:ascii="宋体" w:hAnsi="宋体" w:eastAsia="宋体" w:cs="宋体"/>
          <w:sz w:val="24"/>
          <w:szCs w:val="24"/>
        </w:rPr>
        <w:t xml:space="preserve">  </w:t>
      </w:r>
      <w:r>
        <w:rPr>
          <w:rFonts w:hint="eastAsia" w:ascii="宋体" w:hAnsi="宋体" w:eastAsia="宋体" w:cs="宋体"/>
          <w:sz w:val="24"/>
          <w:szCs w:val="24"/>
        </w:rPr>
        <w:t>年</w:t>
      </w:r>
      <w:r>
        <w:rPr>
          <w:rFonts w:ascii="宋体" w:hAnsi="宋体" w:eastAsia="宋体" w:cs="宋体"/>
          <w:sz w:val="24"/>
          <w:szCs w:val="24"/>
        </w:rPr>
        <w:t xml:space="preserve">   </w:t>
      </w:r>
      <w:r>
        <w:rPr>
          <w:rFonts w:hint="eastAsia" w:ascii="宋体" w:hAnsi="宋体" w:eastAsia="宋体" w:cs="宋体"/>
          <w:sz w:val="24"/>
          <w:szCs w:val="24"/>
        </w:rPr>
        <w:t>月</w:t>
      </w:r>
      <w:r>
        <w:rPr>
          <w:rFonts w:ascii="宋体" w:hAnsi="宋体" w:eastAsia="宋体" w:cs="宋体"/>
          <w:sz w:val="24"/>
          <w:szCs w:val="24"/>
        </w:rPr>
        <w:t xml:space="preserve">   </w:t>
      </w:r>
      <w:r>
        <w:rPr>
          <w:rFonts w:hint="eastAsia" w:ascii="宋体" w:hAnsi="宋体" w:eastAsia="宋体" w:cs="宋体"/>
          <w:sz w:val="24"/>
          <w:szCs w:val="24"/>
        </w:rPr>
        <w:t>日</w:t>
      </w:r>
    </w:p>
    <w:p w14:paraId="731A041D">
      <w:pPr>
        <w:wordWrap w:val="0"/>
        <w:rPr>
          <w:rFonts w:hint="eastAsia" w:ascii="宋体" w:hAnsi="宋体"/>
          <w:sz w:val="24"/>
        </w:rPr>
      </w:pPr>
      <w:r>
        <w:rPr>
          <w:rFonts w:hint="eastAsia"/>
        </w:rPr>
        <w:br w:type="page"/>
      </w:r>
    </w:p>
    <w:p w14:paraId="481CBE34">
      <w:pPr>
        <w:pStyle w:val="7"/>
        <w:widowControl/>
        <w:wordWrap w:val="0"/>
        <w:jc w:val="center"/>
        <w:rPr>
          <w:rFonts w:hint="eastAsia" w:ascii="黑体" w:hAnsi="黑体" w:cs="黑体"/>
          <w:b w:val="0"/>
          <w:bCs w:val="0"/>
          <w:kern w:val="0"/>
          <w:sz w:val="28"/>
          <w:szCs w:val="28"/>
        </w:rPr>
      </w:pPr>
      <w:bookmarkStart w:id="668" w:name="_Toc16822"/>
      <w:r>
        <w:rPr>
          <w:rFonts w:hint="eastAsia" w:ascii="黑体" w:hAnsi="黑体" w:cs="黑体"/>
          <w:b w:val="0"/>
          <w:bCs w:val="0"/>
          <w:kern w:val="0"/>
          <w:sz w:val="28"/>
          <w:szCs w:val="28"/>
        </w:rPr>
        <w:t>1-6、单位负责人为同一人或者存在直接控股、管理关系的不同供应商，不得参加同一合同项下的政府采购活动的承诺函</w:t>
      </w:r>
      <w:bookmarkEnd w:id="668"/>
    </w:p>
    <w:p w14:paraId="11B99980">
      <w:pPr>
        <w:pStyle w:val="3"/>
        <w:wordWrap w:val="0"/>
        <w:spacing w:line="360" w:lineRule="auto"/>
        <w:jc w:val="left"/>
        <w:rPr>
          <w:rFonts w:hint="eastAsia" w:ascii="宋体" w:hAnsi="宋体"/>
          <w:sz w:val="24"/>
        </w:rPr>
      </w:pPr>
    </w:p>
    <w:p w14:paraId="1842775A">
      <w:pPr>
        <w:pStyle w:val="3"/>
        <w:wordWrap w:val="0"/>
        <w:spacing w:line="360" w:lineRule="auto"/>
        <w:jc w:val="left"/>
        <w:rPr>
          <w:rFonts w:hint="eastAsia" w:ascii="宋体" w:hAnsi="宋体"/>
          <w:sz w:val="24"/>
        </w:rPr>
      </w:pPr>
      <w:r>
        <w:rPr>
          <w:rFonts w:hint="eastAsia" w:ascii="宋体" w:hAnsi="宋体" w:cs="仿宋_GB2312"/>
          <w:sz w:val="24"/>
          <w:u w:val="single"/>
        </w:rPr>
        <w:t xml:space="preserve">致： （填写采购人名称） </w:t>
      </w:r>
      <w:r>
        <w:rPr>
          <w:rFonts w:hint="eastAsia" w:ascii="宋体" w:hAnsi="宋体" w:cs="仿宋_GB2312"/>
          <w:sz w:val="24"/>
        </w:rPr>
        <w:t xml:space="preserve"> </w:t>
      </w:r>
    </w:p>
    <w:p w14:paraId="48E985D8">
      <w:pPr>
        <w:pStyle w:val="3"/>
        <w:wordWrap w:val="0"/>
        <w:spacing w:line="360" w:lineRule="auto"/>
        <w:ind w:firstLine="480" w:firstLineChars="200"/>
        <w:jc w:val="left"/>
        <w:rPr>
          <w:rFonts w:hint="eastAsia" w:ascii="宋体" w:hAnsi="宋体"/>
          <w:sz w:val="24"/>
        </w:rPr>
      </w:pPr>
      <w:r>
        <w:rPr>
          <w:rFonts w:hint="eastAsia" w:ascii="宋体" w:hAnsi="宋体"/>
          <w:sz w:val="24"/>
        </w:rPr>
        <w:t>我单位与单位负责人为同一人或者存在直接控股、管理关系的不同供应商，未参加同一合同项下的政府采购活动，特此承诺。</w:t>
      </w:r>
    </w:p>
    <w:p w14:paraId="41C09A9E">
      <w:pPr>
        <w:pStyle w:val="46"/>
        <w:wordWrap w:val="0"/>
      </w:pPr>
    </w:p>
    <w:p w14:paraId="14F86F80">
      <w:pPr>
        <w:pStyle w:val="46"/>
        <w:wordWrap w:val="0"/>
      </w:pPr>
    </w:p>
    <w:p w14:paraId="19DA3BA6">
      <w:pPr>
        <w:pStyle w:val="46"/>
        <w:wordWrap w:val="0"/>
      </w:pPr>
    </w:p>
    <w:p w14:paraId="642F00FB">
      <w:pPr>
        <w:pStyle w:val="46"/>
        <w:wordWrap w:val="0"/>
      </w:pPr>
    </w:p>
    <w:p w14:paraId="7A45876E">
      <w:pPr>
        <w:wordWrap w:val="0"/>
        <w:spacing w:line="360" w:lineRule="auto"/>
        <w:ind w:firstLine="480" w:firstLineChars="200"/>
        <w:rPr>
          <w:rFonts w:hint="eastAsia" w:ascii="宋体" w:hAnsi="宋体"/>
          <w:sz w:val="24"/>
        </w:rPr>
      </w:pPr>
      <w:r>
        <w:rPr>
          <w:rFonts w:hint="eastAsia" w:ascii="宋体" w:hAnsi="宋体"/>
          <w:sz w:val="24"/>
        </w:rPr>
        <w:t>供应商：</w:t>
      </w:r>
      <w:r>
        <w:rPr>
          <w:rFonts w:ascii="宋体" w:hAnsi="宋体"/>
          <w:sz w:val="24"/>
          <w:u w:val="single"/>
        </w:rPr>
        <w:t xml:space="preserve">                            </w:t>
      </w:r>
      <w:r>
        <w:rPr>
          <w:rFonts w:hint="eastAsia" w:ascii="宋体" w:hAnsi="宋体"/>
          <w:sz w:val="24"/>
        </w:rPr>
        <w:t>（加盖单位公章）</w:t>
      </w:r>
    </w:p>
    <w:p w14:paraId="58697687">
      <w:pPr>
        <w:pStyle w:val="46"/>
        <w:wordWrap w:val="0"/>
        <w:ind w:firstLine="480" w:firstLineChars="200"/>
        <w:rPr>
          <w:rFonts w:hint="eastAsia" w:ascii="宋体" w:hAnsi="宋体" w:eastAsia="宋体" w:cs="宋体"/>
          <w:sz w:val="24"/>
          <w:szCs w:val="24"/>
        </w:rPr>
      </w:pPr>
      <w:r>
        <w:rPr>
          <w:rFonts w:hint="eastAsia" w:ascii="宋体" w:hAnsi="宋体" w:eastAsia="宋体" w:cs="宋体"/>
          <w:sz w:val="24"/>
          <w:szCs w:val="24"/>
        </w:rPr>
        <w:t xml:space="preserve">日  期： </w:t>
      </w:r>
      <w:r>
        <w:rPr>
          <w:rFonts w:ascii="宋体" w:hAnsi="宋体" w:eastAsia="宋体" w:cs="宋体"/>
          <w:sz w:val="24"/>
          <w:szCs w:val="24"/>
        </w:rPr>
        <w:t xml:space="preserve">  </w:t>
      </w:r>
      <w:r>
        <w:rPr>
          <w:rFonts w:hint="eastAsia" w:ascii="宋体" w:hAnsi="宋体" w:eastAsia="宋体" w:cs="宋体"/>
          <w:sz w:val="24"/>
          <w:szCs w:val="24"/>
        </w:rPr>
        <w:t>年</w:t>
      </w:r>
      <w:r>
        <w:rPr>
          <w:rFonts w:ascii="宋体" w:hAnsi="宋体" w:eastAsia="宋体" w:cs="宋体"/>
          <w:sz w:val="24"/>
          <w:szCs w:val="24"/>
        </w:rPr>
        <w:t xml:space="preserve">   </w:t>
      </w:r>
      <w:r>
        <w:rPr>
          <w:rFonts w:hint="eastAsia" w:ascii="宋体" w:hAnsi="宋体" w:eastAsia="宋体" w:cs="宋体"/>
          <w:sz w:val="24"/>
          <w:szCs w:val="24"/>
        </w:rPr>
        <w:t>月</w:t>
      </w:r>
      <w:r>
        <w:rPr>
          <w:rFonts w:ascii="宋体" w:hAnsi="宋体" w:eastAsia="宋体" w:cs="宋体"/>
          <w:sz w:val="24"/>
          <w:szCs w:val="24"/>
        </w:rPr>
        <w:t xml:space="preserve">   </w:t>
      </w:r>
      <w:r>
        <w:rPr>
          <w:rFonts w:hint="eastAsia" w:ascii="宋体" w:hAnsi="宋体" w:eastAsia="宋体" w:cs="宋体"/>
          <w:sz w:val="24"/>
          <w:szCs w:val="24"/>
        </w:rPr>
        <w:t>日</w:t>
      </w:r>
    </w:p>
    <w:p w14:paraId="60F504B7">
      <w:pPr>
        <w:wordWrap w:val="0"/>
        <w:rPr>
          <w:rFonts w:hint="eastAsia" w:ascii="宋体" w:hAnsi="宋体"/>
          <w:sz w:val="24"/>
        </w:rPr>
      </w:pPr>
      <w:r>
        <w:rPr>
          <w:rFonts w:hint="eastAsia"/>
        </w:rPr>
        <w:br w:type="page"/>
      </w:r>
    </w:p>
    <w:p w14:paraId="32C2BAFF">
      <w:pPr>
        <w:pStyle w:val="7"/>
        <w:widowControl/>
        <w:jc w:val="center"/>
        <w:rPr>
          <w:rFonts w:hint="eastAsia" w:ascii="黑体" w:hAnsi="黑体" w:cs="黑体"/>
          <w:kern w:val="0"/>
          <w:sz w:val="28"/>
          <w:szCs w:val="28"/>
        </w:rPr>
      </w:pPr>
      <w:bookmarkStart w:id="669" w:name="_Toc24147"/>
      <w:bookmarkStart w:id="670" w:name="_Toc15048345"/>
      <w:bookmarkStart w:id="671" w:name="_Toc515647816"/>
      <w:bookmarkStart w:id="672" w:name="_Toc22967"/>
      <w:bookmarkStart w:id="673" w:name="_Toc25117"/>
      <w:bookmarkStart w:id="674" w:name="_Toc24141"/>
      <w:bookmarkStart w:id="675" w:name="_Toc4037"/>
      <w:bookmarkStart w:id="676" w:name="_Toc11180"/>
      <w:bookmarkStart w:id="677" w:name="_Toc532473504"/>
      <w:r>
        <w:rPr>
          <w:rFonts w:hint="eastAsia" w:ascii="黑体" w:hAnsi="黑体" w:cs="黑体"/>
          <w:b w:val="0"/>
          <w:bCs w:val="0"/>
          <w:kern w:val="0"/>
          <w:sz w:val="28"/>
          <w:szCs w:val="28"/>
        </w:rPr>
        <w:t>2.中小企业声明函</w:t>
      </w:r>
    </w:p>
    <w:p w14:paraId="738C8C4B">
      <w:pPr>
        <w:spacing w:line="360" w:lineRule="auto"/>
        <w:ind w:firstLine="482" w:firstLineChars="200"/>
        <w:rPr>
          <w:rFonts w:hint="eastAsia" w:ascii="宋体" w:hAnsi="宋体"/>
          <w:sz w:val="24"/>
        </w:rPr>
      </w:pPr>
      <w:r>
        <w:rPr>
          <w:rFonts w:hint="eastAsia" w:ascii="宋体" w:hAnsi="宋体"/>
          <w:b/>
          <w:sz w:val="24"/>
        </w:rPr>
        <w:t>供应商提供声明函内容不实的，属于提供虚假材料谋取成交，依照《中华人民共和国政府采购法》等国家有关规定追究相应责任。</w:t>
      </w:r>
    </w:p>
    <w:p w14:paraId="71EF1A45">
      <w:pPr>
        <w:spacing w:line="360" w:lineRule="auto"/>
        <w:rPr>
          <w:rFonts w:hint="eastAsia" w:ascii="宋体" w:hAnsi="宋体"/>
          <w:sz w:val="24"/>
        </w:rPr>
      </w:pPr>
    </w:p>
    <w:p w14:paraId="7CCFC12C">
      <w:pPr>
        <w:spacing w:line="360" w:lineRule="auto"/>
        <w:rPr>
          <w:rFonts w:hint="eastAsia" w:ascii="宋体" w:hAnsi="宋体"/>
          <w:sz w:val="24"/>
        </w:rPr>
      </w:pPr>
    </w:p>
    <w:p w14:paraId="4932BBC8">
      <w:pPr>
        <w:rPr>
          <w:rFonts w:hint="eastAsia" w:ascii="宋体" w:hAnsi="宋体"/>
          <w:sz w:val="24"/>
        </w:rPr>
      </w:pPr>
      <w:r>
        <w:rPr>
          <w:rFonts w:hint="eastAsia"/>
        </w:rPr>
        <w:br w:type="page"/>
      </w:r>
    </w:p>
    <w:p w14:paraId="3A5AB8CE">
      <w:pPr>
        <w:pStyle w:val="7"/>
        <w:widowControl/>
        <w:jc w:val="center"/>
        <w:rPr>
          <w:rFonts w:hint="eastAsia" w:ascii="宋体" w:hAnsi="宋体" w:eastAsia="宋体"/>
          <w:sz w:val="24"/>
        </w:rPr>
      </w:pPr>
      <w:bookmarkStart w:id="678" w:name="_Toc23875"/>
      <w:r>
        <w:rPr>
          <w:rFonts w:hint="eastAsia" w:ascii="黑体" w:hAnsi="黑体" w:cs="黑体"/>
          <w:b w:val="0"/>
          <w:bCs w:val="0"/>
          <w:kern w:val="0"/>
          <w:sz w:val="28"/>
          <w:szCs w:val="28"/>
        </w:rPr>
        <w:t>2</w:t>
      </w:r>
      <w:r>
        <w:rPr>
          <w:rFonts w:ascii="黑体" w:hAnsi="黑体" w:cs="黑体"/>
          <w:b w:val="0"/>
          <w:bCs w:val="0"/>
          <w:kern w:val="0"/>
          <w:sz w:val="28"/>
          <w:szCs w:val="28"/>
        </w:rPr>
        <w:t>-</w:t>
      </w:r>
      <w:r>
        <w:rPr>
          <w:rFonts w:hint="eastAsia" w:ascii="黑体" w:hAnsi="黑体" w:cs="黑体"/>
          <w:b w:val="0"/>
          <w:bCs w:val="0"/>
          <w:kern w:val="0"/>
          <w:sz w:val="28"/>
          <w:szCs w:val="28"/>
        </w:rPr>
        <w:t>1  供应商为中小企业声明函</w:t>
      </w:r>
      <w:bookmarkEnd w:id="678"/>
    </w:p>
    <w:p w14:paraId="457085CF">
      <w:pPr>
        <w:spacing w:line="360" w:lineRule="auto"/>
        <w:rPr>
          <w:rFonts w:hint="eastAsia" w:ascii="宋体" w:hAnsi="宋体"/>
          <w:b/>
          <w:spacing w:val="6"/>
          <w:sz w:val="24"/>
        </w:rPr>
      </w:pPr>
    </w:p>
    <w:p w14:paraId="08CA4147">
      <w:pPr>
        <w:wordWrap w:val="0"/>
        <w:spacing w:line="360" w:lineRule="auto"/>
        <w:jc w:val="center"/>
        <w:rPr>
          <w:rFonts w:hint="eastAsia" w:ascii="宋体" w:hAnsi="宋体"/>
          <w:sz w:val="28"/>
          <w:szCs w:val="28"/>
        </w:rPr>
      </w:pPr>
      <w:r>
        <w:drawing>
          <wp:anchor distT="0" distB="0" distL="114300" distR="114300" simplePos="0" relativeHeight="251660288" behindDoc="1" locked="0" layoutInCell="1" allowOverlap="1">
            <wp:simplePos x="0" y="0"/>
            <wp:positionH relativeFrom="page">
              <wp:posOffset>-12700</wp:posOffset>
            </wp:positionH>
            <wp:positionV relativeFrom="page">
              <wp:posOffset>10668000</wp:posOffset>
            </wp:positionV>
            <wp:extent cx="38100" cy="38100"/>
            <wp:effectExtent l="0" t="0" r="0" b="0"/>
            <wp:wrapNone/>
            <wp:docPr id="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pic:cNvPicPr>
                      <a:picLocks noChangeAspect="1"/>
                    </pic:cNvPicPr>
                  </pic:nvPicPr>
                  <pic:blipFill>
                    <a:blip r:embed="rId10"/>
                    <a:stretch>
                      <a:fillRect/>
                    </a:stretch>
                  </pic:blipFill>
                  <pic:spPr>
                    <a:xfrm>
                      <a:off x="0" y="0"/>
                      <a:ext cx="38100" cy="38100"/>
                    </a:xfrm>
                    <a:prstGeom prst="rect">
                      <a:avLst/>
                    </a:prstGeom>
                    <a:noFill/>
                    <a:ln>
                      <a:noFill/>
                    </a:ln>
                  </pic:spPr>
                </pic:pic>
              </a:graphicData>
            </a:graphic>
          </wp:anchor>
        </w:drawing>
      </w:r>
      <w:r>
        <w:rPr>
          <w:rFonts w:ascii="宋体" w:hAnsi="宋体"/>
          <w:sz w:val="28"/>
          <w:szCs w:val="28"/>
        </w:rPr>
        <w:t>中小企业声明函（</w:t>
      </w:r>
      <w:r>
        <w:rPr>
          <w:rFonts w:hint="eastAsia" w:ascii="宋体" w:hAnsi="宋体"/>
          <w:sz w:val="28"/>
          <w:szCs w:val="28"/>
        </w:rPr>
        <w:t>工程</w:t>
      </w:r>
      <w:r>
        <w:rPr>
          <w:rFonts w:ascii="宋体" w:hAnsi="宋体"/>
          <w:sz w:val="28"/>
          <w:szCs w:val="28"/>
        </w:rPr>
        <w:t>）</w:t>
      </w:r>
    </w:p>
    <w:p w14:paraId="5236E38F">
      <w:pPr>
        <w:wordWrap w:val="0"/>
        <w:spacing w:line="360" w:lineRule="auto"/>
        <w:jc w:val="left"/>
        <w:rPr>
          <w:rFonts w:hint="eastAsia" w:ascii="宋体" w:hAnsi="宋体" w:cs="仿宋"/>
          <w:sz w:val="24"/>
        </w:rPr>
      </w:pPr>
    </w:p>
    <w:p w14:paraId="1EC4C995">
      <w:pPr>
        <w:pStyle w:val="5"/>
        <w:spacing w:before="100" w:line="360" w:lineRule="auto"/>
        <w:ind w:left="36" w:right="84" w:firstLine="64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本公司（联合体）郑重声明，根据《政府采购促进中小</w:t>
      </w:r>
      <w:r>
        <w:rPr>
          <w:rFonts w:hint="eastAsia" w:asciiTheme="minorEastAsia" w:hAnsiTheme="minorEastAsia" w:eastAsiaTheme="minorEastAsia" w:cstheme="minorEastAsia"/>
          <w:spacing w:val="4"/>
          <w:sz w:val="24"/>
          <w:szCs w:val="24"/>
        </w:rPr>
        <w:t>企业发展管理办法》（财库﹝2020﹞46</w:t>
      </w:r>
      <w:r>
        <w:rPr>
          <w:rFonts w:hint="eastAsia" w:asciiTheme="minorEastAsia" w:hAnsiTheme="minorEastAsia" w:eastAsiaTheme="minorEastAsia" w:cstheme="minorEastAsia"/>
          <w:spacing w:val="-44"/>
          <w:sz w:val="24"/>
          <w:szCs w:val="24"/>
        </w:rPr>
        <w:t xml:space="preserve"> </w:t>
      </w:r>
      <w:r>
        <w:rPr>
          <w:rFonts w:hint="eastAsia" w:asciiTheme="minorEastAsia" w:hAnsiTheme="minorEastAsia" w:eastAsiaTheme="minorEastAsia" w:cstheme="minorEastAsia"/>
          <w:spacing w:val="4"/>
          <w:sz w:val="24"/>
          <w:szCs w:val="24"/>
        </w:rPr>
        <w:t>号）的规</w:t>
      </w:r>
      <w:r>
        <w:rPr>
          <w:rFonts w:hint="eastAsia" w:asciiTheme="minorEastAsia" w:hAnsiTheme="minorEastAsia" w:eastAsiaTheme="minorEastAsia" w:cstheme="minorEastAsia"/>
          <w:spacing w:val="3"/>
          <w:sz w:val="24"/>
          <w:szCs w:val="24"/>
        </w:rPr>
        <w:t>定，本公司</w:t>
      </w:r>
      <w:r>
        <w:rPr>
          <w:rFonts w:hint="eastAsia" w:asciiTheme="minorEastAsia" w:hAnsiTheme="minorEastAsia" w:eastAsiaTheme="minorEastAsia" w:cstheme="minorEastAsia"/>
          <w:spacing w:val="-1"/>
          <w:sz w:val="24"/>
          <w:szCs w:val="24"/>
        </w:rPr>
        <w:t>参加</w:t>
      </w:r>
      <w:r>
        <w:rPr>
          <w:rFonts w:hint="eastAsia" w:asciiTheme="minorEastAsia" w:hAnsiTheme="minorEastAsia" w:eastAsiaTheme="minorEastAsia" w:cstheme="minorEastAsia"/>
          <w:spacing w:val="-1"/>
          <w:sz w:val="24"/>
          <w:szCs w:val="24"/>
          <w:u w:val="single"/>
        </w:rPr>
        <w:t>（单位名称）</w:t>
      </w:r>
      <w:r>
        <w:rPr>
          <w:rFonts w:hint="eastAsia" w:asciiTheme="minorEastAsia" w:hAnsiTheme="minorEastAsia" w:eastAsiaTheme="minorEastAsia" w:cstheme="minorEastAsia"/>
          <w:spacing w:val="-1"/>
          <w:sz w:val="24"/>
          <w:szCs w:val="24"/>
        </w:rPr>
        <w:t>的</w:t>
      </w:r>
      <w:r>
        <w:rPr>
          <w:rFonts w:hint="eastAsia" w:asciiTheme="minorEastAsia" w:hAnsiTheme="minorEastAsia" w:eastAsiaTheme="minorEastAsia" w:cstheme="minorEastAsia"/>
          <w:spacing w:val="-1"/>
          <w:sz w:val="24"/>
          <w:szCs w:val="24"/>
          <w:u w:val="single"/>
        </w:rPr>
        <w:t>（项目名称）</w:t>
      </w:r>
      <w:r>
        <w:rPr>
          <w:rFonts w:hint="eastAsia" w:asciiTheme="minorEastAsia" w:hAnsiTheme="minorEastAsia" w:eastAsiaTheme="minorEastAsia" w:cstheme="minorEastAsia"/>
          <w:spacing w:val="-1"/>
          <w:sz w:val="24"/>
          <w:szCs w:val="24"/>
        </w:rPr>
        <w:t>采购活动，工</w:t>
      </w:r>
      <w:r>
        <w:rPr>
          <w:rFonts w:hint="eastAsia" w:asciiTheme="minorEastAsia" w:hAnsiTheme="minorEastAsia" w:eastAsiaTheme="minorEastAsia" w:cstheme="minorEastAsia"/>
          <w:spacing w:val="8"/>
          <w:sz w:val="24"/>
          <w:szCs w:val="24"/>
        </w:rPr>
        <w:t>程的施工单位全部为符合政策要求的中小企业。相关企业的具体情</w:t>
      </w:r>
      <w:r>
        <w:rPr>
          <w:rFonts w:hint="eastAsia" w:asciiTheme="minorEastAsia" w:hAnsiTheme="minorEastAsia" w:eastAsiaTheme="minorEastAsia" w:cstheme="minorEastAsia"/>
          <w:spacing w:val="1"/>
          <w:sz w:val="24"/>
          <w:szCs w:val="24"/>
        </w:rPr>
        <w:t>况如下：</w:t>
      </w:r>
    </w:p>
    <w:p w14:paraId="7E760A6E">
      <w:pPr>
        <w:pStyle w:val="5"/>
        <w:spacing w:after="0" w:line="360" w:lineRule="auto"/>
        <w:ind w:firstLine="480" w:firstLineChars="2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pacing w:val="-65"/>
          <w:sz w:val="24"/>
          <w:szCs w:val="24"/>
          <w:u w:val="single"/>
        </w:rPr>
        <w:t xml:space="preserve">     </w:t>
      </w:r>
      <w:r>
        <w:rPr>
          <w:rFonts w:hint="eastAsia" w:asciiTheme="minorEastAsia" w:hAnsiTheme="minorEastAsia" w:eastAsiaTheme="minorEastAsia" w:cstheme="minorEastAsia"/>
          <w:spacing w:val="-148"/>
          <w:sz w:val="24"/>
          <w:szCs w:val="24"/>
        </w:rPr>
        <w:t xml:space="preserve"> </w:t>
      </w:r>
      <w:r>
        <w:rPr>
          <w:rFonts w:hint="eastAsia" w:asciiTheme="minorEastAsia" w:hAnsiTheme="minorEastAsia" w:eastAsiaTheme="minorEastAsia" w:cstheme="minorEastAsia"/>
          <w:spacing w:val="10"/>
          <w:sz w:val="24"/>
          <w:szCs w:val="24"/>
          <w:u w:val="single"/>
        </w:rPr>
        <w:t xml:space="preserve">  </w:t>
      </w:r>
      <w:r>
        <w:rPr>
          <w:rFonts w:hint="eastAsia" w:asciiTheme="minorEastAsia" w:hAnsiTheme="minorEastAsia" w:eastAsiaTheme="minorEastAsia" w:cstheme="minorEastAsia"/>
          <w:spacing w:val="-11"/>
          <w:sz w:val="24"/>
          <w:szCs w:val="24"/>
          <w:u w:val="single"/>
        </w:rPr>
        <w:t>（标的名称</w:t>
      </w:r>
      <w:r>
        <w:rPr>
          <w:rFonts w:hint="eastAsia" w:asciiTheme="minorEastAsia" w:hAnsiTheme="minorEastAsia" w:eastAsiaTheme="minorEastAsia" w:cstheme="minorEastAsia"/>
          <w:spacing w:val="-73"/>
          <w:sz w:val="24"/>
          <w:szCs w:val="24"/>
          <w:u w:val="single"/>
        </w:rPr>
        <w:t xml:space="preserve">）        </w:t>
      </w:r>
      <w:r>
        <w:rPr>
          <w:rFonts w:hint="eastAsia" w:asciiTheme="minorEastAsia" w:hAnsiTheme="minorEastAsia" w:eastAsiaTheme="minorEastAsia" w:cstheme="minorEastAsia"/>
          <w:spacing w:val="-148"/>
          <w:sz w:val="24"/>
          <w:szCs w:val="24"/>
        </w:rPr>
        <w:t xml:space="preserve"> </w:t>
      </w:r>
      <w:r>
        <w:rPr>
          <w:rFonts w:hint="eastAsia" w:asciiTheme="minorEastAsia" w:hAnsiTheme="minorEastAsia" w:eastAsiaTheme="minorEastAsia" w:cstheme="minorEastAsia"/>
          <w:spacing w:val="10"/>
          <w:sz w:val="24"/>
          <w:szCs w:val="24"/>
          <w:u w:val="single"/>
        </w:rPr>
        <w:t xml:space="preserve">  </w:t>
      </w:r>
      <w:r>
        <w:rPr>
          <w:rFonts w:hint="eastAsia" w:asciiTheme="minorEastAsia" w:hAnsiTheme="minorEastAsia" w:eastAsiaTheme="minorEastAsia" w:cstheme="minorEastAsia"/>
          <w:spacing w:val="-73"/>
          <w:sz w:val="24"/>
          <w:szCs w:val="24"/>
        </w:rPr>
        <w:t>，</w:t>
      </w:r>
      <w:r>
        <w:rPr>
          <w:rFonts w:hint="eastAsia" w:asciiTheme="minorEastAsia" w:hAnsiTheme="minorEastAsia" w:eastAsiaTheme="minorEastAsia" w:cstheme="minorEastAsia"/>
          <w:spacing w:val="-11"/>
          <w:sz w:val="24"/>
          <w:szCs w:val="24"/>
        </w:rPr>
        <w:t>属于</w:t>
      </w:r>
      <w:r>
        <w:rPr>
          <w:rFonts w:hint="eastAsia" w:asciiTheme="minorEastAsia" w:hAnsiTheme="minorEastAsia" w:eastAsiaTheme="minorEastAsia" w:cstheme="minorEastAsia"/>
          <w:spacing w:val="-148"/>
          <w:sz w:val="24"/>
          <w:szCs w:val="24"/>
        </w:rPr>
        <w:t xml:space="preserve"> </w:t>
      </w:r>
      <w:r>
        <w:rPr>
          <w:rFonts w:hint="eastAsia" w:asciiTheme="minorEastAsia" w:hAnsiTheme="minorEastAsia" w:eastAsiaTheme="minorEastAsia" w:cstheme="minorEastAsia"/>
          <w:spacing w:val="10"/>
          <w:sz w:val="24"/>
          <w:szCs w:val="24"/>
          <w:u w:val="single"/>
        </w:rPr>
        <w:t xml:space="preserve">  </w:t>
      </w:r>
      <w:r>
        <w:rPr>
          <w:rFonts w:hint="eastAsia" w:asciiTheme="minorEastAsia" w:hAnsiTheme="minorEastAsia" w:eastAsiaTheme="minorEastAsia" w:cstheme="minorEastAsia"/>
          <w:spacing w:val="-11"/>
          <w:sz w:val="24"/>
          <w:szCs w:val="24"/>
          <w:u w:val="single"/>
        </w:rPr>
        <w:t>（采购文件中明确的所属行业</w:t>
      </w:r>
      <w:r>
        <w:rPr>
          <w:rFonts w:hint="eastAsia" w:asciiTheme="minorEastAsia" w:hAnsiTheme="minorEastAsia" w:eastAsiaTheme="minorEastAsia" w:cstheme="minorEastAsia"/>
          <w:spacing w:val="-73"/>
          <w:sz w:val="24"/>
          <w:szCs w:val="24"/>
          <w:u w:val="single"/>
        </w:rPr>
        <w:t>）</w:t>
      </w:r>
      <w:r>
        <w:rPr>
          <w:rFonts w:hint="eastAsia" w:asciiTheme="minorEastAsia" w:hAnsiTheme="minorEastAsia" w:eastAsiaTheme="minorEastAsia" w:cstheme="minorEastAsia"/>
          <w:spacing w:val="-148"/>
          <w:sz w:val="24"/>
          <w:szCs w:val="24"/>
          <w:u w:val="single"/>
        </w:rPr>
        <w:t xml:space="preserve"> </w:t>
      </w:r>
      <w:r>
        <w:rPr>
          <w:rFonts w:hint="eastAsia" w:asciiTheme="minorEastAsia" w:hAnsiTheme="minorEastAsia" w:eastAsiaTheme="minorEastAsia" w:cstheme="minorEastAsia"/>
          <w:spacing w:val="10"/>
          <w:sz w:val="24"/>
          <w:szCs w:val="24"/>
          <w:u w:val="single"/>
        </w:rPr>
        <w:t xml:space="preserve">  </w:t>
      </w:r>
      <w:r>
        <w:rPr>
          <w:rFonts w:hint="eastAsia" w:ascii="宋体" w:hAnsi="宋体"/>
          <w:sz w:val="28"/>
          <w:szCs w:val="28"/>
        </w:rPr>
        <w:t>；</w:t>
      </w:r>
      <w:r>
        <w:rPr>
          <w:rFonts w:hint="eastAsia" w:asciiTheme="minorEastAsia" w:hAnsiTheme="minorEastAsia" w:eastAsiaTheme="minorEastAsia" w:cstheme="minorEastAsia"/>
          <w:spacing w:val="7"/>
          <w:sz w:val="24"/>
          <w:szCs w:val="24"/>
        </w:rPr>
        <w:t>承建（承接）企业为</w:t>
      </w:r>
      <w:r>
        <w:rPr>
          <w:rFonts w:hint="eastAsia" w:asciiTheme="minorEastAsia" w:hAnsiTheme="minorEastAsia" w:eastAsiaTheme="minorEastAsia" w:cstheme="minorEastAsia"/>
          <w:spacing w:val="-150"/>
          <w:sz w:val="24"/>
          <w:szCs w:val="24"/>
        </w:rPr>
        <w:t xml:space="preserve"> </w:t>
      </w:r>
      <w:r>
        <w:rPr>
          <w:rFonts w:hint="eastAsia" w:asciiTheme="minorEastAsia" w:hAnsiTheme="minorEastAsia" w:eastAsiaTheme="minorEastAsia" w:cstheme="minorEastAsia"/>
          <w:spacing w:val="-142"/>
          <w:sz w:val="24"/>
          <w:szCs w:val="24"/>
          <w:u w:val="single"/>
        </w:rPr>
        <w:t xml:space="preserve"> </w:t>
      </w:r>
      <w:r>
        <w:rPr>
          <w:rFonts w:hint="eastAsia" w:asciiTheme="minorEastAsia" w:hAnsiTheme="minorEastAsia" w:eastAsiaTheme="minorEastAsia" w:cstheme="minorEastAsia"/>
          <w:spacing w:val="7"/>
          <w:sz w:val="24"/>
          <w:szCs w:val="24"/>
          <w:u w:val="single"/>
        </w:rPr>
        <w:t>（企业名称</w:t>
      </w:r>
      <w:r>
        <w:rPr>
          <w:rFonts w:hint="eastAsia" w:asciiTheme="minorEastAsia" w:hAnsiTheme="minorEastAsia" w:eastAsiaTheme="minorEastAsia" w:cstheme="minorEastAsia"/>
          <w:spacing w:val="-77"/>
          <w:sz w:val="24"/>
          <w:szCs w:val="24"/>
          <w:u w:val="single"/>
        </w:rPr>
        <w:t>）</w:t>
      </w:r>
      <w:r>
        <w:rPr>
          <w:rFonts w:hint="eastAsia" w:asciiTheme="minorEastAsia" w:hAnsiTheme="minorEastAsia" w:eastAsiaTheme="minorEastAsia" w:cstheme="minorEastAsia"/>
          <w:spacing w:val="-148"/>
          <w:sz w:val="24"/>
          <w:szCs w:val="24"/>
        </w:rPr>
        <w:t xml:space="preserve"> </w:t>
      </w:r>
      <w:r>
        <w:rPr>
          <w:rFonts w:hint="eastAsia" w:asciiTheme="minorEastAsia" w:hAnsiTheme="minorEastAsia" w:eastAsiaTheme="minorEastAsia" w:cstheme="minorEastAsia"/>
          <w:spacing w:val="10"/>
          <w:sz w:val="24"/>
          <w:szCs w:val="24"/>
          <w:u w:val="single"/>
        </w:rPr>
        <w:t xml:space="preserve">  </w:t>
      </w:r>
      <w:r>
        <w:rPr>
          <w:rFonts w:hint="eastAsia" w:asciiTheme="minorEastAsia" w:hAnsiTheme="minorEastAsia" w:eastAsiaTheme="minorEastAsia" w:cstheme="minorEastAsia"/>
          <w:spacing w:val="-77"/>
          <w:sz w:val="24"/>
          <w:szCs w:val="24"/>
        </w:rPr>
        <w:t>，</w:t>
      </w:r>
      <w:r>
        <w:rPr>
          <w:rFonts w:hint="eastAsia" w:asciiTheme="minorEastAsia" w:hAnsiTheme="minorEastAsia" w:eastAsiaTheme="minorEastAsia" w:cstheme="minorEastAsia"/>
          <w:spacing w:val="7"/>
          <w:sz w:val="24"/>
          <w:szCs w:val="24"/>
        </w:rPr>
        <w:t>从业人员</w:t>
      </w:r>
      <w:r>
        <w:rPr>
          <w:rFonts w:hint="eastAsia" w:asciiTheme="minorEastAsia" w:hAnsiTheme="minorEastAsia" w:eastAsiaTheme="minorEastAsia" w:cstheme="minorEastAsia"/>
          <w:spacing w:val="-148"/>
          <w:sz w:val="24"/>
          <w:szCs w:val="24"/>
        </w:rPr>
        <w:t xml:space="preserve"> </w:t>
      </w:r>
      <w:r>
        <w:rPr>
          <w:rFonts w:hint="eastAsia" w:asciiTheme="minorEastAsia" w:hAnsiTheme="minorEastAsia" w:eastAsiaTheme="minorEastAsia" w:cstheme="minorEastAsia"/>
          <w:spacing w:val="10"/>
          <w:sz w:val="24"/>
          <w:szCs w:val="24"/>
          <w:u w:val="single"/>
        </w:rPr>
        <w:t xml:space="preserve">    </w:t>
      </w:r>
      <w:r>
        <w:rPr>
          <w:rFonts w:hint="eastAsia" w:asciiTheme="minorEastAsia" w:hAnsiTheme="minorEastAsia" w:eastAsiaTheme="minorEastAsia" w:cstheme="minorEastAsia"/>
          <w:spacing w:val="-129"/>
          <w:sz w:val="24"/>
          <w:szCs w:val="24"/>
        </w:rPr>
        <w:t xml:space="preserve"> </w:t>
      </w:r>
      <w:r>
        <w:rPr>
          <w:rFonts w:hint="eastAsia" w:asciiTheme="minorEastAsia" w:hAnsiTheme="minorEastAsia" w:eastAsiaTheme="minorEastAsia" w:cstheme="minorEastAsia"/>
          <w:spacing w:val="7"/>
          <w:sz w:val="24"/>
          <w:szCs w:val="24"/>
        </w:rPr>
        <w:t>人，营业</w:t>
      </w:r>
      <w:r>
        <w:rPr>
          <w:rFonts w:hint="eastAsia" w:asciiTheme="minorEastAsia" w:hAnsiTheme="minorEastAsia" w:eastAsiaTheme="minorEastAsia" w:cstheme="minorEastAsia"/>
          <w:spacing w:val="-5"/>
          <w:sz w:val="24"/>
          <w:szCs w:val="24"/>
        </w:rPr>
        <w:t>收入为</w:t>
      </w:r>
      <w:r>
        <w:rPr>
          <w:rFonts w:hint="eastAsia" w:asciiTheme="minorEastAsia" w:hAnsiTheme="minorEastAsia" w:eastAsiaTheme="minorEastAsia" w:cstheme="minorEastAsia"/>
          <w:spacing w:val="-148"/>
          <w:sz w:val="24"/>
          <w:szCs w:val="24"/>
        </w:rPr>
        <w:t xml:space="preserve"> </w:t>
      </w:r>
      <w:r>
        <w:rPr>
          <w:rFonts w:hint="eastAsia" w:asciiTheme="minorEastAsia" w:hAnsiTheme="minorEastAsia" w:eastAsiaTheme="minorEastAsia" w:cstheme="minorEastAsia"/>
          <w:spacing w:val="5"/>
          <w:sz w:val="24"/>
          <w:szCs w:val="24"/>
          <w:u w:val="single"/>
        </w:rPr>
        <w:t xml:space="preserve">    </w:t>
      </w:r>
      <w:r>
        <w:rPr>
          <w:rFonts w:hint="eastAsia" w:asciiTheme="minorEastAsia" w:hAnsiTheme="minorEastAsia" w:eastAsiaTheme="minorEastAsia" w:cstheme="minorEastAsia"/>
          <w:spacing w:val="-131"/>
          <w:sz w:val="24"/>
          <w:szCs w:val="24"/>
        </w:rPr>
        <w:t xml:space="preserve"> </w:t>
      </w:r>
      <w:r>
        <w:rPr>
          <w:rFonts w:hint="eastAsia" w:asciiTheme="minorEastAsia" w:hAnsiTheme="minorEastAsia" w:eastAsiaTheme="minorEastAsia" w:cstheme="minorEastAsia"/>
          <w:spacing w:val="-5"/>
          <w:sz w:val="24"/>
          <w:szCs w:val="24"/>
        </w:rPr>
        <w:t>万元，资产总额为</w:t>
      </w:r>
      <w:r>
        <w:rPr>
          <w:rFonts w:hint="eastAsia" w:asciiTheme="minorEastAsia" w:hAnsiTheme="minorEastAsia" w:eastAsiaTheme="minorEastAsia" w:cstheme="minorEastAsia"/>
          <w:spacing w:val="-155"/>
          <w:sz w:val="24"/>
          <w:szCs w:val="24"/>
        </w:rPr>
        <w:t xml:space="preserve"> </w:t>
      </w:r>
      <w:r>
        <w:rPr>
          <w:rFonts w:hint="eastAsia" w:asciiTheme="minorEastAsia" w:hAnsiTheme="minorEastAsia" w:eastAsiaTheme="minorEastAsia" w:cstheme="minorEastAsia"/>
          <w:spacing w:val="5"/>
          <w:sz w:val="24"/>
          <w:szCs w:val="24"/>
          <w:u w:val="single"/>
        </w:rPr>
        <w:t xml:space="preserve">    </w:t>
      </w:r>
      <w:r>
        <w:rPr>
          <w:rFonts w:hint="eastAsia" w:asciiTheme="minorEastAsia" w:hAnsiTheme="minorEastAsia" w:eastAsiaTheme="minorEastAsia" w:cstheme="minorEastAsia"/>
          <w:spacing w:val="-130"/>
          <w:sz w:val="24"/>
          <w:szCs w:val="24"/>
        </w:rPr>
        <w:t xml:space="preserve"> </w:t>
      </w:r>
      <w:r>
        <w:rPr>
          <w:rFonts w:hint="eastAsia" w:asciiTheme="minorEastAsia" w:hAnsiTheme="minorEastAsia" w:eastAsiaTheme="minorEastAsia" w:cstheme="minorEastAsia"/>
          <w:spacing w:val="-5"/>
          <w:sz w:val="24"/>
          <w:szCs w:val="24"/>
        </w:rPr>
        <w:t>万元</w:t>
      </w:r>
      <w:r>
        <w:fldChar w:fldCharType="begin"/>
      </w:r>
      <w:r>
        <w:instrText xml:space="preserve"> HYPERLINK \l "bookmark2" </w:instrText>
      </w:r>
      <w:r>
        <w:fldChar w:fldCharType="separate"/>
      </w:r>
      <w:r>
        <w:rPr>
          <w:rFonts w:hint="eastAsia" w:asciiTheme="minorEastAsia" w:hAnsiTheme="minorEastAsia" w:eastAsiaTheme="minorEastAsia" w:cstheme="minorEastAsia"/>
          <w:spacing w:val="-5"/>
          <w:position w:val="16"/>
          <w:sz w:val="16"/>
          <w:szCs w:val="16"/>
        </w:rPr>
        <w:t>1</w:t>
      </w:r>
      <w:r>
        <w:rPr>
          <w:rFonts w:hint="eastAsia" w:asciiTheme="minorEastAsia" w:hAnsiTheme="minorEastAsia" w:eastAsiaTheme="minorEastAsia" w:cstheme="minorEastAsia"/>
          <w:spacing w:val="-5"/>
          <w:position w:val="16"/>
          <w:sz w:val="16"/>
          <w:szCs w:val="16"/>
        </w:rPr>
        <w:fldChar w:fldCharType="end"/>
      </w:r>
      <w:r>
        <w:rPr>
          <w:rFonts w:hint="eastAsia" w:asciiTheme="minorEastAsia" w:hAnsiTheme="minorEastAsia" w:eastAsiaTheme="minorEastAsia" w:cstheme="minorEastAsia"/>
          <w:spacing w:val="-38"/>
          <w:position w:val="16"/>
          <w:sz w:val="24"/>
          <w:szCs w:val="24"/>
        </w:rPr>
        <w:t xml:space="preserve"> </w:t>
      </w:r>
      <w:r>
        <w:rPr>
          <w:rFonts w:hint="eastAsia" w:asciiTheme="minorEastAsia" w:hAnsiTheme="minorEastAsia" w:eastAsiaTheme="minorEastAsia" w:cstheme="minorEastAsia"/>
          <w:spacing w:val="-5"/>
          <w:sz w:val="24"/>
          <w:szCs w:val="24"/>
        </w:rPr>
        <w:t>，属于</w:t>
      </w:r>
      <w:r>
        <w:rPr>
          <w:rFonts w:hint="eastAsia" w:asciiTheme="minorEastAsia" w:hAnsiTheme="minorEastAsia" w:eastAsiaTheme="minorEastAsia" w:cstheme="minorEastAsia"/>
          <w:spacing w:val="-148"/>
          <w:sz w:val="24"/>
          <w:szCs w:val="24"/>
        </w:rPr>
        <w:t xml:space="preserve"> </w:t>
      </w:r>
      <w:r>
        <w:rPr>
          <w:rFonts w:hint="eastAsia" w:asciiTheme="minorEastAsia" w:hAnsiTheme="minorEastAsia" w:eastAsiaTheme="minorEastAsia" w:cstheme="minorEastAsia"/>
          <w:spacing w:val="10"/>
          <w:sz w:val="24"/>
          <w:szCs w:val="24"/>
          <w:u w:val="single"/>
        </w:rPr>
        <w:t xml:space="preserve">  </w:t>
      </w:r>
      <w:r>
        <w:rPr>
          <w:rFonts w:hint="eastAsia" w:asciiTheme="minorEastAsia" w:hAnsiTheme="minorEastAsia" w:eastAsiaTheme="minorEastAsia" w:cstheme="minorEastAsia"/>
          <w:spacing w:val="-5"/>
          <w:sz w:val="24"/>
          <w:szCs w:val="24"/>
          <w:u w:val="single"/>
        </w:rPr>
        <w:t>（中型企业、</w:t>
      </w:r>
      <w:r>
        <w:rPr>
          <w:rFonts w:hint="eastAsia" w:asciiTheme="minorEastAsia" w:hAnsiTheme="minorEastAsia" w:eastAsiaTheme="minorEastAsia" w:cstheme="minorEastAsia"/>
          <w:spacing w:val="-9"/>
          <w:sz w:val="24"/>
          <w:szCs w:val="24"/>
          <w:u w:val="single"/>
        </w:rPr>
        <w:t>小型企业、微型企业）</w:t>
      </w:r>
      <w:r>
        <w:rPr>
          <w:rFonts w:hint="eastAsia" w:asciiTheme="minorEastAsia" w:hAnsiTheme="minorEastAsia" w:eastAsiaTheme="minorEastAsia" w:cstheme="minorEastAsia"/>
          <w:spacing w:val="-9"/>
          <w:sz w:val="24"/>
          <w:szCs w:val="24"/>
        </w:rPr>
        <w:t>；</w:t>
      </w:r>
    </w:p>
    <w:p w14:paraId="117B0BBC">
      <w:pPr>
        <w:pStyle w:val="5"/>
        <w:spacing w:before="79" w:line="360" w:lineRule="auto"/>
        <w:ind w:firstLine="44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10"/>
          <w:sz w:val="24"/>
          <w:szCs w:val="24"/>
        </w:rPr>
        <w:t>2.</w:t>
      </w:r>
      <w:r>
        <w:rPr>
          <w:rFonts w:hint="eastAsia" w:asciiTheme="minorEastAsia" w:hAnsiTheme="minorEastAsia" w:eastAsiaTheme="minorEastAsia" w:cstheme="minorEastAsia"/>
          <w:spacing w:val="-64"/>
          <w:sz w:val="24"/>
          <w:szCs w:val="24"/>
          <w:u w:val="single"/>
        </w:rPr>
        <w:t xml:space="preserve"> </w:t>
      </w:r>
      <w:r>
        <w:rPr>
          <w:rFonts w:hint="eastAsia" w:asciiTheme="minorEastAsia" w:hAnsiTheme="minorEastAsia" w:eastAsiaTheme="minorEastAsia" w:cstheme="minorEastAsia"/>
          <w:spacing w:val="10"/>
          <w:sz w:val="24"/>
          <w:szCs w:val="24"/>
          <w:u w:val="single"/>
        </w:rPr>
        <w:t xml:space="preserve">  </w:t>
      </w:r>
      <w:r>
        <w:rPr>
          <w:rFonts w:hint="eastAsia" w:asciiTheme="minorEastAsia" w:hAnsiTheme="minorEastAsia" w:eastAsiaTheme="minorEastAsia" w:cstheme="minorEastAsia"/>
          <w:spacing w:val="-11"/>
          <w:sz w:val="24"/>
          <w:szCs w:val="24"/>
          <w:u w:val="single"/>
        </w:rPr>
        <w:t>（标的名称</w:t>
      </w:r>
      <w:r>
        <w:rPr>
          <w:rFonts w:hint="eastAsia" w:asciiTheme="minorEastAsia" w:hAnsiTheme="minorEastAsia" w:eastAsiaTheme="minorEastAsia" w:cstheme="minorEastAsia"/>
          <w:spacing w:val="-73"/>
          <w:sz w:val="24"/>
          <w:szCs w:val="24"/>
          <w:u w:val="single"/>
        </w:rPr>
        <w:t xml:space="preserve">）        </w:t>
      </w:r>
      <w:r>
        <w:rPr>
          <w:rFonts w:hint="eastAsia" w:asciiTheme="minorEastAsia" w:hAnsiTheme="minorEastAsia" w:eastAsiaTheme="minorEastAsia" w:cstheme="minorEastAsia"/>
          <w:spacing w:val="-148"/>
          <w:sz w:val="24"/>
          <w:szCs w:val="24"/>
        </w:rPr>
        <w:t xml:space="preserve"> </w:t>
      </w:r>
      <w:r>
        <w:rPr>
          <w:rFonts w:hint="eastAsia" w:asciiTheme="minorEastAsia" w:hAnsiTheme="minorEastAsia" w:eastAsiaTheme="minorEastAsia" w:cstheme="minorEastAsia"/>
          <w:spacing w:val="10"/>
          <w:sz w:val="24"/>
          <w:szCs w:val="24"/>
          <w:u w:val="single"/>
        </w:rPr>
        <w:t xml:space="preserve">  </w:t>
      </w:r>
      <w:r>
        <w:rPr>
          <w:rFonts w:hint="eastAsia" w:asciiTheme="minorEastAsia" w:hAnsiTheme="minorEastAsia" w:eastAsiaTheme="minorEastAsia" w:cstheme="minorEastAsia"/>
          <w:spacing w:val="-73"/>
          <w:sz w:val="24"/>
          <w:szCs w:val="24"/>
        </w:rPr>
        <w:t>，</w:t>
      </w:r>
      <w:r>
        <w:rPr>
          <w:rFonts w:hint="eastAsia" w:asciiTheme="minorEastAsia" w:hAnsiTheme="minorEastAsia" w:eastAsiaTheme="minorEastAsia" w:cstheme="minorEastAsia"/>
          <w:spacing w:val="-11"/>
          <w:sz w:val="24"/>
          <w:szCs w:val="24"/>
        </w:rPr>
        <w:t>属于</w:t>
      </w:r>
      <w:r>
        <w:rPr>
          <w:rFonts w:hint="eastAsia" w:asciiTheme="minorEastAsia" w:hAnsiTheme="minorEastAsia" w:eastAsiaTheme="minorEastAsia" w:cstheme="minorEastAsia"/>
          <w:spacing w:val="-148"/>
          <w:sz w:val="24"/>
          <w:szCs w:val="24"/>
        </w:rPr>
        <w:t xml:space="preserve"> </w:t>
      </w:r>
      <w:r>
        <w:rPr>
          <w:rFonts w:hint="eastAsia" w:asciiTheme="minorEastAsia" w:hAnsiTheme="minorEastAsia" w:eastAsiaTheme="minorEastAsia" w:cstheme="minorEastAsia"/>
          <w:spacing w:val="10"/>
          <w:sz w:val="24"/>
          <w:szCs w:val="24"/>
          <w:u w:val="single"/>
        </w:rPr>
        <w:t xml:space="preserve">  </w:t>
      </w:r>
      <w:r>
        <w:rPr>
          <w:rFonts w:hint="eastAsia" w:asciiTheme="minorEastAsia" w:hAnsiTheme="minorEastAsia" w:eastAsiaTheme="minorEastAsia" w:cstheme="minorEastAsia"/>
          <w:spacing w:val="-11"/>
          <w:sz w:val="24"/>
          <w:szCs w:val="24"/>
          <w:u w:val="single"/>
        </w:rPr>
        <w:t>（采购文件中明确的所属行业</w:t>
      </w:r>
      <w:r>
        <w:rPr>
          <w:rFonts w:hint="eastAsia" w:asciiTheme="minorEastAsia" w:hAnsiTheme="minorEastAsia" w:eastAsiaTheme="minorEastAsia" w:cstheme="minorEastAsia"/>
          <w:spacing w:val="-73"/>
          <w:sz w:val="24"/>
          <w:szCs w:val="24"/>
          <w:u w:val="single"/>
        </w:rPr>
        <w:t>）</w:t>
      </w:r>
      <w:r>
        <w:rPr>
          <w:rFonts w:hint="eastAsia" w:asciiTheme="minorEastAsia" w:hAnsiTheme="minorEastAsia" w:eastAsiaTheme="minorEastAsia" w:cstheme="minorEastAsia"/>
          <w:spacing w:val="-148"/>
          <w:sz w:val="24"/>
          <w:szCs w:val="24"/>
          <w:u w:val="single"/>
        </w:rPr>
        <w:t xml:space="preserve"> </w:t>
      </w:r>
      <w:r>
        <w:rPr>
          <w:rFonts w:hint="eastAsia" w:asciiTheme="minorEastAsia" w:hAnsiTheme="minorEastAsia" w:eastAsiaTheme="minorEastAsia" w:cstheme="minorEastAsia"/>
          <w:spacing w:val="10"/>
          <w:sz w:val="24"/>
          <w:szCs w:val="24"/>
          <w:u w:val="single"/>
        </w:rPr>
        <w:t xml:space="preserve">  </w:t>
      </w:r>
      <w:r>
        <w:rPr>
          <w:rFonts w:hint="eastAsia" w:ascii="宋体" w:hAnsi="宋体"/>
          <w:sz w:val="28"/>
          <w:szCs w:val="28"/>
        </w:rPr>
        <w:t>；</w:t>
      </w:r>
      <w:r>
        <w:rPr>
          <w:rFonts w:hint="eastAsia" w:asciiTheme="minorEastAsia" w:hAnsiTheme="minorEastAsia" w:eastAsiaTheme="minorEastAsia" w:cstheme="minorEastAsia"/>
          <w:spacing w:val="7"/>
          <w:sz w:val="24"/>
          <w:szCs w:val="24"/>
        </w:rPr>
        <w:t>承建（承接）企业为</w:t>
      </w:r>
      <w:r>
        <w:rPr>
          <w:rFonts w:hint="eastAsia" w:asciiTheme="minorEastAsia" w:hAnsiTheme="minorEastAsia" w:eastAsiaTheme="minorEastAsia" w:cstheme="minorEastAsia"/>
          <w:spacing w:val="-150"/>
          <w:sz w:val="24"/>
          <w:szCs w:val="24"/>
        </w:rPr>
        <w:t xml:space="preserve"> </w:t>
      </w:r>
      <w:r>
        <w:rPr>
          <w:rFonts w:hint="eastAsia" w:asciiTheme="minorEastAsia" w:hAnsiTheme="minorEastAsia" w:eastAsiaTheme="minorEastAsia" w:cstheme="minorEastAsia"/>
          <w:spacing w:val="-142"/>
          <w:sz w:val="24"/>
          <w:szCs w:val="24"/>
          <w:u w:val="single"/>
        </w:rPr>
        <w:t xml:space="preserve"> </w:t>
      </w:r>
      <w:r>
        <w:rPr>
          <w:rFonts w:hint="eastAsia" w:asciiTheme="minorEastAsia" w:hAnsiTheme="minorEastAsia" w:eastAsiaTheme="minorEastAsia" w:cstheme="minorEastAsia"/>
          <w:spacing w:val="7"/>
          <w:sz w:val="24"/>
          <w:szCs w:val="24"/>
          <w:u w:val="single"/>
        </w:rPr>
        <w:t>（企业名称</w:t>
      </w:r>
      <w:r>
        <w:rPr>
          <w:rFonts w:hint="eastAsia" w:asciiTheme="minorEastAsia" w:hAnsiTheme="minorEastAsia" w:eastAsiaTheme="minorEastAsia" w:cstheme="minorEastAsia"/>
          <w:spacing w:val="-77"/>
          <w:sz w:val="24"/>
          <w:szCs w:val="24"/>
          <w:u w:val="single"/>
        </w:rPr>
        <w:t>）</w:t>
      </w:r>
      <w:r>
        <w:rPr>
          <w:rFonts w:hint="eastAsia" w:asciiTheme="minorEastAsia" w:hAnsiTheme="minorEastAsia" w:eastAsiaTheme="minorEastAsia" w:cstheme="minorEastAsia"/>
          <w:spacing w:val="-148"/>
          <w:sz w:val="24"/>
          <w:szCs w:val="24"/>
        </w:rPr>
        <w:t xml:space="preserve"> </w:t>
      </w:r>
      <w:r>
        <w:rPr>
          <w:rFonts w:hint="eastAsia" w:asciiTheme="minorEastAsia" w:hAnsiTheme="minorEastAsia" w:eastAsiaTheme="minorEastAsia" w:cstheme="minorEastAsia"/>
          <w:spacing w:val="10"/>
          <w:sz w:val="24"/>
          <w:szCs w:val="24"/>
          <w:u w:val="single"/>
        </w:rPr>
        <w:t xml:space="preserve">  </w:t>
      </w:r>
      <w:r>
        <w:rPr>
          <w:rFonts w:hint="eastAsia" w:asciiTheme="minorEastAsia" w:hAnsiTheme="minorEastAsia" w:eastAsiaTheme="minorEastAsia" w:cstheme="minorEastAsia"/>
          <w:spacing w:val="-77"/>
          <w:sz w:val="24"/>
          <w:szCs w:val="24"/>
        </w:rPr>
        <w:t>，</w:t>
      </w:r>
      <w:r>
        <w:rPr>
          <w:rFonts w:hint="eastAsia" w:asciiTheme="minorEastAsia" w:hAnsiTheme="minorEastAsia" w:eastAsiaTheme="minorEastAsia" w:cstheme="minorEastAsia"/>
          <w:spacing w:val="7"/>
          <w:sz w:val="24"/>
          <w:szCs w:val="24"/>
        </w:rPr>
        <w:t>从业人员</w:t>
      </w:r>
      <w:r>
        <w:rPr>
          <w:rFonts w:hint="eastAsia" w:asciiTheme="minorEastAsia" w:hAnsiTheme="minorEastAsia" w:eastAsiaTheme="minorEastAsia" w:cstheme="minorEastAsia"/>
          <w:spacing w:val="-148"/>
          <w:sz w:val="24"/>
          <w:szCs w:val="24"/>
        </w:rPr>
        <w:t xml:space="preserve"> </w:t>
      </w:r>
      <w:r>
        <w:rPr>
          <w:rFonts w:hint="eastAsia" w:asciiTheme="minorEastAsia" w:hAnsiTheme="minorEastAsia" w:eastAsiaTheme="minorEastAsia" w:cstheme="minorEastAsia"/>
          <w:spacing w:val="10"/>
          <w:sz w:val="24"/>
          <w:szCs w:val="24"/>
          <w:u w:val="single"/>
        </w:rPr>
        <w:t xml:space="preserve">    </w:t>
      </w:r>
      <w:r>
        <w:rPr>
          <w:rFonts w:hint="eastAsia" w:asciiTheme="minorEastAsia" w:hAnsiTheme="minorEastAsia" w:eastAsiaTheme="minorEastAsia" w:cstheme="minorEastAsia"/>
          <w:spacing w:val="-129"/>
          <w:sz w:val="24"/>
          <w:szCs w:val="24"/>
        </w:rPr>
        <w:t xml:space="preserve"> </w:t>
      </w:r>
      <w:r>
        <w:rPr>
          <w:rFonts w:hint="eastAsia" w:asciiTheme="minorEastAsia" w:hAnsiTheme="minorEastAsia" w:eastAsiaTheme="minorEastAsia" w:cstheme="minorEastAsia"/>
          <w:spacing w:val="7"/>
          <w:sz w:val="24"/>
          <w:szCs w:val="24"/>
        </w:rPr>
        <w:t>人，营业</w:t>
      </w:r>
      <w:r>
        <w:rPr>
          <w:rFonts w:hint="eastAsia" w:asciiTheme="minorEastAsia" w:hAnsiTheme="minorEastAsia" w:eastAsiaTheme="minorEastAsia" w:cstheme="minorEastAsia"/>
          <w:spacing w:val="-5"/>
          <w:sz w:val="24"/>
          <w:szCs w:val="24"/>
        </w:rPr>
        <w:t>收入为</w:t>
      </w:r>
      <w:r>
        <w:rPr>
          <w:rFonts w:hint="eastAsia" w:asciiTheme="minorEastAsia" w:hAnsiTheme="minorEastAsia" w:eastAsiaTheme="minorEastAsia" w:cstheme="minorEastAsia"/>
          <w:spacing w:val="-148"/>
          <w:sz w:val="24"/>
          <w:szCs w:val="24"/>
        </w:rPr>
        <w:t xml:space="preserve"> </w:t>
      </w:r>
      <w:r>
        <w:rPr>
          <w:rFonts w:hint="eastAsia" w:asciiTheme="minorEastAsia" w:hAnsiTheme="minorEastAsia" w:eastAsiaTheme="minorEastAsia" w:cstheme="minorEastAsia"/>
          <w:spacing w:val="5"/>
          <w:sz w:val="24"/>
          <w:szCs w:val="24"/>
          <w:u w:val="single"/>
        </w:rPr>
        <w:t xml:space="preserve">    </w:t>
      </w:r>
      <w:r>
        <w:rPr>
          <w:rFonts w:hint="eastAsia" w:asciiTheme="minorEastAsia" w:hAnsiTheme="minorEastAsia" w:eastAsiaTheme="minorEastAsia" w:cstheme="minorEastAsia"/>
          <w:spacing w:val="-131"/>
          <w:sz w:val="24"/>
          <w:szCs w:val="24"/>
        </w:rPr>
        <w:t xml:space="preserve"> </w:t>
      </w:r>
      <w:r>
        <w:rPr>
          <w:rFonts w:hint="eastAsia" w:asciiTheme="minorEastAsia" w:hAnsiTheme="minorEastAsia" w:eastAsiaTheme="minorEastAsia" w:cstheme="minorEastAsia"/>
          <w:spacing w:val="-5"/>
          <w:sz w:val="24"/>
          <w:szCs w:val="24"/>
        </w:rPr>
        <w:t>万元，资产总额为</w:t>
      </w:r>
      <w:r>
        <w:rPr>
          <w:rFonts w:hint="eastAsia" w:asciiTheme="minorEastAsia" w:hAnsiTheme="minorEastAsia" w:eastAsiaTheme="minorEastAsia" w:cstheme="minorEastAsia"/>
          <w:spacing w:val="-155"/>
          <w:sz w:val="24"/>
          <w:szCs w:val="24"/>
        </w:rPr>
        <w:t xml:space="preserve"> </w:t>
      </w:r>
      <w:r>
        <w:rPr>
          <w:rFonts w:hint="eastAsia" w:asciiTheme="minorEastAsia" w:hAnsiTheme="minorEastAsia" w:eastAsiaTheme="minorEastAsia" w:cstheme="minorEastAsia"/>
          <w:spacing w:val="5"/>
          <w:sz w:val="24"/>
          <w:szCs w:val="24"/>
          <w:u w:val="single"/>
        </w:rPr>
        <w:t xml:space="preserve">    </w:t>
      </w:r>
      <w:r>
        <w:rPr>
          <w:rFonts w:hint="eastAsia" w:asciiTheme="minorEastAsia" w:hAnsiTheme="minorEastAsia" w:eastAsiaTheme="minorEastAsia" w:cstheme="minorEastAsia"/>
          <w:spacing w:val="-130"/>
          <w:sz w:val="24"/>
          <w:szCs w:val="24"/>
        </w:rPr>
        <w:t xml:space="preserve"> </w:t>
      </w:r>
      <w:r>
        <w:rPr>
          <w:rFonts w:hint="eastAsia" w:asciiTheme="minorEastAsia" w:hAnsiTheme="minorEastAsia" w:eastAsiaTheme="minorEastAsia" w:cstheme="minorEastAsia"/>
          <w:spacing w:val="-5"/>
          <w:sz w:val="24"/>
          <w:szCs w:val="24"/>
        </w:rPr>
        <w:t>万元</w:t>
      </w:r>
      <w:r>
        <w:fldChar w:fldCharType="begin"/>
      </w:r>
      <w:r>
        <w:instrText xml:space="preserve"> HYPERLINK \l "bookmark2" </w:instrText>
      </w:r>
      <w:r>
        <w:fldChar w:fldCharType="separate"/>
      </w:r>
      <w:r>
        <w:rPr>
          <w:rFonts w:hint="eastAsia" w:asciiTheme="minorEastAsia" w:hAnsiTheme="minorEastAsia" w:eastAsiaTheme="minorEastAsia" w:cstheme="minorEastAsia"/>
          <w:spacing w:val="-5"/>
          <w:position w:val="16"/>
          <w:sz w:val="16"/>
          <w:szCs w:val="16"/>
        </w:rPr>
        <w:t>1</w:t>
      </w:r>
      <w:r>
        <w:rPr>
          <w:rFonts w:hint="eastAsia" w:asciiTheme="minorEastAsia" w:hAnsiTheme="minorEastAsia" w:eastAsiaTheme="minorEastAsia" w:cstheme="minorEastAsia"/>
          <w:spacing w:val="-5"/>
          <w:position w:val="16"/>
          <w:sz w:val="16"/>
          <w:szCs w:val="16"/>
        </w:rPr>
        <w:fldChar w:fldCharType="end"/>
      </w:r>
      <w:r>
        <w:rPr>
          <w:rFonts w:hint="eastAsia" w:asciiTheme="minorEastAsia" w:hAnsiTheme="minorEastAsia" w:eastAsiaTheme="minorEastAsia" w:cstheme="minorEastAsia"/>
          <w:spacing w:val="-5"/>
          <w:sz w:val="24"/>
          <w:szCs w:val="24"/>
        </w:rPr>
        <w:t>，属于</w:t>
      </w:r>
      <w:r>
        <w:rPr>
          <w:rFonts w:hint="eastAsia" w:asciiTheme="minorEastAsia" w:hAnsiTheme="minorEastAsia" w:eastAsiaTheme="minorEastAsia" w:cstheme="minorEastAsia"/>
          <w:spacing w:val="-148"/>
          <w:sz w:val="24"/>
          <w:szCs w:val="24"/>
        </w:rPr>
        <w:t xml:space="preserve"> </w:t>
      </w:r>
      <w:r>
        <w:rPr>
          <w:rFonts w:hint="eastAsia" w:asciiTheme="minorEastAsia" w:hAnsiTheme="minorEastAsia" w:eastAsiaTheme="minorEastAsia" w:cstheme="minorEastAsia"/>
          <w:spacing w:val="10"/>
          <w:sz w:val="24"/>
          <w:szCs w:val="24"/>
          <w:u w:val="single"/>
        </w:rPr>
        <w:t xml:space="preserve">  </w:t>
      </w:r>
      <w:r>
        <w:rPr>
          <w:rFonts w:hint="eastAsia" w:asciiTheme="minorEastAsia" w:hAnsiTheme="minorEastAsia" w:eastAsiaTheme="minorEastAsia" w:cstheme="minorEastAsia"/>
          <w:spacing w:val="-5"/>
          <w:sz w:val="24"/>
          <w:szCs w:val="24"/>
          <w:u w:val="single"/>
        </w:rPr>
        <w:t>（中型企业、</w:t>
      </w:r>
      <w:r>
        <w:rPr>
          <w:rFonts w:hint="eastAsia" w:asciiTheme="minorEastAsia" w:hAnsiTheme="minorEastAsia" w:eastAsiaTheme="minorEastAsia" w:cstheme="minorEastAsia"/>
          <w:spacing w:val="-9"/>
          <w:sz w:val="24"/>
          <w:szCs w:val="24"/>
          <w:u w:val="single"/>
        </w:rPr>
        <w:t>小型企业、微型企业）</w:t>
      </w:r>
      <w:r>
        <w:rPr>
          <w:rFonts w:hint="eastAsia" w:asciiTheme="minorEastAsia" w:hAnsiTheme="minorEastAsia" w:eastAsiaTheme="minorEastAsia" w:cstheme="minorEastAsia"/>
          <w:spacing w:val="-9"/>
          <w:sz w:val="24"/>
          <w:szCs w:val="24"/>
        </w:rPr>
        <w:t>；</w:t>
      </w:r>
    </w:p>
    <w:p w14:paraId="387DE2D2">
      <w:pPr>
        <w:pStyle w:val="5"/>
        <w:spacing w:line="360" w:lineRule="auto"/>
        <w:ind w:left="68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position w:val="4"/>
          <w:sz w:val="24"/>
          <w:szCs w:val="24"/>
        </w:rPr>
        <w:t>……</w:t>
      </w:r>
    </w:p>
    <w:p w14:paraId="50735C9E">
      <w:pPr>
        <w:pStyle w:val="5"/>
        <w:spacing w:before="14" w:line="360" w:lineRule="auto"/>
        <w:ind w:left="35" w:right="86" w:firstLine="678"/>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7"/>
          <w:sz w:val="24"/>
          <w:szCs w:val="24"/>
        </w:rPr>
        <w:t>以上企业，不属于大企业的分支机构，不存</w:t>
      </w:r>
      <w:r>
        <w:rPr>
          <w:rFonts w:hint="eastAsia" w:asciiTheme="minorEastAsia" w:hAnsiTheme="minorEastAsia" w:eastAsiaTheme="minorEastAsia" w:cstheme="minorEastAsia"/>
          <w:spacing w:val="6"/>
          <w:sz w:val="24"/>
          <w:szCs w:val="24"/>
        </w:rPr>
        <w:t>在控股股东</w:t>
      </w:r>
      <w:r>
        <w:rPr>
          <w:rFonts w:hint="eastAsia" w:asciiTheme="minorEastAsia" w:hAnsiTheme="minorEastAsia" w:eastAsiaTheme="minorEastAsia" w:cstheme="minorEastAsia"/>
          <w:spacing w:val="8"/>
          <w:sz w:val="24"/>
          <w:szCs w:val="24"/>
        </w:rPr>
        <w:t>为大企业的情形，也不存在与大企业的负责人为同一人的情</w:t>
      </w:r>
      <w:r>
        <w:rPr>
          <w:rFonts w:hint="eastAsia" w:asciiTheme="minorEastAsia" w:hAnsiTheme="minorEastAsia" w:eastAsiaTheme="minorEastAsia" w:cstheme="minorEastAsia"/>
          <w:spacing w:val="-7"/>
          <w:sz w:val="24"/>
          <w:szCs w:val="24"/>
        </w:rPr>
        <w:t>形。</w:t>
      </w:r>
    </w:p>
    <w:p w14:paraId="74B4FA6D">
      <w:pPr>
        <w:pStyle w:val="5"/>
        <w:spacing w:before="1" w:line="360" w:lineRule="auto"/>
        <w:ind w:left="45" w:right="88" w:firstLine="631"/>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pacing w:val="8"/>
          <w:sz w:val="24"/>
          <w:szCs w:val="24"/>
        </w:rPr>
        <w:t>本企业对上述声明内容的真实性负责。如有虚假，将依</w:t>
      </w:r>
      <w:r>
        <w:rPr>
          <w:rFonts w:hint="eastAsia" w:asciiTheme="minorEastAsia" w:hAnsiTheme="minorEastAsia" w:eastAsiaTheme="minorEastAsia" w:cstheme="minorEastAsia"/>
          <w:spacing w:val="4"/>
          <w:sz w:val="24"/>
          <w:szCs w:val="24"/>
        </w:rPr>
        <w:t>法承担相应责任。</w:t>
      </w:r>
    </w:p>
    <w:p w14:paraId="5DF8306A">
      <w:pPr>
        <w:wordWrap w:val="0"/>
        <w:spacing w:line="360" w:lineRule="auto"/>
        <w:ind w:firstLine="480" w:firstLineChars="200"/>
        <w:jc w:val="left"/>
        <w:rPr>
          <w:rFonts w:hint="eastAsia" w:ascii="宋体" w:hAnsi="宋体" w:cs="仿宋"/>
          <w:sz w:val="24"/>
        </w:rPr>
      </w:pPr>
    </w:p>
    <w:p w14:paraId="1566466D">
      <w:pPr>
        <w:wordWrap w:val="0"/>
        <w:spacing w:line="360" w:lineRule="auto"/>
        <w:ind w:firstLine="4320" w:firstLineChars="1800"/>
        <w:jc w:val="left"/>
        <w:rPr>
          <w:rFonts w:hint="eastAsia" w:ascii="宋体" w:hAnsi="宋体"/>
          <w:sz w:val="24"/>
        </w:rPr>
      </w:pPr>
      <w:r>
        <w:rPr>
          <w:rFonts w:ascii="宋体" w:hAnsi="宋体" w:cs="仿宋"/>
          <w:sz w:val="24"/>
        </w:rPr>
        <w:t>企业名称（盖章）：</w:t>
      </w:r>
    </w:p>
    <w:p w14:paraId="0FA87700">
      <w:pPr>
        <w:wordWrap w:val="0"/>
        <w:spacing w:line="360" w:lineRule="auto"/>
        <w:ind w:firstLine="4320" w:firstLineChars="1800"/>
        <w:jc w:val="left"/>
        <w:rPr>
          <w:rFonts w:hint="eastAsia" w:ascii="宋体" w:hAnsi="宋体" w:cs="仿宋"/>
          <w:sz w:val="24"/>
        </w:rPr>
      </w:pPr>
      <w:r>
        <w:rPr>
          <w:rFonts w:ascii="宋体" w:hAnsi="宋体" w:cs="仿宋"/>
          <w:sz w:val="24"/>
        </w:rPr>
        <w:t>日</w:t>
      </w:r>
      <w:r>
        <w:rPr>
          <w:rFonts w:ascii="宋体" w:hAnsi="宋体"/>
          <w:sz w:val="24"/>
        </w:rPr>
        <w:t xml:space="preserve"> </w:t>
      </w:r>
      <w:r>
        <w:rPr>
          <w:rFonts w:ascii="宋体" w:hAnsi="宋体" w:cs="仿宋"/>
          <w:sz w:val="24"/>
        </w:rPr>
        <w:t>期：</w:t>
      </w:r>
    </w:p>
    <w:p w14:paraId="4CEA05B4">
      <w:pPr>
        <w:wordWrap w:val="0"/>
        <w:spacing w:line="360" w:lineRule="auto"/>
        <w:jc w:val="left"/>
        <w:rPr>
          <w:rFonts w:hint="eastAsia" w:ascii="宋体" w:hAnsi="宋体"/>
          <w:sz w:val="24"/>
        </w:rPr>
      </w:pPr>
    </w:p>
    <w:p w14:paraId="48E9A7E7">
      <w:pPr>
        <w:wordWrap w:val="0"/>
        <w:spacing w:line="360" w:lineRule="auto"/>
        <w:ind w:firstLine="480" w:firstLineChars="200"/>
        <w:jc w:val="left"/>
        <w:rPr>
          <w:rFonts w:hint="eastAsia" w:ascii="宋体" w:hAnsi="宋体"/>
          <w:sz w:val="24"/>
        </w:rPr>
      </w:pPr>
      <w:r>
        <w:rPr>
          <w:rFonts w:ascii="宋体" w:hAnsi="宋体"/>
          <w:sz w:val="24"/>
          <w:vertAlign w:val="superscript"/>
        </w:rPr>
        <w:t xml:space="preserve">1 </w:t>
      </w:r>
      <w:r>
        <w:rPr>
          <w:rFonts w:ascii="宋体" w:hAnsi="宋体" w:cs="宋体"/>
          <w:sz w:val="24"/>
        </w:rPr>
        <w:t>从业人员、营业收入、资产总额填报上一年度数据，无上一年度数据的新成立企业可不填报。</w:t>
      </w:r>
    </w:p>
    <w:p w14:paraId="46DB16C5">
      <w:pPr>
        <w:wordWrap w:val="0"/>
        <w:spacing w:line="360" w:lineRule="auto"/>
        <w:ind w:firstLine="482" w:firstLineChars="200"/>
        <w:rPr>
          <w:rFonts w:hint="eastAsia" w:ascii="宋体" w:hAnsi="宋体"/>
          <w:b/>
          <w:sz w:val="24"/>
        </w:rPr>
      </w:pPr>
    </w:p>
    <w:p w14:paraId="5E0552D7">
      <w:pPr>
        <w:wordWrap w:val="0"/>
        <w:spacing w:line="360" w:lineRule="auto"/>
        <w:ind w:firstLine="482" w:firstLineChars="200"/>
        <w:rPr>
          <w:rFonts w:hint="eastAsia" w:ascii="宋体" w:hAnsi="宋体"/>
          <w:b/>
          <w:sz w:val="24"/>
        </w:rPr>
      </w:pPr>
    </w:p>
    <w:p w14:paraId="0D47E2B1">
      <w:pPr>
        <w:wordWrap w:val="0"/>
        <w:spacing w:line="360" w:lineRule="auto"/>
        <w:ind w:firstLine="482" w:firstLineChars="200"/>
        <w:rPr>
          <w:rFonts w:hint="eastAsia" w:ascii="宋体" w:hAnsi="宋体"/>
          <w:b/>
          <w:sz w:val="24"/>
        </w:rPr>
      </w:pPr>
    </w:p>
    <w:p w14:paraId="19D058F3">
      <w:pPr>
        <w:rPr>
          <w:rFonts w:hint="eastAsia" w:ascii="宋体" w:hAnsi="宋体" w:cs="宋体"/>
          <w:b/>
          <w:bCs/>
          <w:kern w:val="0"/>
          <w:sz w:val="24"/>
        </w:rPr>
      </w:pPr>
      <w:r>
        <w:rPr>
          <w:rFonts w:hint="eastAsia" w:ascii="宋体" w:hAnsi="宋体" w:cs="宋体"/>
          <w:b/>
          <w:bCs/>
          <w:kern w:val="0"/>
          <w:sz w:val="24"/>
        </w:rPr>
        <w:br w:type="page"/>
      </w:r>
      <w:r>
        <w:rPr>
          <w:rFonts w:hint="eastAsia" w:ascii="宋体" w:hAnsi="宋体" w:cs="宋体"/>
          <w:b/>
          <w:bCs/>
          <w:kern w:val="0"/>
          <w:sz w:val="24"/>
        </w:rPr>
        <w:t>附表</w:t>
      </w:r>
    </w:p>
    <w:p w14:paraId="68F1220A">
      <w:pPr>
        <w:pStyle w:val="2"/>
        <w:ind w:left="0" w:leftChars="0" w:firstLine="0" w:firstLineChars="0"/>
        <w:jc w:val="center"/>
        <w:rPr>
          <w:sz w:val="28"/>
          <w:szCs w:val="28"/>
        </w:rPr>
      </w:pPr>
      <w:r>
        <w:rPr>
          <w:rFonts w:hint="eastAsia"/>
          <w:sz w:val="28"/>
          <w:szCs w:val="28"/>
          <w:lang w:val="zh-CN"/>
        </w:rPr>
        <w:t>建筑业大中小微型企业划分标准</w:t>
      </w:r>
    </w:p>
    <w:tbl>
      <w:tblPr>
        <w:tblStyle w:val="47"/>
        <w:tblW w:w="92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1"/>
        <w:gridCol w:w="1369"/>
        <w:gridCol w:w="709"/>
        <w:gridCol w:w="1125"/>
        <w:gridCol w:w="1701"/>
        <w:gridCol w:w="1726"/>
        <w:gridCol w:w="1142"/>
      </w:tblGrid>
      <w:tr w14:paraId="62A08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2" w:hRule="exact"/>
          <w:jc w:val="center"/>
        </w:trPr>
        <w:tc>
          <w:tcPr>
            <w:tcW w:w="1481" w:type="dxa"/>
            <w:vAlign w:val="center"/>
          </w:tcPr>
          <w:p w14:paraId="05B3C994">
            <w:pPr>
              <w:widowControl/>
              <w:spacing w:line="240" w:lineRule="exact"/>
              <w:jc w:val="center"/>
              <w:rPr>
                <w:rFonts w:hint="eastAsia" w:ascii="宋体" w:hAnsi="宋体" w:cs="宋体"/>
                <w:b/>
                <w:bCs/>
                <w:color w:val="000000"/>
                <w:kern w:val="0"/>
                <w:szCs w:val="21"/>
              </w:rPr>
            </w:pPr>
            <w:r>
              <w:rPr>
                <w:rFonts w:hint="eastAsia" w:ascii="宋体" w:hAnsi="宋体" w:cs="宋体"/>
                <w:b/>
                <w:bCs/>
                <w:color w:val="000000"/>
                <w:kern w:val="0"/>
                <w:szCs w:val="21"/>
              </w:rPr>
              <w:t>行业名称</w:t>
            </w:r>
          </w:p>
        </w:tc>
        <w:tc>
          <w:tcPr>
            <w:tcW w:w="1369" w:type="dxa"/>
            <w:vAlign w:val="center"/>
          </w:tcPr>
          <w:p w14:paraId="5D48F47A">
            <w:pPr>
              <w:widowControl/>
              <w:jc w:val="center"/>
              <w:rPr>
                <w:rFonts w:hint="eastAsia" w:ascii="宋体" w:hAnsi="宋体" w:cs="宋体"/>
                <w:b/>
                <w:bCs/>
                <w:color w:val="000000"/>
                <w:kern w:val="0"/>
                <w:szCs w:val="21"/>
              </w:rPr>
            </w:pPr>
            <w:r>
              <w:rPr>
                <w:rFonts w:hint="eastAsia" w:ascii="宋体" w:hAnsi="宋体" w:cs="宋体"/>
                <w:b/>
                <w:bCs/>
                <w:color w:val="000000"/>
                <w:kern w:val="0"/>
                <w:szCs w:val="21"/>
              </w:rPr>
              <w:t>指标名称</w:t>
            </w:r>
          </w:p>
        </w:tc>
        <w:tc>
          <w:tcPr>
            <w:tcW w:w="709" w:type="dxa"/>
            <w:vAlign w:val="center"/>
          </w:tcPr>
          <w:p w14:paraId="52D7D19F">
            <w:pPr>
              <w:widowControl/>
              <w:jc w:val="center"/>
              <w:rPr>
                <w:rFonts w:hint="eastAsia" w:ascii="宋体" w:hAnsi="宋体" w:cs="宋体"/>
                <w:b/>
                <w:bCs/>
                <w:color w:val="000000"/>
                <w:kern w:val="0"/>
                <w:szCs w:val="21"/>
              </w:rPr>
            </w:pPr>
            <w:r>
              <w:rPr>
                <w:rFonts w:hint="eastAsia" w:ascii="宋体" w:hAnsi="宋体" w:cs="宋体"/>
                <w:b/>
                <w:bCs/>
                <w:color w:val="000000"/>
                <w:kern w:val="0"/>
                <w:szCs w:val="21"/>
              </w:rPr>
              <w:t>计量单位</w:t>
            </w:r>
          </w:p>
        </w:tc>
        <w:tc>
          <w:tcPr>
            <w:tcW w:w="1125" w:type="dxa"/>
            <w:vAlign w:val="center"/>
          </w:tcPr>
          <w:p w14:paraId="3C91B0C8">
            <w:pPr>
              <w:widowControl/>
              <w:jc w:val="center"/>
              <w:rPr>
                <w:rFonts w:hint="eastAsia" w:ascii="宋体" w:hAnsi="宋体" w:cs="宋体"/>
                <w:b/>
                <w:bCs/>
                <w:color w:val="000000"/>
                <w:kern w:val="0"/>
                <w:szCs w:val="21"/>
              </w:rPr>
            </w:pPr>
            <w:r>
              <w:rPr>
                <w:rFonts w:hint="eastAsia" w:ascii="宋体" w:hAnsi="宋体" w:cs="宋体"/>
                <w:b/>
                <w:bCs/>
                <w:color w:val="000000"/>
                <w:kern w:val="0"/>
                <w:szCs w:val="21"/>
              </w:rPr>
              <w:t>大型</w:t>
            </w:r>
          </w:p>
        </w:tc>
        <w:tc>
          <w:tcPr>
            <w:tcW w:w="1701" w:type="dxa"/>
            <w:vAlign w:val="center"/>
          </w:tcPr>
          <w:p w14:paraId="3C37B156">
            <w:pPr>
              <w:widowControl/>
              <w:jc w:val="center"/>
              <w:rPr>
                <w:rFonts w:hint="eastAsia" w:ascii="宋体" w:hAnsi="宋体" w:cs="宋体"/>
                <w:b/>
                <w:bCs/>
                <w:color w:val="000000"/>
                <w:kern w:val="0"/>
                <w:szCs w:val="21"/>
              </w:rPr>
            </w:pPr>
            <w:r>
              <w:rPr>
                <w:rFonts w:hint="eastAsia" w:ascii="宋体" w:hAnsi="宋体" w:cs="宋体"/>
                <w:b/>
                <w:bCs/>
                <w:color w:val="000000"/>
                <w:kern w:val="0"/>
                <w:szCs w:val="21"/>
              </w:rPr>
              <w:t>中型</w:t>
            </w:r>
          </w:p>
        </w:tc>
        <w:tc>
          <w:tcPr>
            <w:tcW w:w="1726" w:type="dxa"/>
            <w:vAlign w:val="center"/>
          </w:tcPr>
          <w:p w14:paraId="3F9B116D">
            <w:pPr>
              <w:widowControl/>
              <w:jc w:val="center"/>
              <w:rPr>
                <w:rFonts w:hint="eastAsia" w:ascii="宋体" w:hAnsi="宋体" w:cs="宋体"/>
                <w:b/>
                <w:bCs/>
                <w:color w:val="000000"/>
                <w:kern w:val="0"/>
                <w:szCs w:val="21"/>
              </w:rPr>
            </w:pPr>
            <w:r>
              <w:rPr>
                <w:rFonts w:hint="eastAsia" w:ascii="宋体" w:hAnsi="宋体" w:cs="宋体"/>
                <w:b/>
                <w:bCs/>
                <w:color w:val="000000"/>
                <w:kern w:val="0"/>
                <w:szCs w:val="21"/>
              </w:rPr>
              <w:t>小型</w:t>
            </w:r>
          </w:p>
        </w:tc>
        <w:tc>
          <w:tcPr>
            <w:tcW w:w="1142" w:type="dxa"/>
            <w:vAlign w:val="center"/>
          </w:tcPr>
          <w:p w14:paraId="3AF84CA1">
            <w:pPr>
              <w:widowControl/>
              <w:jc w:val="center"/>
              <w:rPr>
                <w:rFonts w:hint="eastAsia" w:ascii="宋体" w:hAnsi="宋体" w:cs="宋体"/>
                <w:b/>
                <w:bCs/>
                <w:color w:val="000000"/>
                <w:kern w:val="0"/>
                <w:szCs w:val="21"/>
              </w:rPr>
            </w:pPr>
            <w:r>
              <w:rPr>
                <w:rFonts w:hint="eastAsia" w:ascii="宋体" w:hAnsi="宋体" w:cs="宋体"/>
                <w:b/>
                <w:bCs/>
                <w:color w:val="000000"/>
                <w:kern w:val="0"/>
                <w:szCs w:val="21"/>
              </w:rPr>
              <w:t>微型</w:t>
            </w:r>
          </w:p>
        </w:tc>
      </w:tr>
      <w:tr w14:paraId="4BA3D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exact"/>
          <w:jc w:val="center"/>
        </w:trPr>
        <w:tc>
          <w:tcPr>
            <w:tcW w:w="1481" w:type="dxa"/>
            <w:vMerge w:val="restart"/>
            <w:vAlign w:val="center"/>
          </w:tcPr>
          <w:p w14:paraId="429A89E2">
            <w:pPr>
              <w:widowControl/>
              <w:spacing w:line="240" w:lineRule="exact"/>
              <w:jc w:val="center"/>
              <w:rPr>
                <w:rFonts w:hint="eastAsia" w:ascii="宋体" w:hAnsi="宋体" w:cs="宋体"/>
                <w:color w:val="000000"/>
                <w:kern w:val="0"/>
                <w:szCs w:val="21"/>
              </w:rPr>
            </w:pPr>
            <w:r>
              <w:rPr>
                <w:rFonts w:hint="eastAsia" w:ascii="宋体" w:hAnsi="宋体" w:cs="宋体"/>
                <w:color w:val="000000"/>
                <w:kern w:val="0"/>
                <w:szCs w:val="21"/>
              </w:rPr>
              <w:t>建筑业</w:t>
            </w:r>
          </w:p>
        </w:tc>
        <w:tc>
          <w:tcPr>
            <w:tcW w:w="1369" w:type="dxa"/>
            <w:vAlign w:val="center"/>
          </w:tcPr>
          <w:p w14:paraId="3DA86F01">
            <w:pPr>
              <w:widowControl/>
              <w:jc w:val="center"/>
              <w:rPr>
                <w:rFonts w:hint="eastAsia" w:ascii="宋体" w:hAnsi="宋体" w:cs="宋体"/>
                <w:color w:val="000000"/>
                <w:kern w:val="0"/>
                <w:szCs w:val="21"/>
              </w:rPr>
            </w:pPr>
            <w:r>
              <w:rPr>
                <w:rFonts w:hint="eastAsia" w:ascii="宋体" w:hAnsi="宋体" w:cs="宋体"/>
                <w:color w:val="000000"/>
                <w:kern w:val="0"/>
                <w:szCs w:val="21"/>
              </w:rPr>
              <w:t>营业收入(Y)</w:t>
            </w:r>
          </w:p>
        </w:tc>
        <w:tc>
          <w:tcPr>
            <w:tcW w:w="709" w:type="dxa"/>
            <w:vAlign w:val="center"/>
          </w:tcPr>
          <w:p w14:paraId="01B75348">
            <w:pPr>
              <w:widowControl/>
              <w:jc w:val="center"/>
              <w:rPr>
                <w:rFonts w:hint="eastAsia" w:ascii="宋体" w:hAnsi="宋体" w:cs="宋体"/>
                <w:color w:val="000000"/>
                <w:kern w:val="0"/>
                <w:szCs w:val="21"/>
              </w:rPr>
            </w:pPr>
            <w:r>
              <w:rPr>
                <w:rFonts w:hint="eastAsia" w:ascii="宋体" w:hAnsi="宋体" w:cs="宋体"/>
                <w:color w:val="000000"/>
                <w:kern w:val="0"/>
                <w:szCs w:val="21"/>
              </w:rPr>
              <w:t>万元</w:t>
            </w:r>
          </w:p>
        </w:tc>
        <w:tc>
          <w:tcPr>
            <w:tcW w:w="1125" w:type="dxa"/>
            <w:vAlign w:val="center"/>
          </w:tcPr>
          <w:p w14:paraId="7102A36E">
            <w:pPr>
              <w:widowControl/>
              <w:jc w:val="center"/>
              <w:rPr>
                <w:rFonts w:hint="eastAsia" w:ascii="宋体" w:hAnsi="宋体" w:cs="宋体"/>
                <w:color w:val="000000"/>
                <w:kern w:val="0"/>
                <w:szCs w:val="21"/>
              </w:rPr>
            </w:pPr>
            <w:r>
              <w:rPr>
                <w:rFonts w:hint="eastAsia" w:ascii="宋体" w:hAnsi="宋体" w:cs="宋体"/>
                <w:color w:val="000000"/>
                <w:kern w:val="0"/>
                <w:szCs w:val="21"/>
              </w:rPr>
              <w:t>Y≥80000</w:t>
            </w:r>
          </w:p>
        </w:tc>
        <w:tc>
          <w:tcPr>
            <w:tcW w:w="1701" w:type="dxa"/>
            <w:vAlign w:val="center"/>
          </w:tcPr>
          <w:p w14:paraId="0D44AE99">
            <w:pPr>
              <w:widowControl/>
              <w:jc w:val="center"/>
              <w:rPr>
                <w:rFonts w:hint="eastAsia" w:ascii="宋体" w:hAnsi="宋体" w:cs="宋体"/>
                <w:color w:val="000000"/>
                <w:kern w:val="0"/>
                <w:szCs w:val="21"/>
              </w:rPr>
            </w:pPr>
            <w:r>
              <w:rPr>
                <w:rFonts w:hint="eastAsia" w:ascii="宋体" w:hAnsi="宋体" w:cs="宋体"/>
                <w:color w:val="000000"/>
                <w:kern w:val="0"/>
                <w:szCs w:val="21"/>
              </w:rPr>
              <w:t>6000≤Y＜80000</w:t>
            </w:r>
          </w:p>
        </w:tc>
        <w:tc>
          <w:tcPr>
            <w:tcW w:w="1726" w:type="dxa"/>
            <w:vAlign w:val="center"/>
          </w:tcPr>
          <w:p w14:paraId="1EEAE2E6">
            <w:pPr>
              <w:widowControl/>
              <w:jc w:val="center"/>
              <w:rPr>
                <w:rFonts w:hint="eastAsia" w:ascii="宋体" w:hAnsi="宋体" w:cs="宋体"/>
                <w:color w:val="000000"/>
                <w:kern w:val="0"/>
                <w:szCs w:val="21"/>
              </w:rPr>
            </w:pPr>
            <w:r>
              <w:rPr>
                <w:rFonts w:hint="eastAsia" w:ascii="宋体" w:hAnsi="宋体" w:cs="宋体"/>
                <w:color w:val="000000"/>
                <w:kern w:val="0"/>
                <w:szCs w:val="21"/>
              </w:rPr>
              <w:t xml:space="preserve"> 300≤Y＜6000</w:t>
            </w:r>
          </w:p>
        </w:tc>
        <w:tc>
          <w:tcPr>
            <w:tcW w:w="1142" w:type="dxa"/>
            <w:vAlign w:val="center"/>
          </w:tcPr>
          <w:p w14:paraId="340F57B0">
            <w:pPr>
              <w:widowControl/>
              <w:jc w:val="center"/>
              <w:rPr>
                <w:rFonts w:hint="eastAsia" w:ascii="宋体" w:hAnsi="宋体" w:cs="宋体"/>
                <w:color w:val="000000"/>
                <w:kern w:val="0"/>
                <w:szCs w:val="21"/>
              </w:rPr>
            </w:pPr>
            <w:r>
              <w:rPr>
                <w:rFonts w:hint="eastAsia" w:ascii="宋体" w:hAnsi="宋体" w:cs="宋体"/>
                <w:color w:val="000000"/>
                <w:kern w:val="0"/>
                <w:szCs w:val="21"/>
              </w:rPr>
              <w:t>Y＜300</w:t>
            </w:r>
          </w:p>
        </w:tc>
      </w:tr>
      <w:tr w14:paraId="10B1A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exact"/>
          <w:jc w:val="center"/>
        </w:trPr>
        <w:tc>
          <w:tcPr>
            <w:tcW w:w="1481" w:type="dxa"/>
            <w:vMerge w:val="continue"/>
            <w:vAlign w:val="center"/>
          </w:tcPr>
          <w:p w14:paraId="673DA6EE">
            <w:pPr>
              <w:widowControl/>
              <w:jc w:val="left"/>
              <w:rPr>
                <w:rFonts w:hint="eastAsia" w:ascii="宋体" w:hAnsi="宋体" w:cs="宋体"/>
                <w:color w:val="000000"/>
                <w:kern w:val="0"/>
                <w:szCs w:val="21"/>
              </w:rPr>
            </w:pPr>
          </w:p>
        </w:tc>
        <w:tc>
          <w:tcPr>
            <w:tcW w:w="1369" w:type="dxa"/>
            <w:vAlign w:val="center"/>
          </w:tcPr>
          <w:p w14:paraId="4339D73F">
            <w:pPr>
              <w:widowControl/>
              <w:spacing w:line="240" w:lineRule="exact"/>
              <w:jc w:val="center"/>
              <w:rPr>
                <w:rFonts w:hint="eastAsia" w:ascii="宋体" w:hAnsi="宋体" w:cs="宋体"/>
                <w:color w:val="000000"/>
                <w:kern w:val="0"/>
                <w:szCs w:val="21"/>
              </w:rPr>
            </w:pPr>
            <w:r>
              <w:rPr>
                <w:rFonts w:hint="eastAsia" w:ascii="宋体" w:hAnsi="宋体" w:cs="宋体"/>
                <w:color w:val="000000"/>
                <w:kern w:val="0"/>
                <w:szCs w:val="21"/>
              </w:rPr>
              <w:t>资产总额(Z)</w:t>
            </w:r>
          </w:p>
        </w:tc>
        <w:tc>
          <w:tcPr>
            <w:tcW w:w="709" w:type="dxa"/>
            <w:vAlign w:val="center"/>
          </w:tcPr>
          <w:p w14:paraId="1D035D1D">
            <w:pPr>
              <w:widowControl/>
              <w:jc w:val="center"/>
              <w:rPr>
                <w:rFonts w:hint="eastAsia" w:ascii="宋体" w:hAnsi="宋体" w:cs="宋体"/>
                <w:color w:val="000000"/>
                <w:kern w:val="0"/>
                <w:szCs w:val="21"/>
              </w:rPr>
            </w:pPr>
            <w:r>
              <w:rPr>
                <w:rFonts w:hint="eastAsia" w:ascii="宋体" w:hAnsi="宋体" w:cs="宋体"/>
                <w:color w:val="000000"/>
                <w:kern w:val="0"/>
                <w:szCs w:val="21"/>
              </w:rPr>
              <w:t>万元</w:t>
            </w:r>
          </w:p>
        </w:tc>
        <w:tc>
          <w:tcPr>
            <w:tcW w:w="1125" w:type="dxa"/>
            <w:vAlign w:val="center"/>
          </w:tcPr>
          <w:p w14:paraId="2517D11E">
            <w:pPr>
              <w:widowControl/>
              <w:jc w:val="center"/>
              <w:rPr>
                <w:rFonts w:hint="eastAsia" w:ascii="宋体" w:hAnsi="宋体" w:cs="宋体"/>
                <w:color w:val="000000"/>
                <w:kern w:val="0"/>
                <w:szCs w:val="21"/>
              </w:rPr>
            </w:pPr>
            <w:r>
              <w:rPr>
                <w:rFonts w:hint="eastAsia" w:ascii="宋体" w:hAnsi="宋体" w:cs="宋体"/>
                <w:color w:val="000000"/>
                <w:kern w:val="0"/>
                <w:szCs w:val="21"/>
              </w:rPr>
              <w:t>Z≥80000</w:t>
            </w:r>
          </w:p>
        </w:tc>
        <w:tc>
          <w:tcPr>
            <w:tcW w:w="1701" w:type="dxa"/>
            <w:vAlign w:val="center"/>
          </w:tcPr>
          <w:p w14:paraId="1DBE2C7D">
            <w:pPr>
              <w:widowControl/>
              <w:jc w:val="center"/>
              <w:rPr>
                <w:rFonts w:hint="eastAsia" w:ascii="宋体" w:hAnsi="宋体" w:cs="宋体"/>
                <w:color w:val="000000"/>
                <w:kern w:val="0"/>
                <w:szCs w:val="21"/>
              </w:rPr>
            </w:pPr>
            <w:r>
              <w:rPr>
                <w:rFonts w:hint="eastAsia" w:ascii="宋体" w:hAnsi="宋体" w:cs="宋体"/>
                <w:color w:val="000000"/>
                <w:kern w:val="0"/>
                <w:szCs w:val="21"/>
              </w:rPr>
              <w:t>5000≤Z＜80000</w:t>
            </w:r>
          </w:p>
        </w:tc>
        <w:tc>
          <w:tcPr>
            <w:tcW w:w="1726" w:type="dxa"/>
            <w:vAlign w:val="center"/>
          </w:tcPr>
          <w:p w14:paraId="23BD80EB">
            <w:pPr>
              <w:widowControl/>
              <w:jc w:val="center"/>
              <w:rPr>
                <w:rFonts w:hint="eastAsia" w:ascii="宋体" w:hAnsi="宋体" w:cs="宋体"/>
                <w:color w:val="000000"/>
                <w:kern w:val="0"/>
                <w:szCs w:val="21"/>
              </w:rPr>
            </w:pPr>
            <w:r>
              <w:rPr>
                <w:rFonts w:hint="eastAsia" w:ascii="宋体" w:hAnsi="宋体" w:cs="宋体"/>
                <w:color w:val="000000"/>
                <w:kern w:val="0"/>
                <w:szCs w:val="21"/>
              </w:rPr>
              <w:t xml:space="preserve"> 300≤Z＜5000</w:t>
            </w:r>
          </w:p>
        </w:tc>
        <w:tc>
          <w:tcPr>
            <w:tcW w:w="1142" w:type="dxa"/>
            <w:vAlign w:val="center"/>
          </w:tcPr>
          <w:p w14:paraId="3807721E">
            <w:pPr>
              <w:widowControl/>
              <w:jc w:val="center"/>
              <w:rPr>
                <w:rFonts w:hint="eastAsia" w:ascii="宋体" w:hAnsi="宋体" w:cs="宋体"/>
                <w:color w:val="000000"/>
                <w:kern w:val="0"/>
                <w:szCs w:val="21"/>
              </w:rPr>
            </w:pPr>
            <w:r>
              <w:rPr>
                <w:rFonts w:hint="eastAsia" w:ascii="宋体" w:hAnsi="宋体" w:cs="宋体"/>
                <w:color w:val="000000"/>
                <w:kern w:val="0"/>
                <w:szCs w:val="21"/>
              </w:rPr>
              <w:t>Z＜300</w:t>
            </w:r>
          </w:p>
        </w:tc>
      </w:tr>
    </w:tbl>
    <w:p w14:paraId="0B1EC5A7">
      <w:pPr>
        <w:pStyle w:val="2"/>
        <w:ind w:firstLine="512"/>
        <w:rPr>
          <w:rFonts w:ascii="仿宋_GB2312" w:eastAsia="仿宋_GB2312" w:cs="宋体"/>
          <w:color w:val="000000"/>
          <w:spacing w:val="8"/>
          <w:kern w:val="0"/>
          <w:sz w:val="24"/>
          <w:szCs w:val="24"/>
        </w:rPr>
      </w:pPr>
    </w:p>
    <w:p w14:paraId="36913D82">
      <w:pPr>
        <w:kinsoku w:val="0"/>
        <w:autoSpaceDE w:val="0"/>
        <w:autoSpaceDN w:val="0"/>
        <w:adjustRightInd w:val="0"/>
        <w:snapToGrid w:val="0"/>
        <w:spacing w:before="120" w:beforeLines="50" w:line="360" w:lineRule="auto"/>
        <w:textAlignment w:val="baseline"/>
        <w:rPr>
          <w:rFonts w:hint="eastAsia" w:ascii="宋体" w:hAnsi="宋体" w:cs="宋体"/>
          <w:sz w:val="24"/>
        </w:rPr>
      </w:pPr>
      <w:r>
        <w:rPr>
          <w:rFonts w:hint="eastAsia" w:ascii="宋体" w:hAnsi="宋体" w:cs="宋体"/>
          <w:color w:val="000000"/>
          <w:spacing w:val="8"/>
          <w:kern w:val="0"/>
          <w:sz w:val="24"/>
        </w:rPr>
        <w:t>大型、中型和小型企业须同时满足所列指标的下限，否则下划一档；微型企业只须满足所列指标中的一项即可。</w:t>
      </w:r>
    </w:p>
    <w:p w14:paraId="7CF173A6">
      <w:pPr>
        <w:rPr>
          <w:rFonts w:ascii="仿宋_GB2312" w:eastAsia="仿宋_GB2312"/>
          <w:spacing w:val="6"/>
          <w:sz w:val="30"/>
          <w:szCs w:val="30"/>
        </w:rPr>
      </w:pPr>
      <w:r>
        <w:rPr>
          <w:rFonts w:hint="eastAsia" w:ascii="仿宋_GB2312" w:eastAsia="仿宋_GB2312"/>
          <w:spacing w:val="6"/>
          <w:sz w:val="30"/>
          <w:szCs w:val="30"/>
        </w:rPr>
        <w:br w:type="page"/>
      </w:r>
    </w:p>
    <w:p w14:paraId="55EE95D3">
      <w:pPr>
        <w:pStyle w:val="7"/>
        <w:widowControl/>
        <w:wordWrap w:val="0"/>
        <w:jc w:val="center"/>
        <w:rPr>
          <w:rFonts w:hint="eastAsia" w:ascii="宋体" w:hAnsi="宋体" w:eastAsia="宋体"/>
          <w:sz w:val="24"/>
        </w:rPr>
      </w:pPr>
      <w:r>
        <w:rPr>
          <w:rFonts w:hint="eastAsia" w:ascii="黑体" w:hAnsi="黑体" w:cs="黑体"/>
          <w:b w:val="0"/>
          <w:bCs w:val="0"/>
          <w:kern w:val="0"/>
          <w:sz w:val="28"/>
          <w:szCs w:val="28"/>
        </w:rPr>
        <w:t>2</w:t>
      </w:r>
      <w:r>
        <w:rPr>
          <w:rFonts w:ascii="黑体" w:hAnsi="黑体" w:cs="黑体"/>
          <w:b w:val="0"/>
          <w:bCs w:val="0"/>
          <w:kern w:val="0"/>
          <w:sz w:val="28"/>
          <w:szCs w:val="28"/>
        </w:rPr>
        <w:t>-</w:t>
      </w:r>
      <w:r>
        <w:rPr>
          <w:rFonts w:hint="eastAsia" w:ascii="黑体" w:hAnsi="黑体" w:cs="黑体"/>
          <w:b w:val="0"/>
          <w:bCs w:val="0"/>
          <w:kern w:val="0"/>
          <w:sz w:val="28"/>
          <w:szCs w:val="28"/>
        </w:rPr>
        <w:t>2  供应商为监狱企业</w:t>
      </w:r>
      <w:r>
        <w:rPr>
          <w:rFonts w:ascii="黑体" w:hAnsi="黑体" w:cs="黑体"/>
          <w:b w:val="0"/>
          <w:bCs w:val="0"/>
          <w:kern w:val="0"/>
          <w:sz w:val="28"/>
          <w:szCs w:val="28"/>
        </w:rPr>
        <w:t>声明函</w:t>
      </w:r>
    </w:p>
    <w:p w14:paraId="3CF6967F">
      <w:pPr>
        <w:wordWrap w:val="0"/>
        <w:spacing w:line="360" w:lineRule="auto"/>
        <w:ind w:left="1080" w:leftChars="257" w:hanging="540"/>
        <w:jc w:val="center"/>
        <w:rPr>
          <w:rFonts w:hint="eastAsia" w:ascii="宋体" w:hAnsi="宋体"/>
          <w:b/>
          <w:kern w:val="0"/>
          <w:sz w:val="24"/>
          <w:szCs w:val="20"/>
        </w:rPr>
      </w:pPr>
    </w:p>
    <w:p w14:paraId="5AF84D9E">
      <w:pPr>
        <w:widowControl/>
        <w:wordWrap w:val="0"/>
        <w:spacing w:before="100" w:beforeAutospacing="1" w:after="100" w:afterAutospacing="1" w:line="360" w:lineRule="auto"/>
        <w:ind w:firstLine="480" w:firstLineChars="200"/>
        <w:jc w:val="left"/>
        <w:rPr>
          <w:rFonts w:hint="eastAsia" w:ascii="宋体" w:hAnsi="宋体" w:cs="宋体"/>
          <w:kern w:val="0"/>
          <w:sz w:val="24"/>
        </w:rPr>
      </w:pPr>
      <w:r>
        <w:rPr>
          <w:rFonts w:ascii="宋体" w:hAnsi="宋体" w:cs="宋体"/>
          <w:kern w:val="0"/>
          <w:sz w:val="24"/>
        </w:rPr>
        <w:t>本</w:t>
      </w:r>
      <w:r>
        <w:rPr>
          <w:rFonts w:hint="eastAsia" w:ascii="宋体" w:hAnsi="宋体" w:cs="宋体"/>
          <w:kern w:val="0"/>
          <w:sz w:val="24"/>
        </w:rPr>
        <w:t>企业</w:t>
      </w:r>
      <w:r>
        <w:rPr>
          <w:rFonts w:ascii="宋体" w:hAnsi="宋体" w:cs="宋体"/>
          <w:kern w:val="0"/>
          <w:sz w:val="24"/>
        </w:rPr>
        <w:t>（</w:t>
      </w:r>
      <w:r>
        <w:rPr>
          <w:rFonts w:hint="eastAsia" w:ascii="宋体" w:hAnsi="宋体" w:cs="宋体"/>
          <w:kern w:val="0"/>
          <w:sz w:val="24"/>
        </w:rPr>
        <w:t>单位</w:t>
      </w:r>
      <w:r>
        <w:rPr>
          <w:rFonts w:ascii="宋体" w:hAnsi="宋体" w:cs="宋体"/>
          <w:kern w:val="0"/>
          <w:sz w:val="24"/>
        </w:rPr>
        <w:t>）郑重声明下</w:t>
      </w:r>
      <w:r>
        <w:rPr>
          <w:rFonts w:hint="eastAsia" w:ascii="宋体" w:hAnsi="宋体" w:cs="宋体"/>
          <w:kern w:val="0"/>
          <w:sz w:val="24"/>
        </w:rPr>
        <w:t>列事项（按照</w:t>
      </w:r>
      <w:r>
        <w:rPr>
          <w:rFonts w:ascii="宋体" w:hAnsi="宋体" w:cs="宋体"/>
          <w:kern w:val="0"/>
          <w:sz w:val="24"/>
        </w:rPr>
        <w:t>实际情况</w:t>
      </w:r>
      <w:r>
        <w:rPr>
          <w:rFonts w:hint="eastAsia" w:ascii="宋体" w:hAnsi="宋体" w:cs="宋体"/>
          <w:kern w:val="0"/>
          <w:sz w:val="24"/>
        </w:rPr>
        <w:t>填空）：</w:t>
      </w:r>
    </w:p>
    <w:p w14:paraId="02C68B2E">
      <w:pPr>
        <w:widowControl/>
        <w:wordWrap w:val="0"/>
        <w:spacing w:before="100" w:beforeAutospacing="1" w:after="100" w:afterAutospacing="1" w:line="360" w:lineRule="auto"/>
        <w:ind w:firstLine="480" w:firstLineChars="200"/>
        <w:jc w:val="left"/>
        <w:rPr>
          <w:rFonts w:hint="eastAsia" w:ascii="宋体" w:hAnsi="宋体" w:cs="宋体"/>
          <w:kern w:val="0"/>
          <w:sz w:val="24"/>
        </w:rPr>
      </w:pPr>
      <w:r>
        <w:rPr>
          <w:rFonts w:ascii="宋体" w:hAnsi="宋体" w:cs="宋体"/>
          <w:kern w:val="0"/>
          <w:sz w:val="24"/>
        </w:rPr>
        <w:t>本</w:t>
      </w:r>
      <w:r>
        <w:rPr>
          <w:rFonts w:hint="eastAsia" w:ascii="宋体" w:hAnsi="宋体" w:cs="宋体"/>
          <w:kern w:val="0"/>
          <w:sz w:val="24"/>
        </w:rPr>
        <w:t>企业（单位）为直接</w:t>
      </w:r>
      <w:r>
        <w:rPr>
          <w:rFonts w:hint="eastAsia" w:ascii="宋体" w:hAnsi="宋体"/>
          <w:sz w:val="24"/>
        </w:rPr>
        <w:t>供应商</w:t>
      </w:r>
      <w:r>
        <w:rPr>
          <w:rFonts w:ascii="宋体" w:hAnsi="宋体" w:cs="宋体"/>
          <w:kern w:val="0"/>
          <w:sz w:val="24"/>
        </w:rPr>
        <w:t>提供本企业</w:t>
      </w:r>
      <w:r>
        <w:rPr>
          <w:rFonts w:hint="eastAsia" w:ascii="宋体" w:hAnsi="宋体" w:cs="宋体"/>
          <w:kern w:val="0"/>
          <w:sz w:val="24"/>
        </w:rPr>
        <w:t>（单位）负责实施的</w:t>
      </w:r>
      <w:r>
        <w:rPr>
          <w:rFonts w:hint="eastAsia" w:ascii="宋体" w:hAnsi="宋体" w:cs="宋体"/>
          <w:sz w:val="24"/>
        </w:rPr>
        <w:t>工程</w:t>
      </w:r>
      <w:r>
        <w:rPr>
          <w:rFonts w:hint="eastAsia" w:ascii="宋体" w:hAnsi="宋体" w:cs="宋体"/>
          <w:kern w:val="0"/>
          <w:sz w:val="24"/>
        </w:rPr>
        <w:t>。</w:t>
      </w:r>
    </w:p>
    <w:p w14:paraId="15D622F4">
      <w:pPr>
        <w:widowControl/>
        <w:wordWrap w:val="0"/>
        <w:spacing w:before="100" w:beforeAutospacing="1" w:after="100" w:afterAutospacing="1" w:line="360" w:lineRule="auto"/>
        <w:ind w:firstLine="360" w:firstLineChars="150"/>
        <w:jc w:val="left"/>
        <w:rPr>
          <w:rFonts w:hint="eastAsia" w:ascii="宋体" w:hAnsi="宋体" w:cs="宋体"/>
          <w:kern w:val="0"/>
          <w:sz w:val="24"/>
        </w:rPr>
      </w:pPr>
      <w:r>
        <w:rPr>
          <w:rFonts w:hint="eastAsia" w:ascii="宋体" w:hAnsi="宋体" w:cs="宋体"/>
          <w:kern w:val="0"/>
          <w:sz w:val="24"/>
        </w:rPr>
        <w:t>（1）</w:t>
      </w:r>
      <w:r>
        <w:rPr>
          <w:rFonts w:ascii="宋体" w:hAnsi="宋体" w:cs="宋体"/>
          <w:kern w:val="0"/>
          <w:sz w:val="24"/>
        </w:rPr>
        <w:t>本</w:t>
      </w:r>
      <w:r>
        <w:rPr>
          <w:rFonts w:hint="eastAsia" w:ascii="宋体" w:hAnsi="宋体" w:cs="宋体"/>
          <w:kern w:val="0"/>
          <w:sz w:val="24"/>
        </w:rPr>
        <w:t>企业（单位）</w:t>
      </w:r>
      <w:r>
        <w:rPr>
          <w:rFonts w:hint="eastAsia" w:ascii="宋体" w:hAnsi="宋体" w:cs="宋体"/>
          <w:kern w:val="0"/>
          <w:sz w:val="24"/>
          <w:u w:val="single"/>
        </w:rPr>
        <w:t xml:space="preserve">        </w:t>
      </w:r>
      <w:r>
        <w:rPr>
          <w:rFonts w:ascii="宋体" w:hAnsi="宋体" w:cs="宋体"/>
          <w:kern w:val="0"/>
          <w:sz w:val="24"/>
        </w:rPr>
        <w:t>（请填写：</w:t>
      </w:r>
      <w:r>
        <w:rPr>
          <w:rFonts w:hint="eastAsia" w:ascii="宋体" w:hAnsi="宋体" w:cs="宋体"/>
          <w:kern w:val="0"/>
          <w:sz w:val="24"/>
        </w:rPr>
        <w:t>是、不是</w:t>
      </w:r>
      <w:r>
        <w:rPr>
          <w:rFonts w:ascii="宋体" w:hAnsi="宋体" w:cs="宋体"/>
          <w:kern w:val="0"/>
          <w:sz w:val="24"/>
        </w:rPr>
        <w:t>）监狱企业。</w:t>
      </w:r>
      <w:r>
        <w:rPr>
          <w:rFonts w:hint="eastAsia" w:ascii="宋体" w:hAnsi="宋体" w:cs="宋体"/>
          <w:kern w:val="0"/>
          <w:sz w:val="24"/>
        </w:rPr>
        <w:t>后附省级以上监狱管理局、戒毒管理局（含新疆生产建设兵团）出具的属于监狱企业的证明文件。</w:t>
      </w:r>
    </w:p>
    <w:p w14:paraId="5307A9CF">
      <w:pPr>
        <w:widowControl/>
        <w:wordWrap w:val="0"/>
        <w:spacing w:before="100" w:beforeAutospacing="1" w:after="100" w:afterAutospacing="1" w:line="360" w:lineRule="auto"/>
        <w:ind w:firstLine="420"/>
        <w:jc w:val="left"/>
        <w:rPr>
          <w:rFonts w:hint="eastAsia" w:ascii="宋体" w:hAnsi="宋体" w:cs="宋体"/>
          <w:kern w:val="0"/>
          <w:sz w:val="24"/>
        </w:rPr>
      </w:pPr>
      <w:r>
        <w:rPr>
          <w:rFonts w:hint="eastAsia" w:ascii="宋体" w:hAnsi="宋体" w:cs="宋体"/>
          <w:kern w:val="0"/>
          <w:sz w:val="24"/>
        </w:rPr>
        <w:t>（</w:t>
      </w:r>
      <w:r>
        <w:rPr>
          <w:rFonts w:ascii="宋体" w:hAnsi="宋体" w:cs="宋体"/>
          <w:kern w:val="0"/>
          <w:sz w:val="24"/>
        </w:rPr>
        <w:t>2</w:t>
      </w:r>
      <w:r>
        <w:rPr>
          <w:rFonts w:hint="eastAsia" w:ascii="宋体" w:hAnsi="宋体" w:cs="宋体"/>
          <w:kern w:val="0"/>
          <w:sz w:val="24"/>
        </w:rPr>
        <w:t>）</w:t>
      </w:r>
      <w:r>
        <w:rPr>
          <w:rFonts w:ascii="宋体" w:hAnsi="宋体" w:cs="宋体"/>
          <w:kern w:val="0"/>
          <w:sz w:val="24"/>
        </w:rPr>
        <w:t>本</w:t>
      </w:r>
      <w:r>
        <w:rPr>
          <w:rFonts w:hint="eastAsia" w:ascii="宋体" w:hAnsi="宋体" w:cs="宋体"/>
          <w:kern w:val="0"/>
          <w:sz w:val="24"/>
        </w:rPr>
        <w:t>企业（单位）</w:t>
      </w:r>
      <w:r>
        <w:rPr>
          <w:rFonts w:hint="eastAsia" w:ascii="宋体" w:hAnsi="宋体" w:cs="宋体"/>
          <w:kern w:val="0"/>
          <w:sz w:val="24"/>
          <w:u w:val="single"/>
        </w:rPr>
        <w:t xml:space="preserve">        </w:t>
      </w:r>
      <w:r>
        <w:rPr>
          <w:rFonts w:ascii="宋体" w:hAnsi="宋体" w:cs="宋体"/>
          <w:kern w:val="0"/>
          <w:sz w:val="24"/>
        </w:rPr>
        <w:t>（请填写：</w:t>
      </w:r>
      <w:r>
        <w:rPr>
          <w:rFonts w:hint="eastAsia" w:ascii="宋体" w:hAnsi="宋体" w:cs="宋体"/>
          <w:kern w:val="0"/>
          <w:sz w:val="24"/>
        </w:rPr>
        <w:t>是、不是</w:t>
      </w:r>
      <w:r>
        <w:rPr>
          <w:rFonts w:ascii="宋体" w:hAnsi="宋体" w:cs="宋体"/>
          <w:kern w:val="0"/>
          <w:sz w:val="24"/>
        </w:rPr>
        <w:t>）</w:t>
      </w:r>
      <w:r>
        <w:rPr>
          <w:rFonts w:hint="eastAsia" w:ascii="宋体" w:hAnsi="宋体" w:cs="宋体"/>
          <w:kern w:val="0"/>
          <w:sz w:val="24"/>
        </w:rPr>
        <w:t>为联合体一方，</w:t>
      </w:r>
      <w:r>
        <w:rPr>
          <w:rFonts w:ascii="宋体" w:hAnsi="宋体" w:cs="宋体"/>
          <w:kern w:val="0"/>
          <w:sz w:val="24"/>
        </w:rPr>
        <w:t>提供本企业</w:t>
      </w:r>
      <w:r>
        <w:rPr>
          <w:rFonts w:hint="eastAsia" w:ascii="宋体" w:hAnsi="宋体" w:cs="宋体"/>
          <w:kern w:val="0"/>
          <w:sz w:val="24"/>
        </w:rPr>
        <w:t>（单位）</w:t>
      </w:r>
      <w:r>
        <w:rPr>
          <w:rFonts w:ascii="宋体" w:hAnsi="宋体" w:cs="宋体"/>
          <w:kern w:val="0"/>
          <w:sz w:val="24"/>
        </w:rPr>
        <w:t>制造的货物，由本企业</w:t>
      </w:r>
      <w:r>
        <w:rPr>
          <w:rFonts w:hint="eastAsia" w:ascii="宋体" w:hAnsi="宋体" w:cs="宋体"/>
          <w:kern w:val="0"/>
          <w:sz w:val="24"/>
        </w:rPr>
        <w:t>（单位）</w:t>
      </w:r>
      <w:r>
        <w:rPr>
          <w:rFonts w:ascii="宋体" w:hAnsi="宋体" w:cs="宋体"/>
          <w:kern w:val="0"/>
          <w:sz w:val="24"/>
        </w:rPr>
        <w:t>承担工程、提供服务</w:t>
      </w:r>
      <w:r>
        <w:rPr>
          <w:rFonts w:hint="eastAsia" w:ascii="宋体" w:hAnsi="宋体" w:cs="宋体"/>
          <w:kern w:val="0"/>
          <w:sz w:val="24"/>
        </w:rPr>
        <w:t>。本企业</w:t>
      </w:r>
      <w:r>
        <w:rPr>
          <w:rFonts w:ascii="宋体" w:hAnsi="宋体" w:cs="宋体"/>
          <w:kern w:val="0"/>
          <w:sz w:val="24"/>
        </w:rPr>
        <w:t>（</w:t>
      </w:r>
      <w:r>
        <w:rPr>
          <w:rFonts w:hint="eastAsia" w:ascii="宋体" w:hAnsi="宋体" w:cs="宋体"/>
          <w:kern w:val="0"/>
          <w:sz w:val="24"/>
        </w:rPr>
        <w:t>单位</w:t>
      </w:r>
      <w:r>
        <w:rPr>
          <w:rFonts w:ascii="宋体" w:hAnsi="宋体" w:cs="宋体"/>
          <w:kern w:val="0"/>
          <w:sz w:val="24"/>
        </w:rPr>
        <w:t>）</w:t>
      </w:r>
      <w:r>
        <w:rPr>
          <w:rFonts w:hint="eastAsia" w:ascii="宋体" w:hAnsi="宋体" w:cs="宋体"/>
          <w:kern w:val="0"/>
          <w:sz w:val="24"/>
        </w:rPr>
        <w:t>提供</w:t>
      </w:r>
      <w:r>
        <w:rPr>
          <w:rFonts w:ascii="宋体" w:hAnsi="宋体" w:cs="宋体"/>
          <w:kern w:val="0"/>
          <w:sz w:val="24"/>
        </w:rPr>
        <w:t>协议合同金额</w:t>
      </w:r>
      <w:r>
        <w:rPr>
          <w:rFonts w:hint="eastAsia" w:ascii="宋体" w:hAnsi="宋体" w:cs="宋体"/>
          <w:kern w:val="0"/>
          <w:sz w:val="24"/>
        </w:rPr>
        <w:t>占共同提交响应文件</w:t>
      </w:r>
      <w:r>
        <w:rPr>
          <w:rFonts w:ascii="宋体" w:hAnsi="宋体" w:cs="宋体"/>
          <w:kern w:val="0"/>
          <w:sz w:val="24"/>
        </w:rPr>
        <w:t>协议合同总金额</w:t>
      </w:r>
      <w:r>
        <w:rPr>
          <w:rFonts w:hint="eastAsia" w:ascii="宋体" w:hAnsi="宋体" w:cs="宋体"/>
          <w:kern w:val="0"/>
          <w:sz w:val="24"/>
        </w:rPr>
        <w:t>的比例为</w:t>
      </w:r>
      <w:r>
        <w:rPr>
          <w:rFonts w:hint="eastAsia" w:ascii="宋体" w:hAnsi="宋体" w:cs="宋体"/>
          <w:kern w:val="0"/>
          <w:sz w:val="24"/>
          <w:u w:val="single"/>
        </w:rPr>
        <w:t xml:space="preserve">       </w:t>
      </w:r>
      <w:r>
        <w:rPr>
          <w:rFonts w:hint="eastAsia" w:ascii="宋体" w:hAnsi="宋体" w:cs="宋体"/>
          <w:kern w:val="0"/>
          <w:sz w:val="24"/>
        </w:rPr>
        <w:t>。（非联合体提交响应文件，将本条删除。）</w:t>
      </w:r>
    </w:p>
    <w:p w14:paraId="680A3965">
      <w:pPr>
        <w:widowControl/>
        <w:wordWrap w:val="0"/>
        <w:spacing w:before="100" w:beforeAutospacing="1" w:after="100" w:afterAutospacing="1" w:line="360" w:lineRule="auto"/>
        <w:ind w:firstLine="480" w:firstLineChars="200"/>
        <w:jc w:val="left"/>
        <w:rPr>
          <w:rFonts w:hint="eastAsia" w:ascii="宋体" w:hAnsi="宋体" w:cs="宋体"/>
          <w:kern w:val="0"/>
          <w:sz w:val="24"/>
        </w:rPr>
      </w:pPr>
      <w:r>
        <w:rPr>
          <w:rFonts w:ascii="宋体" w:hAnsi="宋体" w:cs="宋体"/>
          <w:kern w:val="0"/>
          <w:sz w:val="24"/>
        </w:rPr>
        <w:t>本</w:t>
      </w:r>
      <w:r>
        <w:rPr>
          <w:rFonts w:hint="eastAsia" w:ascii="宋体" w:hAnsi="宋体" w:cs="宋体"/>
          <w:kern w:val="0"/>
          <w:sz w:val="24"/>
        </w:rPr>
        <w:t>企业</w:t>
      </w:r>
      <w:r>
        <w:rPr>
          <w:rFonts w:ascii="宋体" w:hAnsi="宋体" w:cs="宋体"/>
          <w:kern w:val="0"/>
          <w:sz w:val="24"/>
        </w:rPr>
        <w:t>（</w:t>
      </w:r>
      <w:r>
        <w:rPr>
          <w:rFonts w:hint="eastAsia" w:ascii="宋体" w:hAnsi="宋体" w:cs="宋体"/>
          <w:kern w:val="0"/>
          <w:sz w:val="24"/>
        </w:rPr>
        <w:t>单位</w:t>
      </w:r>
      <w:r>
        <w:rPr>
          <w:rFonts w:ascii="宋体" w:hAnsi="宋体" w:cs="宋体"/>
          <w:kern w:val="0"/>
          <w:sz w:val="24"/>
        </w:rPr>
        <w:t>）对上述声明的真实性负责。如有虚假，将依法承担相应责任。</w:t>
      </w:r>
    </w:p>
    <w:p w14:paraId="6B48D7AB">
      <w:pPr>
        <w:widowControl/>
        <w:wordWrap w:val="0"/>
        <w:spacing w:before="100" w:beforeAutospacing="1" w:after="100" w:afterAutospacing="1" w:line="360" w:lineRule="auto"/>
        <w:jc w:val="left"/>
        <w:rPr>
          <w:rFonts w:hint="eastAsia" w:ascii="宋体" w:hAnsi="宋体" w:cs="宋体"/>
          <w:kern w:val="0"/>
          <w:sz w:val="24"/>
        </w:rPr>
      </w:pPr>
    </w:p>
    <w:p w14:paraId="64869E40">
      <w:pPr>
        <w:wordWrap w:val="0"/>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供应商：</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（加盖单位公章）</w:t>
      </w:r>
    </w:p>
    <w:p w14:paraId="1B71E315">
      <w:pPr>
        <w:wordWrap w:val="0"/>
        <w:spacing w:line="360" w:lineRule="auto"/>
        <w:ind w:left="15" w:leftChars="7"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法定代表人或负责人：</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（签字或加盖个人章）</w:t>
      </w:r>
    </w:p>
    <w:p w14:paraId="7B214A55">
      <w:pPr>
        <w:wordWrap w:val="0"/>
        <w:spacing w:line="360" w:lineRule="auto"/>
        <w:ind w:left="5759" w:leftChars="228" w:hanging="5280" w:hangingChars="2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kern w:val="0"/>
          <w:sz w:val="24"/>
        </w:rPr>
        <w:t>日  期：   年   月   日</w:t>
      </w:r>
    </w:p>
    <w:p w14:paraId="472D9770">
      <w:pPr>
        <w:widowControl/>
        <w:wordWrap w:val="0"/>
        <w:spacing w:before="100" w:beforeAutospacing="1" w:after="100" w:afterAutospacing="1" w:line="360" w:lineRule="auto"/>
        <w:ind w:firstLine="480" w:firstLineChars="200"/>
        <w:jc w:val="left"/>
        <w:rPr>
          <w:rFonts w:hint="eastAsia" w:ascii="宋体" w:hAnsi="宋体" w:cs="宋体"/>
          <w:kern w:val="0"/>
          <w:sz w:val="24"/>
          <w:u w:val="single"/>
        </w:rPr>
      </w:pPr>
    </w:p>
    <w:p w14:paraId="3B178791">
      <w:pPr>
        <w:widowControl/>
        <w:wordWrap w:val="0"/>
        <w:spacing w:before="100" w:beforeAutospacing="1" w:after="100" w:afterAutospacing="1" w:line="360" w:lineRule="auto"/>
        <w:ind w:firstLine="480" w:firstLineChars="200"/>
        <w:jc w:val="left"/>
        <w:rPr>
          <w:rFonts w:hint="eastAsia" w:ascii="宋体" w:hAnsi="宋体" w:cs="宋体"/>
          <w:kern w:val="0"/>
          <w:sz w:val="24"/>
          <w:u w:val="single"/>
        </w:rPr>
      </w:pPr>
    </w:p>
    <w:p w14:paraId="10B8A463">
      <w:pPr>
        <w:widowControl/>
        <w:wordWrap w:val="0"/>
        <w:spacing w:before="100" w:beforeAutospacing="1" w:after="100" w:afterAutospacing="1" w:line="360" w:lineRule="auto"/>
        <w:ind w:firstLine="482" w:firstLineChars="200"/>
        <w:jc w:val="left"/>
        <w:rPr>
          <w:rFonts w:hint="eastAsia" w:ascii="宋体" w:hAnsi="宋体"/>
          <w:b/>
          <w:sz w:val="24"/>
        </w:rPr>
      </w:pPr>
    </w:p>
    <w:p w14:paraId="16873439">
      <w:pPr>
        <w:widowControl/>
        <w:wordWrap w:val="0"/>
        <w:spacing w:before="100" w:beforeAutospacing="1" w:after="100" w:afterAutospacing="1" w:line="360" w:lineRule="auto"/>
        <w:ind w:firstLine="482" w:firstLineChars="200"/>
        <w:jc w:val="left"/>
        <w:rPr>
          <w:rFonts w:hint="eastAsia" w:ascii="宋体" w:hAnsi="宋体"/>
          <w:b/>
          <w:sz w:val="24"/>
        </w:rPr>
      </w:pPr>
    </w:p>
    <w:p w14:paraId="5BEB2268">
      <w:pPr>
        <w:widowControl/>
        <w:wordWrap w:val="0"/>
        <w:spacing w:before="100" w:beforeAutospacing="1" w:after="100" w:afterAutospacing="1" w:line="360" w:lineRule="auto"/>
        <w:ind w:firstLine="482" w:firstLineChars="200"/>
        <w:jc w:val="left"/>
      </w:pPr>
      <w:r>
        <w:rPr>
          <w:rFonts w:hint="eastAsia" w:ascii="宋体" w:hAnsi="宋体"/>
          <w:b/>
          <w:sz w:val="24"/>
        </w:rPr>
        <w:t>说明：符合要求的单位，按照上述格式进行填写并提供相关证明材料；不属于监狱企业的不需要提供。</w:t>
      </w:r>
    </w:p>
    <w:p w14:paraId="6693D65B">
      <w:pPr>
        <w:pStyle w:val="7"/>
        <w:widowControl/>
        <w:wordWrap w:val="0"/>
        <w:jc w:val="center"/>
        <w:rPr>
          <w:rFonts w:hint="eastAsia" w:ascii="宋体" w:hAnsi="宋体" w:eastAsia="宋体"/>
          <w:sz w:val="24"/>
        </w:rPr>
      </w:pPr>
      <w:r>
        <w:rPr>
          <w:rFonts w:hint="eastAsia" w:ascii="黑体" w:hAnsi="黑体" w:cs="黑体"/>
          <w:b w:val="0"/>
          <w:bCs w:val="0"/>
          <w:kern w:val="0"/>
          <w:sz w:val="28"/>
          <w:szCs w:val="28"/>
        </w:rPr>
        <w:t>2</w:t>
      </w:r>
      <w:r>
        <w:rPr>
          <w:rFonts w:ascii="黑体" w:hAnsi="黑体" w:cs="黑体"/>
          <w:b w:val="0"/>
          <w:bCs w:val="0"/>
          <w:kern w:val="0"/>
          <w:sz w:val="28"/>
          <w:szCs w:val="28"/>
        </w:rPr>
        <w:t xml:space="preserve">-3  </w:t>
      </w:r>
      <w:r>
        <w:rPr>
          <w:rFonts w:hint="eastAsia" w:ascii="黑体" w:hAnsi="黑体" w:cs="黑体"/>
          <w:b w:val="0"/>
          <w:bCs w:val="0"/>
          <w:kern w:val="0"/>
          <w:sz w:val="28"/>
          <w:szCs w:val="28"/>
        </w:rPr>
        <w:t>供应商为残疾人福利性单位声明函</w:t>
      </w:r>
    </w:p>
    <w:p w14:paraId="50935473">
      <w:pPr>
        <w:wordWrap w:val="0"/>
        <w:spacing w:line="360" w:lineRule="auto"/>
        <w:ind w:left="1080" w:leftChars="257" w:hanging="540"/>
        <w:jc w:val="center"/>
        <w:rPr>
          <w:rFonts w:hint="eastAsia" w:ascii="宋体" w:hAnsi="宋体"/>
          <w:kern w:val="0"/>
          <w:sz w:val="24"/>
          <w:szCs w:val="20"/>
        </w:rPr>
      </w:pPr>
    </w:p>
    <w:p w14:paraId="3F1B8F20">
      <w:pPr>
        <w:wordWrap w:val="0"/>
        <w:spacing w:line="360" w:lineRule="auto"/>
        <w:ind w:firstLine="567"/>
        <w:rPr>
          <w:rFonts w:hint="eastAsia" w:ascii="宋体" w:hAnsi="宋体"/>
          <w:kern w:val="0"/>
          <w:sz w:val="24"/>
          <w:szCs w:val="20"/>
        </w:rPr>
      </w:pPr>
      <w:r>
        <w:rPr>
          <w:rFonts w:hint="eastAsia" w:ascii="宋体" w:hAnsi="宋体"/>
          <w:kern w:val="0"/>
          <w:sz w:val="24"/>
          <w:szCs w:val="20"/>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kern w:val="0"/>
          <w:sz w:val="24"/>
          <w:szCs w:val="20"/>
          <w:u w:val="single"/>
        </w:rPr>
        <w:t xml:space="preserve"> （填写采购人名称）  </w:t>
      </w:r>
      <w:r>
        <w:rPr>
          <w:rFonts w:hint="eastAsia" w:ascii="宋体" w:hAnsi="宋体"/>
          <w:kern w:val="0"/>
          <w:sz w:val="24"/>
          <w:szCs w:val="20"/>
        </w:rPr>
        <w:t>的</w:t>
      </w:r>
      <w:r>
        <w:rPr>
          <w:rFonts w:hint="eastAsia" w:ascii="宋体" w:hAnsi="宋体"/>
          <w:kern w:val="0"/>
          <w:sz w:val="24"/>
          <w:szCs w:val="20"/>
          <w:u w:val="single"/>
        </w:rPr>
        <w:t xml:space="preserve">  （填写本次采购的项目名称） </w:t>
      </w:r>
      <w:r>
        <w:rPr>
          <w:rFonts w:hint="eastAsia" w:ascii="宋体" w:hAnsi="宋体"/>
          <w:kern w:val="0"/>
          <w:sz w:val="24"/>
          <w:szCs w:val="20"/>
        </w:rPr>
        <w:t>采购活动</w:t>
      </w:r>
      <w:r>
        <w:rPr>
          <w:rFonts w:hint="eastAsia" w:ascii="宋体" w:hAnsi="宋体" w:cs="宋体"/>
          <w:kern w:val="0"/>
          <w:sz w:val="24"/>
        </w:rPr>
        <w:t>由本单位承担工程</w:t>
      </w:r>
      <w:r>
        <w:rPr>
          <w:rFonts w:hint="eastAsia" w:ascii="宋体" w:hAnsi="宋体"/>
          <w:kern w:val="0"/>
          <w:sz w:val="24"/>
          <w:szCs w:val="20"/>
        </w:rPr>
        <w:t>，或者提供其他残疾人福利性单位制造的货物（不包括使用非残疾人福利性单位注册商标的货物）。</w:t>
      </w:r>
    </w:p>
    <w:p w14:paraId="1F4EA62E">
      <w:pPr>
        <w:wordWrap w:val="0"/>
        <w:spacing w:line="360" w:lineRule="auto"/>
        <w:ind w:left="1080" w:leftChars="257" w:hanging="540"/>
        <w:rPr>
          <w:rFonts w:hint="eastAsia" w:ascii="宋体" w:hAnsi="宋体"/>
          <w:kern w:val="0"/>
          <w:sz w:val="24"/>
          <w:szCs w:val="20"/>
        </w:rPr>
      </w:pPr>
      <w:r>
        <w:rPr>
          <w:rFonts w:hint="eastAsia" w:ascii="宋体" w:hAnsi="宋体"/>
          <w:kern w:val="0"/>
          <w:sz w:val="24"/>
          <w:szCs w:val="20"/>
        </w:rPr>
        <w:t>本单位对上述声明的真实性负责。如有虚假，将依法承担相应责任。</w:t>
      </w:r>
    </w:p>
    <w:p w14:paraId="2749E73D">
      <w:pPr>
        <w:wordWrap w:val="0"/>
        <w:spacing w:line="360" w:lineRule="auto"/>
        <w:ind w:left="1080" w:leftChars="257" w:hanging="540"/>
        <w:jc w:val="center"/>
        <w:rPr>
          <w:rFonts w:hint="eastAsia" w:ascii="宋体" w:hAnsi="宋体"/>
          <w:kern w:val="0"/>
          <w:sz w:val="24"/>
          <w:szCs w:val="20"/>
        </w:rPr>
      </w:pPr>
    </w:p>
    <w:p w14:paraId="5938CF4C">
      <w:pPr>
        <w:wordWrap w:val="0"/>
        <w:spacing w:line="360" w:lineRule="auto"/>
        <w:ind w:left="1080" w:leftChars="257" w:hanging="540"/>
        <w:jc w:val="center"/>
        <w:rPr>
          <w:rFonts w:hint="eastAsia" w:ascii="宋体" w:hAnsi="宋体"/>
          <w:kern w:val="0"/>
          <w:sz w:val="24"/>
          <w:szCs w:val="20"/>
        </w:rPr>
      </w:pPr>
    </w:p>
    <w:p w14:paraId="73758307">
      <w:pPr>
        <w:wordWrap w:val="0"/>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供应商：</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（加盖单位公章）</w:t>
      </w:r>
    </w:p>
    <w:p w14:paraId="7E309D5F">
      <w:pPr>
        <w:wordWrap w:val="0"/>
        <w:spacing w:line="360" w:lineRule="auto"/>
        <w:ind w:left="15" w:leftChars="7"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法定代表人或负责人：</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（签字或加盖个人章）</w:t>
      </w:r>
    </w:p>
    <w:p w14:paraId="2A125334">
      <w:pPr>
        <w:spacing w:line="360" w:lineRule="auto"/>
        <w:ind w:left="5759" w:leftChars="228" w:hanging="5280" w:hangingChars="2200"/>
        <w:rPr>
          <w:rFonts w:hint="eastAsia" w:ascii="宋体" w:hAnsi="宋体"/>
          <w:sz w:val="24"/>
        </w:rPr>
      </w:pPr>
      <w:r>
        <w:rPr>
          <w:rFonts w:hint="eastAsia" w:asciiTheme="minorEastAsia" w:hAnsiTheme="minorEastAsia" w:eastAsiaTheme="minorEastAsia" w:cstheme="minorEastAsia"/>
          <w:kern w:val="0"/>
          <w:sz w:val="24"/>
        </w:rPr>
        <w:t>日  期：   年   月   日</w:t>
      </w:r>
    </w:p>
    <w:p w14:paraId="1C0EB7F3">
      <w:pPr>
        <w:spacing w:line="360" w:lineRule="auto"/>
        <w:ind w:left="445" w:leftChars="212"/>
        <w:rPr>
          <w:rFonts w:hint="eastAsia" w:ascii="宋体" w:hAnsi="宋体"/>
          <w:kern w:val="0"/>
          <w:sz w:val="24"/>
          <w:szCs w:val="20"/>
          <w:u w:val="single"/>
        </w:rPr>
      </w:pPr>
    </w:p>
    <w:p w14:paraId="7BB3B8BF">
      <w:pPr>
        <w:spacing w:line="360" w:lineRule="auto"/>
        <w:rPr>
          <w:rFonts w:hint="eastAsia" w:ascii="宋体" w:hAnsi="宋体"/>
          <w:sz w:val="24"/>
        </w:rPr>
      </w:pPr>
    </w:p>
    <w:p w14:paraId="38C35E90">
      <w:pPr>
        <w:widowControl/>
        <w:spacing w:before="100" w:beforeAutospacing="1" w:after="100" w:afterAutospacing="1" w:line="360" w:lineRule="auto"/>
        <w:ind w:firstLine="482" w:firstLineChars="200"/>
        <w:jc w:val="left"/>
        <w:rPr>
          <w:rFonts w:hint="eastAsia" w:ascii="宋体" w:hAnsi="宋体"/>
          <w:b/>
          <w:sz w:val="24"/>
        </w:rPr>
      </w:pPr>
      <w:r>
        <w:rPr>
          <w:rFonts w:hint="eastAsia" w:ascii="宋体" w:hAnsi="宋体"/>
          <w:b/>
          <w:sz w:val="24"/>
        </w:rPr>
        <w:t>说明：符合要求的单位，按照上述格式进行填写；不属于残疾人福利性单位的不需要提供。</w:t>
      </w:r>
    </w:p>
    <w:p w14:paraId="3A0F98CC">
      <w:pPr>
        <w:rPr>
          <w:rFonts w:hint="eastAsia" w:ascii="黑体" w:hAnsi="黑体" w:cs="黑体"/>
          <w:kern w:val="0"/>
          <w:sz w:val="28"/>
          <w:szCs w:val="28"/>
        </w:rPr>
      </w:pPr>
      <w:r>
        <w:rPr>
          <w:rFonts w:hint="eastAsia" w:ascii="黑体" w:hAnsi="黑体" w:cs="黑体"/>
          <w:kern w:val="0"/>
          <w:sz w:val="28"/>
          <w:szCs w:val="28"/>
        </w:rPr>
        <w:br w:type="page"/>
      </w:r>
    </w:p>
    <w:p w14:paraId="0365A5D3">
      <w:pPr>
        <w:pStyle w:val="7"/>
        <w:widowControl/>
        <w:wordWrap w:val="0"/>
        <w:spacing w:before="120" w:beforeLines="50"/>
        <w:jc w:val="center"/>
        <w:rPr>
          <w:rFonts w:hint="eastAsia" w:ascii="黑体" w:hAnsi="黑体"/>
          <w:sz w:val="24"/>
        </w:rPr>
      </w:pPr>
      <w:r>
        <w:rPr>
          <w:rFonts w:hint="eastAsia" w:ascii="黑体" w:hAnsi="黑体" w:cs="黑体"/>
          <w:b w:val="0"/>
          <w:bCs w:val="0"/>
          <w:kern w:val="0"/>
          <w:sz w:val="28"/>
          <w:szCs w:val="28"/>
        </w:rPr>
        <w:t>3.本项目的特定资格要求需提供资料</w:t>
      </w:r>
      <w:bookmarkEnd w:id="669"/>
    </w:p>
    <w:p w14:paraId="6D974FB7">
      <w:pPr>
        <w:wordWrap w:val="0"/>
        <w:spacing w:line="360" w:lineRule="auto"/>
        <w:ind w:firstLine="480" w:firstLineChars="200"/>
        <w:rPr>
          <w:rFonts w:hint="eastAsia" w:ascii="宋体" w:hAnsi="宋体"/>
          <w:sz w:val="24"/>
        </w:rPr>
      </w:pPr>
      <w:r>
        <w:rPr>
          <w:rFonts w:hint="eastAsia" w:ascii="宋体" w:hAnsi="宋体"/>
          <w:sz w:val="24"/>
        </w:rPr>
        <w:t>（1）供应商提供建筑装修装饰工程专业承包二级及以上资质证书复印件，有效的安全生产许可证复印件；</w:t>
      </w:r>
    </w:p>
    <w:p w14:paraId="60DA04EF">
      <w:pPr>
        <w:spacing w:line="360" w:lineRule="auto"/>
        <w:ind w:firstLine="480" w:firstLineChars="200"/>
        <w:rPr>
          <w:rFonts w:hint="eastAsia" w:ascii="宋体" w:hAnsi="宋体"/>
          <w:sz w:val="24"/>
        </w:rPr>
      </w:pPr>
      <w:r>
        <w:rPr>
          <w:rFonts w:hint="eastAsia" w:ascii="宋体" w:hAnsi="宋体"/>
          <w:sz w:val="24"/>
        </w:rPr>
        <w:t>（2）提供拟派项目经理须建筑工程专业二级及以上注册建造师证书复印件，有效的安全生产考核合格证证书复印件，未担任其他在建工程项目的项目经理的承诺书，及供应商为其缴纳的2026年1月1日以来任意月份的社保证明和合同复印件。</w:t>
      </w:r>
    </w:p>
    <w:p w14:paraId="26FC1C91">
      <w:pPr>
        <w:spacing w:line="360" w:lineRule="auto"/>
        <w:ind w:firstLine="480" w:firstLineChars="200"/>
        <w:rPr>
          <w:rFonts w:hint="eastAsia" w:ascii="宋体" w:hAnsi="宋体"/>
          <w:sz w:val="24"/>
        </w:rPr>
      </w:pPr>
      <w:r>
        <w:rPr>
          <w:rFonts w:hint="eastAsia" w:ascii="宋体" w:hAnsi="宋体"/>
          <w:sz w:val="24"/>
        </w:rPr>
        <w:t>（3）对列入失信被执行人、重大税收违法失信主体名单、政府采购严重违法失信行为记录名单的供应商，拒绝参与本项目的采购活动；</w:t>
      </w:r>
    </w:p>
    <w:p w14:paraId="30E0B50D">
      <w:pPr>
        <w:spacing w:line="360" w:lineRule="auto"/>
        <w:ind w:firstLine="480" w:firstLineChars="200"/>
        <w:rPr>
          <w:rFonts w:hint="eastAsia" w:ascii="宋体" w:hAnsi="宋体"/>
          <w:sz w:val="24"/>
        </w:rPr>
      </w:pPr>
      <w:r>
        <w:rPr>
          <w:rFonts w:hint="eastAsia" w:ascii="宋体" w:hAnsi="宋体"/>
          <w:sz w:val="24"/>
        </w:rPr>
        <w:t>查询渠道：“信用中国”网站（</w:t>
      </w:r>
      <w:r>
        <w:fldChar w:fldCharType="begin"/>
      </w:r>
      <w:r>
        <w:instrText xml:space="preserve"> HYPERLINK "https://www.creditchina.gov.cn/" </w:instrText>
      </w:r>
      <w:r>
        <w:fldChar w:fldCharType="separate"/>
      </w:r>
      <w:r>
        <w:rPr>
          <w:rFonts w:hint="eastAsia" w:ascii="宋体" w:hAnsi="宋体"/>
          <w:sz w:val="24"/>
        </w:rPr>
        <w:t>https://www.creditchina.gov.cn/</w:t>
      </w:r>
      <w:r>
        <w:rPr>
          <w:rFonts w:hint="eastAsia" w:ascii="宋体" w:hAnsi="宋体"/>
          <w:sz w:val="24"/>
        </w:rPr>
        <w:fldChar w:fldCharType="end"/>
      </w:r>
      <w:r>
        <w:rPr>
          <w:rFonts w:hint="eastAsia" w:ascii="宋体" w:hAnsi="宋体"/>
          <w:sz w:val="24"/>
        </w:rPr>
        <w:t>）、中国政府采购网（</w:t>
      </w:r>
      <w:r>
        <w:fldChar w:fldCharType="begin"/>
      </w:r>
      <w:r>
        <w:instrText xml:space="preserve"> HYPERLINK "http://www.ccgp.gov.cn" </w:instrText>
      </w:r>
      <w:r>
        <w:fldChar w:fldCharType="separate"/>
      </w:r>
      <w:r>
        <w:rPr>
          <w:rFonts w:hint="eastAsia" w:ascii="宋体" w:hAnsi="宋体"/>
          <w:sz w:val="24"/>
        </w:rPr>
        <w:t>www.ccgp.gov.cn</w:t>
      </w:r>
      <w:r>
        <w:rPr>
          <w:rFonts w:hint="eastAsia" w:ascii="宋体" w:hAnsi="宋体"/>
          <w:sz w:val="24"/>
        </w:rPr>
        <w:fldChar w:fldCharType="end"/>
      </w:r>
      <w:r>
        <w:rPr>
          <w:rFonts w:hint="eastAsia" w:ascii="宋体" w:hAnsi="宋体"/>
          <w:sz w:val="24"/>
        </w:rPr>
        <w:t>）、中国执行信息公开网（</w:t>
      </w:r>
      <w:r>
        <w:fldChar w:fldCharType="begin"/>
      </w:r>
      <w:r>
        <w:instrText xml:space="preserve"> HYPERLINK "http://zxgk.court.gov.cn/shixin/）】" </w:instrText>
      </w:r>
      <w:r>
        <w:fldChar w:fldCharType="separate"/>
      </w:r>
      <w:r>
        <w:rPr>
          <w:rFonts w:hint="eastAsia" w:ascii="宋体" w:hAnsi="宋体"/>
          <w:sz w:val="24"/>
        </w:rPr>
        <w:t>http://zxgk.court.gov.cn/shixin/）</w:t>
      </w:r>
      <w:r>
        <w:rPr>
          <w:rFonts w:hint="eastAsia" w:ascii="宋体" w:hAnsi="宋体"/>
          <w:sz w:val="24"/>
        </w:rPr>
        <w:fldChar w:fldCharType="end"/>
      </w:r>
      <w:r>
        <w:rPr>
          <w:rFonts w:hint="eastAsia" w:ascii="宋体" w:hAnsi="宋体"/>
          <w:sz w:val="24"/>
        </w:rPr>
        <w:t>。</w:t>
      </w:r>
    </w:p>
    <w:p w14:paraId="378E8D6A">
      <w:pPr>
        <w:spacing w:line="360" w:lineRule="auto"/>
        <w:ind w:firstLine="480" w:firstLineChars="200"/>
        <w:rPr>
          <w:rFonts w:hint="eastAsia" w:ascii="宋体" w:hAnsi="宋体"/>
          <w:sz w:val="24"/>
        </w:rPr>
      </w:pPr>
      <w:r>
        <w:rPr>
          <w:rFonts w:hint="eastAsia" w:ascii="宋体" w:hAnsi="宋体"/>
          <w:sz w:val="24"/>
        </w:rPr>
        <w:t>（4）根据《河南省住房和城乡建设厅关于进一步规范建设工程企业资质管理的通知》(豫建行规(2024)7号)规定，供应商参加本项目所用的资质项在全国或发证机关所在省建筑市场监管公共服务平台网站中，资质状况被标注“资质异常”或“注册人员不足”的，按无效响应处理。（如在发证机关所在省建筑市场监管公共服务平台无本企业信息，视为“未被发证机关所在省建筑市场监管公共服务平台标注为资质异常或注册人员不足”）；供应商须同时提供承诺书(格式自拟)、全国建筑市场监管公共服务平台或发证机关所在省建筑市场监管公共服务平台查询结果；以上查询结果均须显示查询日期，查询日期为公告发布之后至响应文件提交截止时间前。</w:t>
      </w:r>
    </w:p>
    <w:p w14:paraId="72D3DF3D">
      <w:pPr>
        <w:spacing w:line="360" w:lineRule="auto"/>
        <w:ind w:firstLine="480" w:firstLineChars="200"/>
        <w:rPr>
          <w:rFonts w:hint="eastAsia" w:ascii="宋体" w:hAnsi="宋体"/>
          <w:sz w:val="24"/>
        </w:rPr>
      </w:pPr>
    </w:p>
    <w:p w14:paraId="45282F28">
      <w:pPr>
        <w:spacing w:line="360" w:lineRule="auto"/>
        <w:rPr>
          <w:rFonts w:hint="eastAsia" w:ascii="宋体" w:hAnsi="宋体" w:cs="黑体"/>
          <w:kern w:val="0"/>
          <w:sz w:val="28"/>
          <w:szCs w:val="28"/>
        </w:rPr>
      </w:pPr>
      <w:r>
        <w:rPr>
          <w:rFonts w:ascii="宋体" w:hAnsi="宋体" w:cs="黑体"/>
          <w:kern w:val="0"/>
          <w:sz w:val="28"/>
          <w:szCs w:val="28"/>
        </w:rPr>
        <w:br w:type="page"/>
      </w:r>
    </w:p>
    <w:p w14:paraId="31A5DF15">
      <w:pPr>
        <w:pStyle w:val="7"/>
        <w:widowControl/>
        <w:wordWrap w:val="0"/>
        <w:jc w:val="center"/>
        <w:rPr>
          <w:rFonts w:hint="eastAsia" w:ascii="宋体" w:hAnsi="宋体" w:eastAsia="宋体"/>
          <w:sz w:val="24"/>
        </w:rPr>
      </w:pPr>
      <w:bookmarkStart w:id="679" w:name="_Toc20946"/>
      <w:r>
        <w:rPr>
          <w:rFonts w:ascii="宋体" w:hAnsi="宋体" w:cs="黑体"/>
          <w:b w:val="0"/>
          <w:bCs w:val="0"/>
          <w:kern w:val="0"/>
          <w:sz w:val="28"/>
          <w:szCs w:val="28"/>
        </w:rPr>
        <w:t>第</w:t>
      </w:r>
      <w:r>
        <w:rPr>
          <w:rFonts w:hint="eastAsia" w:ascii="宋体" w:hAnsi="宋体" w:cs="黑体"/>
          <w:b w:val="0"/>
          <w:bCs w:val="0"/>
          <w:kern w:val="0"/>
          <w:sz w:val="28"/>
          <w:szCs w:val="28"/>
        </w:rPr>
        <w:t>二</w:t>
      </w:r>
      <w:r>
        <w:rPr>
          <w:rFonts w:ascii="宋体" w:hAnsi="宋体" w:cs="黑体"/>
          <w:b w:val="0"/>
          <w:bCs w:val="0"/>
          <w:kern w:val="0"/>
          <w:sz w:val="28"/>
          <w:szCs w:val="28"/>
        </w:rPr>
        <w:t>部分</w:t>
      </w:r>
      <w:r>
        <w:rPr>
          <w:rFonts w:hint="eastAsia" w:ascii="宋体" w:hAnsi="宋体" w:cs="黑体"/>
          <w:b w:val="0"/>
          <w:bCs w:val="0"/>
          <w:kern w:val="0"/>
          <w:sz w:val="28"/>
          <w:szCs w:val="28"/>
        </w:rPr>
        <w:t xml:space="preserve">  商务及</w:t>
      </w:r>
      <w:r>
        <w:rPr>
          <w:rFonts w:ascii="宋体" w:hAnsi="宋体" w:cs="黑体"/>
          <w:b w:val="0"/>
          <w:bCs w:val="0"/>
          <w:kern w:val="0"/>
          <w:sz w:val="28"/>
          <w:szCs w:val="28"/>
        </w:rPr>
        <w:t>技术</w:t>
      </w:r>
      <w:r>
        <w:rPr>
          <w:rFonts w:hint="eastAsia" w:ascii="宋体" w:hAnsi="宋体" w:cs="黑体"/>
          <w:b w:val="0"/>
          <w:bCs w:val="0"/>
          <w:kern w:val="0"/>
          <w:sz w:val="28"/>
          <w:szCs w:val="28"/>
        </w:rPr>
        <w:t>文件</w:t>
      </w:r>
      <w:bookmarkEnd w:id="670"/>
      <w:bookmarkEnd w:id="671"/>
      <w:bookmarkEnd w:id="672"/>
      <w:bookmarkEnd w:id="673"/>
      <w:bookmarkEnd w:id="674"/>
      <w:bookmarkEnd w:id="675"/>
      <w:bookmarkEnd w:id="676"/>
      <w:bookmarkEnd w:id="677"/>
      <w:bookmarkEnd w:id="679"/>
    </w:p>
    <w:p w14:paraId="436C0265">
      <w:pPr>
        <w:pStyle w:val="2"/>
        <w:wordWrap w:val="0"/>
        <w:spacing w:after="0" w:line="360" w:lineRule="auto"/>
        <w:ind w:left="560" w:leftChars="0" w:hanging="560" w:hangingChars="200"/>
        <w:rPr>
          <w:rFonts w:hint="eastAsia" w:ascii="黑体" w:hAnsi="黑体" w:eastAsia="黑体" w:cs="黑体"/>
          <w:kern w:val="0"/>
          <w:sz w:val="28"/>
          <w:szCs w:val="28"/>
        </w:rPr>
      </w:pPr>
      <w:bookmarkStart w:id="680" w:name="_Toc16152967"/>
      <w:bookmarkStart w:id="681" w:name="_Toc16152981"/>
      <w:r>
        <w:rPr>
          <w:rFonts w:hint="eastAsia" w:ascii="黑体" w:hAnsi="黑体" w:eastAsia="黑体" w:cs="黑体"/>
          <w:kern w:val="0"/>
          <w:sz w:val="28"/>
          <w:szCs w:val="28"/>
        </w:rPr>
        <w:t>1.法定代表人（或负责人）</w:t>
      </w:r>
      <w:r>
        <w:rPr>
          <w:rFonts w:ascii="黑体" w:hAnsi="黑体" w:eastAsia="黑体" w:cs="黑体"/>
          <w:kern w:val="0"/>
          <w:sz w:val="28"/>
          <w:szCs w:val="28"/>
        </w:rPr>
        <w:t>身份证明书</w:t>
      </w:r>
    </w:p>
    <w:p w14:paraId="21A4A766">
      <w:pPr>
        <w:pStyle w:val="2"/>
        <w:wordWrap w:val="0"/>
        <w:spacing w:after="0" w:line="360" w:lineRule="auto"/>
        <w:ind w:left="560" w:leftChars="0" w:hanging="560" w:hangingChars="200"/>
        <w:rPr>
          <w:rFonts w:hint="eastAsia" w:ascii="黑体" w:hAnsi="黑体" w:eastAsia="黑体" w:cs="黑体"/>
          <w:kern w:val="0"/>
          <w:sz w:val="28"/>
          <w:szCs w:val="28"/>
        </w:rPr>
      </w:pPr>
      <w:r>
        <w:rPr>
          <w:rFonts w:hint="eastAsia" w:ascii="黑体" w:hAnsi="黑体" w:eastAsia="黑体" w:cs="黑体"/>
          <w:kern w:val="0"/>
          <w:sz w:val="28"/>
          <w:szCs w:val="28"/>
        </w:rPr>
        <w:t>2.法定代表人（或负责人）授权委托书</w:t>
      </w:r>
    </w:p>
    <w:p w14:paraId="44B6AB34">
      <w:pPr>
        <w:pStyle w:val="2"/>
        <w:wordWrap w:val="0"/>
        <w:spacing w:after="0" w:line="360" w:lineRule="auto"/>
        <w:ind w:left="560" w:leftChars="0" w:hanging="560" w:hangingChars="200"/>
        <w:rPr>
          <w:rFonts w:hint="eastAsia" w:ascii="黑体" w:hAnsi="黑体" w:eastAsia="黑体" w:cs="黑体"/>
          <w:kern w:val="0"/>
          <w:sz w:val="28"/>
          <w:szCs w:val="28"/>
        </w:rPr>
      </w:pPr>
      <w:r>
        <w:rPr>
          <w:rFonts w:hint="eastAsia" w:ascii="黑体" w:hAnsi="黑体" w:eastAsia="黑体" w:cs="黑体"/>
          <w:kern w:val="0"/>
          <w:sz w:val="28"/>
          <w:szCs w:val="28"/>
        </w:rPr>
        <w:t>3.保证承诺书</w:t>
      </w:r>
    </w:p>
    <w:bookmarkEnd w:id="680"/>
    <w:p w14:paraId="2ED2B7BE">
      <w:pPr>
        <w:wordWrap w:val="0"/>
        <w:spacing w:line="360" w:lineRule="auto"/>
        <w:rPr>
          <w:rFonts w:hint="eastAsia" w:ascii="黑体" w:hAnsi="黑体" w:eastAsia="黑体"/>
          <w:sz w:val="28"/>
          <w:szCs w:val="28"/>
        </w:rPr>
      </w:pPr>
      <w:r>
        <w:rPr>
          <w:rFonts w:hint="eastAsia" w:ascii="黑体" w:hAnsi="黑体" w:eastAsia="黑体"/>
          <w:sz w:val="28"/>
          <w:szCs w:val="28"/>
        </w:rPr>
        <w:t>4.响应函</w:t>
      </w:r>
      <w:bookmarkEnd w:id="681"/>
    </w:p>
    <w:p w14:paraId="64DFC34C">
      <w:pPr>
        <w:pStyle w:val="2"/>
        <w:wordWrap w:val="0"/>
        <w:spacing w:after="0" w:line="360" w:lineRule="auto"/>
        <w:ind w:left="560" w:leftChars="0" w:hanging="560" w:hangingChars="200"/>
        <w:rPr>
          <w:rFonts w:hint="eastAsia" w:ascii="黑体" w:hAnsi="黑体" w:eastAsia="黑体" w:cs="黑体"/>
          <w:kern w:val="0"/>
          <w:sz w:val="28"/>
          <w:szCs w:val="28"/>
        </w:rPr>
      </w:pPr>
      <w:bookmarkStart w:id="682" w:name="_Toc16152982"/>
      <w:r>
        <w:rPr>
          <w:rFonts w:hint="eastAsia" w:ascii="黑体" w:hAnsi="黑体" w:eastAsia="黑体" w:cs="黑体"/>
          <w:kern w:val="0"/>
          <w:sz w:val="28"/>
          <w:szCs w:val="28"/>
        </w:rPr>
        <w:t>5.报价一览表</w:t>
      </w:r>
    </w:p>
    <w:p w14:paraId="77541B30">
      <w:pPr>
        <w:wordWrap w:val="0"/>
        <w:spacing w:line="360" w:lineRule="auto"/>
        <w:rPr>
          <w:rFonts w:hint="eastAsia" w:ascii="黑体" w:hAnsi="黑体" w:eastAsia="黑体"/>
          <w:sz w:val="28"/>
          <w:szCs w:val="28"/>
        </w:rPr>
      </w:pPr>
      <w:r>
        <w:rPr>
          <w:rFonts w:hint="eastAsia" w:ascii="黑体" w:hAnsi="黑体" w:eastAsia="黑体"/>
          <w:sz w:val="28"/>
          <w:szCs w:val="28"/>
        </w:rPr>
        <w:t>6.</w:t>
      </w:r>
      <w:bookmarkEnd w:id="682"/>
      <w:r>
        <w:rPr>
          <w:rFonts w:hint="eastAsia" w:ascii="黑体" w:hAnsi="黑体" w:eastAsia="黑体"/>
          <w:sz w:val="28"/>
          <w:szCs w:val="28"/>
        </w:rPr>
        <w:t>已标价工程量清单</w:t>
      </w:r>
    </w:p>
    <w:p w14:paraId="70A405CF">
      <w:pPr>
        <w:wordWrap w:val="0"/>
        <w:adjustRightInd w:val="0"/>
        <w:snapToGrid w:val="0"/>
        <w:spacing w:line="360" w:lineRule="auto"/>
        <w:rPr>
          <w:rFonts w:hint="eastAsia" w:ascii="黑体" w:hAnsi="黑体" w:eastAsia="黑体"/>
          <w:sz w:val="28"/>
          <w:szCs w:val="28"/>
        </w:rPr>
      </w:pPr>
      <w:bookmarkStart w:id="683" w:name="_Toc16152985"/>
      <w:r>
        <w:rPr>
          <w:rFonts w:hint="eastAsia" w:ascii="黑体" w:hAnsi="黑体" w:eastAsia="黑体"/>
          <w:sz w:val="28"/>
          <w:szCs w:val="28"/>
        </w:rPr>
        <w:t>7.商务条款偏离表</w:t>
      </w:r>
      <w:bookmarkEnd w:id="683"/>
    </w:p>
    <w:p w14:paraId="5F7FBC53">
      <w:pPr>
        <w:wordWrap w:val="0"/>
        <w:spacing w:line="360" w:lineRule="auto"/>
        <w:rPr>
          <w:rFonts w:hint="eastAsia" w:ascii="黑体" w:hAnsi="黑体" w:eastAsia="黑体"/>
          <w:sz w:val="28"/>
          <w:szCs w:val="28"/>
        </w:rPr>
      </w:pPr>
      <w:bookmarkStart w:id="684" w:name="_Toc16152986"/>
      <w:r>
        <w:rPr>
          <w:rFonts w:hint="eastAsia" w:ascii="黑体" w:hAnsi="黑体" w:eastAsia="黑体"/>
          <w:sz w:val="28"/>
          <w:szCs w:val="28"/>
        </w:rPr>
        <w:t>8.</w:t>
      </w:r>
      <w:bookmarkEnd w:id="684"/>
      <w:r>
        <w:rPr>
          <w:rFonts w:hint="eastAsia" w:ascii="黑体" w:hAnsi="黑体" w:eastAsia="黑体"/>
          <w:sz w:val="28"/>
          <w:szCs w:val="28"/>
        </w:rPr>
        <w:t>.施工组织设计</w:t>
      </w:r>
    </w:p>
    <w:p w14:paraId="4268AC2C">
      <w:pPr>
        <w:wordWrap w:val="0"/>
        <w:spacing w:line="360" w:lineRule="auto"/>
        <w:rPr>
          <w:rFonts w:hint="eastAsia" w:ascii="黑体" w:hAnsi="黑体" w:eastAsia="黑体"/>
          <w:sz w:val="28"/>
          <w:szCs w:val="28"/>
        </w:rPr>
      </w:pPr>
      <w:r>
        <w:rPr>
          <w:rFonts w:hint="eastAsia" w:ascii="黑体" w:hAnsi="黑体" w:eastAsia="黑体"/>
          <w:sz w:val="28"/>
          <w:szCs w:val="28"/>
        </w:rPr>
        <w:t>9.企业业绩</w:t>
      </w:r>
    </w:p>
    <w:p w14:paraId="44A1DCAA">
      <w:pPr>
        <w:wordWrap w:val="0"/>
        <w:spacing w:line="360" w:lineRule="auto"/>
        <w:rPr>
          <w:rFonts w:hint="eastAsia" w:ascii="黑体" w:hAnsi="黑体" w:eastAsia="黑体" w:cs="黑体"/>
          <w:sz w:val="28"/>
          <w:szCs w:val="28"/>
        </w:rPr>
      </w:pPr>
      <w:r>
        <w:rPr>
          <w:rFonts w:hint="eastAsia" w:ascii="黑体" w:hAnsi="黑体" w:eastAsia="黑体"/>
          <w:sz w:val="28"/>
          <w:szCs w:val="28"/>
        </w:rPr>
        <w:t>10.</w:t>
      </w:r>
      <w:r>
        <w:rPr>
          <w:rFonts w:hint="eastAsia" w:ascii="黑体" w:hAnsi="黑体" w:eastAsia="黑体" w:cs="黑体"/>
          <w:kern w:val="0"/>
          <w:sz w:val="28"/>
          <w:szCs w:val="28"/>
        </w:rPr>
        <w:t>项目经理业绩</w:t>
      </w:r>
    </w:p>
    <w:p w14:paraId="109B46F1">
      <w:pPr>
        <w:wordWrap w:val="0"/>
        <w:spacing w:line="360" w:lineRule="auto"/>
        <w:rPr>
          <w:rFonts w:hint="eastAsia" w:ascii="黑体" w:hAnsi="黑体" w:eastAsia="黑体" w:cs="黑体"/>
          <w:sz w:val="28"/>
          <w:szCs w:val="28"/>
        </w:rPr>
      </w:pPr>
      <w:r>
        <w:rPr>
          <w:rFonts w:hint="eastAsia" w:ascii="黑体" w:hAnsi="黑体" w:eastAsia="黑体" w:cs="黑体"/>
          <w:sz w:val="28"/>
          <w:szCs w:val="28"/>
        </w:rPr>
        <w:t>11.</w:t>
      </w:r>
      <w:r>
        <w:rPr>
          <w:rFonts w:hint="eastAsia" w:ascii="黑体" w:hAnsi="黑体" w:eastAsia="黑体" w:cs="黑体"/>
          <w:kern w:val="0"/>
          <w:sz w:val="28"/>
          <w:szCs w:val="28"/>
        </w:rPr>
        <w:t>人员配备</w:t>
      </w:r>
    </w:p>
    <w:p w14:paraId="2FFD5595">
      <w:pPr>
        <w:wordWrap w:val="0"/>
        <w:spacing w:line="360" w:lineRule="auto"/>
        <w:rPr>
          <w:rFonts w:hint="eastAsia" w:ascii="黑体" w:hAnsi="黑体" w:eastAsia="黑体"/>
          <w:sz w:val="28"/>
          <w:szCs w:val="28"/>
        </w:rPr>
      </w:pPr>
      <w:r>
        <w:rPr>
          <w:rFonts w:hint="eastAsia" w:ascii="黑体" w:hAnsi="黑体" w:eastAsia="黑体" w:cs="黑体"/>
          <w:sz w:val="28"/>
          <w:szCs w:val="28"/>
        </w:rPr>
        <w:t>12.</w:t>
      </w:r>
      <w:r>
        <w:rPr>
          <w:rFonts w:hint="eastAsia" w:ascii="黑体" w:hAnsi="黑体" w:eastAsia="黑体" w:cs="黑体"/>
          <w:kern w:val="0"/>
          <w:sz w:val="28"/>
          <w:szCs w:val="28"/>
        </w:rPr>
        <w:t>服务承诺及其他实质性承诺</w:t>
      </w:r>
    </w:p>
    <w:p w14:paraId="24C8FA4A">
      <w:pPr>
        <w:wordWrap w:val="0"/>
        <w:rPr>
          <w:rFonts w:hint="eastAsia" w:ascii="黑体" w:hAnsi="黑体" w:eastAsia="黑体"/>
          <w:sz w:val="28"/>
          <w:szCs w:val="28"/>
        </w:rPr>
      </w:pPr>
      <w:r>
        <w:rPr>
          <w:rFonts w:hint="eastAsia" w:ascii="黑体" w:hAnsi="黑体" w:eastAsia="黑体"/>
          <w:sz w:val="28"/>
          <w:szCs w:val="28"/>
        </w:rPr>
        <w:t>13.竞争性磋商文件其他要求及供应商认为需要提供的其他相关资料</w:t>
      </w:r>
    </w:p>
    <w:p w14:paraId="4D36B576">
      <w:pPr>
        <w:pStyle w:val="26"/>
        <w:tabs>
          <w:tab w:val="left" w:pos="5580"/>
        </w:tabs>
        <w:wordWrap w:val="0"/>
        <w:spacing w:line="360" w:lineRule="auto"/>
        <w:ind w:left="1080" w:leftChars="257" w:hanging="540"/>
        <w:rPr>
          <w:rFonts w:hint="eastAsia" w:hAnsi="宋体"/>
          <w:sz w:val="24"/>
        </w:rPr>
      </w:pPr>
    </w:p>
    <w:p w14:paraId="46DC3BC5">
      <w:pPr>
        <w:rPr>
          <w:rFonts w:hint="eastAsia" w:ascii="黑体" w:hAnsi="黑体" w:cs="黑体"/>
          <w:kern w:val="0"/>
          <w:sz w:val="28"/>
          <w:szCs w:val="28"/>
        </w:rPr>
      </w:pPr>
      <w:bookmarkStart w:id="685" w:name="_Toc6047"/>
      <w:bookmarkStart w:id="686" w:name="_Toc31674"/>
      <w:bookmarkStart w:id="687" w:name="_Toc32245"/>
      <w:bookmarkStart w:id="688" w:name="_Toc15048337"/>
      <w:bookmarkStart w:id="689" w:name="_Toc166561419"/>
      <w:r>
        <w:rPr>
          <w:rFonts w:hint="eastAsia" w:ascii="黑体" w:hAnsi="黑体" w:cs="黑体"/>
          <w:kern w:val="0"/>
          <w:sz w:val="28"/>
          <w:szCs w:val="28"/>
        </w:rPr>
        <w:br w:type="page"/>
      </w:r>
    </w:p>
    <w:p w14:paraId="09EDCE7C">
      <w:pPr>
        <w:pStyle w:val="7"/>
        <w:widowControl/>
        <w:wordWrap w:val="0"/>
        <w:jc w:val="center"/>
        <w:rPr>
          <w:rFonts w:hint="eastAsia" w:ascii="黑体" w:hAnsi="黑体" w:cs="黑体"/>
          <w:b w:val="0"/>
          <w:bCs w:val="0"/>
          <w:kern w:val="0"/>
          <w:sz w:val="28"/>
          <w:szCs w:val="28"/>
        </w:rPr>
      </w:pPr>
      <w:bookmarkStart w:id="690" w:name="_Toc9473"/>
      <w:r>
        <w:rPr>
          <w:rFonts w:hint="eastAsia" w:ascii="黑体" w:hAnsi="黑体" w:cs="黑体"/>
          <w:b w:val="0"/>
          <w:bCs w:val="0"/>
          <w:kern w:val="0"/>
          <w:sz w:val="28"/>
          <w:szCs w:val="28"/>
        </w:rPr>
        <w:t>1.法定代表人（或非法人组织负责人）身份证明书</w:t>
      </w:r>
      <w:bookmarkEnd w:id="685"/>
      <w:bookmarkEnd w:id="686"/>
      <w:bookmarkEnd w:id="687"/>
      <w:bookmarkEnd w:id="688"/>
      <w:bookmarkEnd w:id="689"/>
      <w:bookmarkEnd w:id="690"/>
    </w:p>
    <w:p w14:paraId="03171D54">
      <w:pPr>
        <w:wordWrap w:val="0"/>
        <w:spacing w:line="360" w:lineRule="auto"/>
        <w:ind w:firstLine="480" w:firstLineChars="200"/>
        <w:rPr>
          <w:rFonts w:hint="eastAsia" w:ascii="宋体" w:hAnsi="宋体" w:cs="宋体"/>
          <w:sz w:val="24"/>
        </w:rPr>
      </w:pPr>
    </w:p>
    <w:p w14:paraId="28CCCE6C">
      <w:pPr>
        <w:wordWrap w:val="0"/>
        <w:spacing w:line="360" w:lineRule="auto"/>
        <w:ind w:firstLine="480" w:firstLineChars="200"/>
        <w:rPr>
          <w:rFonts w:hint="eastAsia" w:ascii="宋体" w:hAnsi="宋体"/>
          <w:sz w:val="24"/>
        </w:rPr>
      </w:pPr>
      <w:r>
        <w:rPr>
          <w:rFonts w:hint="eastAsia" w:ascii="宋体" w:hAnsi="宋体"/>
          <w:sz w:val="24"/>
        </w:rPr>
        <w:t>供应商</w:t>
      </w:r>
      <w:r>
        <w:rPr>
          <w:rFonts w:hint="eastAsia" w:ascii="宋体" w:hAnsi="宋体" w:cs="宋体"/>
          <w:sz w:val="24"/>
        </w:rPr>
        <w:t>名称：</w:t>
      </w:r>
      <w:r>
        <w:rPr>
          <w:rFonts w:ascii="宋体" w:hAnsi="宋体" w:cs="宋体"/>
          <w:sz w:val="24"/>
          <w:u w:val="single"/>
        </w:rPr>
        <w:t xml:space="preserve">                     </w:t>
      </w:r>
      <w:r>
        <w:rPr>
          <w:rFonts w:hint="eastAsia" w:ascii="宋体" w:hAnsi="宋体" w:cs="宋体"/>
          <w:sz w:val="24"/>
        </w:rPr>
        <w:t xml:space="preserve">  单位性质：</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p>
    <w:p w14:paraId="5417D3D6">
      <w:pPr>
        <w:wordWrap w:val="0"/>
        <w:spacing w:line="360" w:lineRule="auto"/>
        <w:ind w:firstLine="480" w:firstLineChars="200"/>
        <w:rPr>
          <w:rFonts w:hint="eastAsia" w:ascii="宋体" w:hAnsi="宋体"/>
          <w:sz w:val="24"/>
        </w:rPr>
      </w:pPr>
      <w:r>
        <w:rPr>
          <w:rFonts w:hint="eastAsia" w:ascii="宋体" w:hAnsi="宋体"/>
          <w:sz w:val="24"/>
        </w:rPr>
        <w:t>供应商</w:t>
      </w:r>
      <w:r>
        <w:rPr>
          <w:rFonts w:hint="eastAsia" w:ascii="宋体" w:hAnsi="宋体" w:cs="宋体"/>
          <w:sz w:val="24"/>
        </w:rPr>
        <w:t>地址：</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p>
    <w:p w14:paraId="312697FA">
      <w:pPr>
        <w:wordWrap w:val="0"/>
        <w:spacing w:line="360" w:lineRule="auto"/>
        <w:ind w:firstLine="480" w:firstLineChars="200"/>
        <w:rPr>
          <w:rFonts w:hint="eastAsia" w:ascii="宋体" w:hAnsi="宋体"/>
          <w:sz w:val="24"/>
        </w:rPr>
      </w:pPr>
      <w:r>
        <w:rPr>
          <w:rFonts w:hint="eastAsia" w:ascii="宋体" w:hAnsi="宋体" w:cs="宋体"/>
          <w:sz w:val="24"/>
        </w:rPr>
        <w:t>成立时间：</w:t>
      </w:r>
      <w:r>
        <w:rPr>
          <w:rFonts w:ascii="宋体" w:hAnsi="宋体" w:cs="宋体"/>
          <w:sz w:val="24"/>
          <w:u w:val="single"/>
        </w:rPr>
        <w:t xml:space="preserve">     </w:t>
      </w:r>
      <w:r>
        <w:rPr>
          <w:rFonts w:hint="eastAsia" w:ascii="宋体" w:hAnsi="宋体" w:cs="宋体"/>
          <w:sz w:val="24"/>
        </w:rPr>
        <w:t>年</w:t>
      </w:r>
      <w:r>
        <w:rPr>
          <w:rFonts w:ascii="宋体" w:hAnsi="宋体" w:cs="宋体"/>
          <w:sz w:val="24"/>
          <w:u w:val="single"/>
        </w:rPr>
        <w:t xml:space="preserve">     </w:t>
      </w:r>
      <w:r>
        <w:rPr>
          <w:rFonts w:hint="eastAsia" w:ascii="宋体" w:hAnsi="宋体" w:cs="宋体"/>
          <w:sz w:val="24"/>
        </w:rPr>
        <w:t>月</w:t>
      </w:r>
      <w:r>
        <w:rPr>
          <w:rFonts w:ascii="宋体" w:hAnsi="宋体" w:cs="宋体"/>
          <w:sz w:val="24"/>
          <w:u w:val="single"/>
        </w:rPr>
        <w:t xml:space="preserve">     </w:t>
      </w:r>
      <w:r>
        <w:rPr>
          <w:rFonts w:hint="eastAsia" w:ascii="宋体" w:hAnsi="宋体" w:cs="宋体"/>
          <w:sz w:val="24"/>
        </w:rPr>
        <w:t>日   经营期限：</w:t>
      </w:r>
      <w:r>
        <w:rPr>
          <w:rFonts w:ascii="宋体" w:hAnsi="宋体" w:cs="宋体"/>
          <w:sz w:val="24"/>
          <w:u w:val="single"/>
        </w:rPr>
        <w:t xml:space="preserve">                       </w:t>
      </w:r>
    </w:p>
    <w:p w14:paraId="30A1267E">
      <w:pPr>
        <w:wordWrap w:val="0"/>
        <w:spacing w:line="360" w:lineRule="auto"/>
        <w:ind w:firstLine="480" w:firstLineChars="200"/>
        <w:rPr>
          <w:rFonts w:hint="eastAsia" w:ascii="宋体" w:hAnsi="宋体"/>
          <w:sz w:val="24"/>
        </w:rPr>
      </w:pPr>
      <w:r>
        <w:rPr>
          <w:rFonts w:hint="eastAsia" w:ascii="宋体" w:hAnsi="宋体" w:cs="宋体"/>
          <w:sz w:val="24"/>
        </w:rPr>
        <w:t>姓名：</w:t>
      </w:r>
      <w:r>
        <w:rPr>
          <w:rFonts w:ascii="宋体" w:hAnsi="宋体" w:cs="宋体"/>
          <w:sz w:val="24"/>
          <w:u w:val="single"/>
        </w:rPr>
        <w:t xml:space="preserve">      </w:t>
      </w:r>
      <w:r>
        <w:rPr>
          <w:rFonts w:hint="eastAsia" w:ascii="宋体" w:hAnsi="宋体" w:cs="宋体"/>
          <w:sz w:val="24"/>
          <w:u w:val="single"/>
        </w:rPr>
        <w:t xml:space="preserve"> </w:t>
      </w:r>
      <w:r>
        <w:rPr>
          <w:rFonts w:hint="eastAsia" w:ascii="宋体" w:hAnsi="宋体" w:cs="宋体"/>
          <w:sz w:val="24"/>
        </w:rPr>
        <w:t xml:space="preserve">  性别：</w:t>
      </w:r>
      <w:r>
        <w:rPr>
          <w:rFonts w:ascii="宋体" w:hAnsi="宋体" w:cs="宋体"/>
          <w:sz w:val="24"/>
          <w:u w:val="single"/>
        </w:rPr>
        <w:t xml:space="preserve">    </w:t>
      </w:r>
      <w:r>
        <w:rPr>
          <w:rFonts w:hint="eastAsia" w:ascii="宋体" w:hAnsi="宋体" w:cs="宋体"/>
          <w:sz w:val="24"/>
        </w:rPr>
        <w:t xml:space="preserve"> 年龄：</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 xml:space="preserve"> 职务：</w:t>
      </w:r>
      <w:r>
        <w:rPr>
          <w:rFonts w:ascii="宋体" w:hAnsi="宋体" w:cs="宋体"/>
          <w:sz w:val="24"/>
          <w:u w:val="single"/>
        </w:rPr>
        <w:t xml:space="preserve">  </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rPr>
        <w:t>系</w:t>
      </w:r>
      <w:r>
        <w:rPr>
          <w:rFonts w:ascii="宋体" w:hAnsi="宋体" w:cs="宋体"/>
          <w:sz w:val="24"/>
          <w:u w:val="single"/>
        </w:rPr>
        <w:t xml:space="preserve">                </w:t>
      </w:r>
      <w:r>
        <w:rPr>
          <w:rFonts w:hint="eastAsia" w:ascii="宋体" w:hAnsi="宋体" w:cs="宋体"/>
          <w:sz w:val="24"/>
        </w:rPr>
        <w:t>（供应商名称）的法定代表人（或非法人组织负责人）。</w:t>
      </w:r>
    </w:p>
    <w:p w14:paraId="314E6CFE">
      <w:pPr>
        <w:wordWrap w:val="0"/>
        <w:spacing w:line="360" w:lineRule="auto"/>
        <w:ind w:firstLine="1080" w:firstLineChars="450"/>
        <w:rPr>
          <w:rFonts w:hint="eastAsia" w:ascii="宋体" w:hAnsi="宋体"/>
          <w:bCs/>
          <w:sz w:val="24"/>
        </w:rPr>
      </w:pPr>
      <w:r>
        <w:rPr>
          <w:rFonts w:hint="eastAsia" w:ascii="宋体" w:hAnsi="宋体" w:cs="宋体"/>
          <w:bCs/>
          <w:sz w:val="24"/>
        </w:rPr>
        <w:t>特此证明。</w:t>
      </w:r>
    </w:p>
    <w:tbl>
      <w:tblPr>
        <w:tblStyle w:val="47"/>
        <w:tblW w:w="9449"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449"/>
      </w:tblGrid>
      <w:tr w14:paraId="38287FE9">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4526" w:hRule="exact"/>
          <w:jc w:val="center"/>
        </w:trPr>
        <w:tc>
          <w:tcPr>
            <w:tcW w:w="9449" w:type="dxa"/>
          </w:tcPr>
          <w:p w14:paraId="28B80F1C">
            <w:pPr>
              <w:pStyle w:val="42"/>
              <w:wordWrap w:val="0"/>
              <w:spacing w:before="120" w:beforeLines="50" w:beforeAutospacing="0" w:after="120" w:afterLines="50" w:afterAutospacing="0"/>
              <w:jc w:val="center"/>
              <w:rPr>
                <w:rFonts w:hint="eastAsia"/>
                <w:szCs w:val="24"/>
              </w:rPr>
            </w:pPr>
            <w:r>
              <w:rPr>
                <w:rFonts w:hint="eastAsia" w:cs="宋体"/>
              </w:rPr>
              <w:t>此处应附法定代表人（或非法人组织负责人）身份证（正反面）的复印件。</w:t>
            </w:r>
          </w:p>
        </w:tc>
      </w:tr>
    </w:tbl>
    <w:p w14:paraId="04BFE637">
      <w:pPr>
        <w:wordWrap w:val="0"/>
        <w:spacing w:line="360" w:lineRule="auto"/>
        <w:rPr>
          <w:rFonts w:hint="eastAsia" w:ascii="宋体" w:hAnsi="宋体"/>
        </w:rPr>
      </w:pPr>
    </w:p>
    <w:p w14:paraId="50EF73EB">
      <w:pPr>
        <w:wordWrap w:val="0"/>
        <w:spacing w:line="360" w:lineRule="auto"/>
        <w:ind w:firstLine="480" w:firstLineChars="200"/>
        <w:rPr>
          <w:rFonts w:hint="eastAsia" w:ascii="宋体" w:hAnsi="宋体" w:cs="宋体"/>
          <w:sz w:val="24"/>
        </w:rPr>
      </w:pPr>
      <w:r>
        <w:rPr>
          <w:rFonts w:hint="eastAsia" w:ascii="宋体" w:hAnsi="宋体"/>
          <w:sz w:val="24"/>
        </w:rPr>
        <w:t>供应商</w:t>
      </w:r>
      <w:r>
        <w:rPr>
          <w:rFonts w:hint="eastAsia" w:ascii="宋体" w:hAnsi="宋体" w:cs="宋体"/>
          <w:sz w:val="24"/>
        </w:rPr>
        <w:t>：</w:t>
      </w:r>
      <w:r>
        <w:rPr>
          <w:rFonts w:ascii="宋体" w:hAnsi="宋体" w:cs="宋体"/>
          <w:sz w:val="24"/>
          <w:u w:val="single"/>
        </w:rPr>
        <w:t xml:space="preserve">                   </w:t>
      </w:r>
      <w:r>
        <w:rPr>
          <w:rFonts w:hint="eastAsia" w:ascii="宋体" w:hAnsi="宋体" w:cs="宋体"/>
          <w:sz w:val="24"/>
        </w:rPr>
        <w:t>（</w:t>
      </w:r>
      <w:bookmarkStart w:id="691" w:name="_Hlk165886313"/>
      <w:r>
        <w:rPr>
          <w:rFonts w:hint="eastAsia" w:ascii="宋体" w:hAnsi="宋体"/>
          <w:sz w:val="24"/>
        </w:rPr>
        <w:t>加盖单位公章</w:t>
      </w:r>
      <w:bookmarkEnd w:id="691"/>
      <w:r>
        <w:rPr>
          <w:rFonts w:hint="eastAsia" w:ascii="宋体" w:hAnsi="宋体" w:cs="宋体"/>
          <w:sz w:val="24"/>
        </w:rPr>
        <w:t>）</w:t>
      </w:r>
    </w:p>
    <w:p w14:paraId="0D3ED118">
      <w:pPr>
        <w:pStyle w:val="26"/>
        <w:tabs>
          <w:tab w:val="left" w:pos="5580"/>
        </w:tabs>
        <w:wordWrap w:val="0"/>
        <w:spacing w:line="360" w:lineRule="auto"/>
        <w:ind w:firstLine="480" w:firstLineChars="200"/>
        <w:rPr>
          <w:rFonts w:hint="eastAsia" w:hAnsi="宋体"/>
          <w:sz w:val="24"/>
          <w:szCs w:val="24"/>
        </w:rPr>
      </w:pPr>
      <w:r>
        <w:rPr>
          <w:rFonts w:hint="eastAsia" w:hAnsi="宋体"/>
          <w:sz w:val="24"/>
          <w:szCs w:val="24"/>
        </w:rPr>
        <w:t>详细通讯地址：</w:t>
      </w:r>
      <w:r>
        <w:rPr>
          <w:rFonts w:hint="eastAsia" w:hAnsi="宋体"/>
          <w:sz w:val="24"/>
          <w:u w:val="single"/>
        </w:rPr>
        <w:t xml:space="preserve">                       </w:t>
      </w:r>
      <w:r>
        <w:rPr>
          <w:rFonts w:hint="eastAsia" w:hAnsi="宋体"/>
          <w:sz w:val="24"/>
        </w:rPr>
        <w:t xml:space="preserve">  </w:t>
      </w:r>
    </w:p>
    <w:p w14:paraId="3DE84D93">
      <w:pPr>
        <w:pStyle w:val="26"/>
        <w:tabs>
          <w:tab w:val="left" w:pos="5580"/>
        </w:tabs>
        <w:wordWrap w:val="0"/>
        <w:spacing w:line="360" w:lineRule="auto"/>
        <w:ind w:firstLine="480" w:firstLineChars="200"/>
        <w:jc w:val="left"/>
        <w:rPr>
          <w:rFonts w:hint="eastAsia" w:hAnsi="宋体"/>
          <w:spacing w:val="38"/>
          <w:sz w:val="24"/>
          <w:szCs w:val="24"/>
          <w:u w:val="single"/>
        </w:rPr>
      </w:pPr>
      <w:r>
        <w:rPr>
          <w:rFonts w:hint="eastAsia" w:hAnsi="宋体"/>
          <w:sz w:val="24"/>
          <w:szCs w:val="24"/>
        </w:rPr>
        <w:t xml:space="preserve">电 </w:t>
      </w:r>
      <w:r>
        <w:rPr>
          <w:rFonts w:hAnsi="宋体"/>
          <w:sz w:val="24"/>
          <w:szCs w:val="24"/>
        </w:rPr>
        <w:t xml:space="preserve"> </w:t>
      </w:r>
      <w:r>
        <w:rPr>
          <w:rFonts w:hint="eastAsia" w:hAnsi="宋体"/>
          <w:sz w:val="24"/>
          <w:szCs w:val="24"/>
        </w:rPr>
        <w:t>话：</w:t>
      </w:r>
      <w:r>
        <w:rPr>
          <w:rFonts w:hint="eastAsia" w:hAnsi="宋体"/>
          <w:sz w:val="24"/>
          <w:szCs w:val="24"/>
          <w:u w:val="single"/>
        </w:rPr>
        <w:t xml:space="preserve">                    </w:t>
      </w:r>
      <w:r>
        <w:rPr>
          <w:rFonts w:hint="eastAsia" w:hAnsi="宋体"/>
          <w:sz w:val="24"/>
          <w:szCs w:val="24"/>
        </w:rPr>
        <w:t xml:space="preserve">   </w:t>
      </w:r>
      <w:r>
        <w:rPr>
          <w:rFonts w:hint="eastAsia" w:hAnsi="宋体"/>
          <w:spacing w:val="38"/>
          <w:sz w:val="24"/>
          <w:szCs w:val="24"/>
        </w:rPr>
        <w:t>电子邮箱：</w:t>
      </w:r>
      <w:r>
        <w:rPr>
          <w:rFonts w:hint="eastAsia" w:hAnsi="宋体"/>
          <w:spacing w:val="38"/>
          <w:sz w:val="24"/>
          <w:szCs w:val="24"/>
          <w:u w:val="single"/>
        </w:rPr>
        <w:t xml:space="preserve"> </w:t>
      </w:r>
      <w:r>
        <w:rPr>
          <w:rFonts w:hAnsi="宋体"/>
          <w:spacing w:val="38"/>
          <w:sz w:val="24"/>
          <w:szCs w:val="24"/>
          <w:u w:val="single"/>
        </w:rPr>
        <w:t xml:space="preserve">              </w:t>
      </w:r>
    </w:p>
    <w:p w14:paraId="13F4E1AA">
      <w:pPr>
        <w:wordWrap w:val="0"/>
        <w:spacing w:line="360" w:lineRule="auto"/>
        <w:ind w:right="880" w:firstLine="480" w:firstLineChars="200"/>
        <w:rPr>
          <w:rFonts w:hint="eastAsia" w:ascii="宋体" w:hAnsi="宋体" w:cs="宋体"/>
          <w:sz w:val="24"/>
        </w:rPr>
      </w:pPr>
      <w:r>
        <w:rPr>
          <w:rFonts w:hint="eastAsia" w:ascii="宋体" w:hAnsi="宋体" w:cs="宋体"/>
          <w:sz w:val="24"/>
        </w:rPr>
        <w:t xml:space="preserve">日    期： </w:t>
      </w:r>
      <w:r>
        <w:rPr>
          <w:rFonts w:ascii="宋体" w:hAnsi="宋体" w:cs="宋体"/>
          <w:sz w:val="24"/>
        </w:rPr>
        <w:t xml:space="preserve">  </w:t>
      </w:r>
      <w:r>
        <w:rPr>
          <w:rFonts w:hint="eastAsia" w:ascii="宋体" w:hAnsi="宋体" w:cs="宋体"/>
          <w:sz w:val="24"/>
        </w:rPr>
        <w:t>年</w:t>
      </w:r>
      <w:r>
        <w:rPr>
          <w:rFonts w:ascii="宋体" w:hAnsi="宋体" w:cs="宋体"/>
          <w:sz w:val="24"/>
        </w:rPr>
        <w:t xml:space="preserve">   </w:t>
      </w:r>
      <w:r>
        <w:rPr>
          <w:rFonts w:hint="eastAsia" w:ascii="宋体" w:hAnsi="宋体" w:cs="宋体"/>
          <w:sz w:val="24"/>
        </w:rPr>
        <w:t>月</w:t>
      </w:r>
      <w:r>
        <w:rPr>
          <w:rFonts w:ascii="宋体" w:hAnsi="宋体" w:cs="宋体"/>
          <w:sz w:val="24"/>
        </w:rPr>
        <w:t xml:space="preserve">   </w:t>
      </w:r>
      <w:r>
        <w:rPr>
          <w:rFonts w:hint="eastAsia" w:ascii="宋体" w:hAnsi="宋体" w:cs="宋体"/>
          <w:sz w:val="24"/>
        </w:rPr>
        <w:t>日</w:t>
      </w:r>
    </w:p>
    <w:p w14:paraId="3481E165">
      <w:pPr>
        <w:wordWrap w:val="0"/>
        <w:spacing w:line="360" w:lineRule="auto"/>
        <w:ind w:firstLine="480"/>
        <w:rPr>
          <w:rFonts w:hint="eastAsia" w:ascii="宋体" w:hAnsi="宋体"/>
          <w:sz w:val="24"/>
        </w:rPr>
      </w:pPr>
      <w:r>
        <w:rPr>
          <w:rFonts w:hint="eastAsia" w:ascii="宋体" w:hAnsi="宋体"/>
          <w:sz w:val="24"/>
        </w:rPr>
        <w:t>注：自然人参加提交响应文件的无需提供。</w:t>
      </w:r>
    </w:p>
    <w:p w14:paraId="75B0A0BA">
      <w:pPr>
        <w:wordWrap w:val="0"/>
        <w:spacing w:line="360" w:lineRule="auto"/>
        <w:rPr>
          <w:rFonts w:hint="eastAsia" w:ascii="宋体" w:hAnsi="宋体"/>
          <w:sz w:val="24"/>
        </w:rPr>
      </w:pPr>
    </w:p>
    <w:p w14:paraId="1412F2E3">
      <w:pPr>
        <w:wordWrap w:val="0"/>
        <w:rPr>
          <w:rFonts w:hint="eastAsia" w:ascii="宋体" w:hAnsi="宋体"/>
        </w:rPr>
      </w:pPr>
      <w:r>
        <w:rPr>
          <w:rFonts w:hint="eastAsia"/>
        </w:rPr>
        <w:br w:type="page"/>
      </w:r>
    </w:p>
    <w:p w14:paraId="35FCB6EC">
      <w:pPr>
        <w:pStyle w:val="7"/>
        <w:widowControl/>
        <w:wordWrap w:val="0"/>
        <w:jc w:val="center"/>
        <w:rPr>
          <w:rFonts w:hint="eastAsia" w:ascii="黑体" w:hAnsi="黑体"/>
          <w:sz w:val="24"/>
        </w:rPr>
      </w:pPr>
      <w:bookmarkStart w:id="692" w:name="_Toc166561420"/>
      <w:bookmarkStart w:id="693" w:name="_Toc17761"/>
      <w:bookmarkStart w:id="694" w:name="_Toc2426"/>
      <w:bookmarkStart w:id="695" w:name="_Toc15048338"/>
      <w:bookmarkStart w:id="696" w:name="_Toc14966"/>
      <w:bookmarkStart w:id="697" w:name="_Toc14755"/>
      <w:bookmarkStart w:id="698" w:name="_Toc532473498"/>
      <w:r>
        <w:rPr>
          <w:rFonts w:hint="eastAsia" w:ascii="黑体" w:hAnsi="黑体" w:cs="黑体"/>
          <w:b w:val="0"/>
          <w:bCs w:val="0"/>
          <w:kern w:val="0"/>
          <w:sz w:val="28"/>
          <w:szCs w:val="28"/>
        </w:rPr>
        <w:t>2.法定代表人（或非法人组织负责人）授权委托书</w:t>
      </w:r>
      <w:bookmarkEnd w:id="692"/>
      <w:bookmarkEnd w:id="693"/>
      <w:bookmarkEnd w:id="694"/>
      <w:bookmarkEnd w:id="695"/>
      <w:bookmarkEnd w:id="696"/>
      <w:bookmarkEnd w:id="697"/>
    </w:p>
    <w:bookmarkEnd w:id="698"/>
    <w:p w14:paraId="3B024803">
      <w:pPr>
        <w:pStyle w:val="26"/>
        <w:tabs>
          <w:tab w:val="left" w:pos="5580"/>
        </w:tabs>
        <w:wordWrap w:val="0"/>
        <w:ind w:left="-540" w:leftChars="-257" w:firstLine="787" w:firstLineChars="375"/>
        <w:jc w:val="center"/>
      </w:pPr>
    </w:p>
    <w:p w14:paraId="6191717B">
      <w:pPr>
        <w:wordWrap w:val="0"/>
        <w:spacing w:line="360" w:lineRule="auto"/>
        <w:ind w:firstLine="480" w:firstLineChars="200"/>
        <w:rPr>
          <w:rFonts w:hint="eastAsia" w:ascii="宋体" w:hAnsi="宋体"/>
          <w:sz w:val="24"/>
        </w:rPr>
      </w:pPr>
      <w:r>
        <w:rPr>
          <w:rFonts w:hint="eastAsia" w:ascii="宋体" w:hAnsi="宋体"/>
          <w:sz w:val="24"/>
        </w:rPr>
        <w:t>本人</w:t>
      </w:r>
      <w:r>
        <w:rPr>
          <w:rFonts w:ascii="宋体" w:hAnsi="宋体"/>
          <w:sz w:val="24"/>
        </w:rPr>
        <w:t xml:space="preserve"> </w:t>
      </w:r>
      <w:r>
        <w:rPr>
          <w:rFonts w:hint="eastAsia" w:ascii="宋体" w:hAnsi="宋体"/>
          <w:sz w:val="24"/>
          <w:u w:val="single"/>
        </w:rPr>
        <w:t xml:space="preserve">       </w:t>
      </w:r>
      <w:r>
        <w:rPr>
          <w:rFonts w:hint="eastAsia" w:ascii="宋体" w:hAnsi="宋体"/>
          <w:sz w:val="24"/>
        </w:rPr>
        <w:t>（姓名）系</w:t>
      </w:r>
      <w:r>
        <w:rPr>
          <w:rFonts w:hint="eastAsia" w:ascii="宋体" w:hAnsi="宋体"/>
          <w:sz w:val="24"/>
          <w:u w:val="single"/>
        </w:rPr>
        <w:t xml:space="preserve">                  </w:t>
      </w:r>
      <w:r>
        <w:rPr>
          <w:rFonts w:hint="eastAsia" w:ascii="宋体" w:hAnsi="宋体"/>
          <w:sz w:val="24"/>
        </w:rPr>
        <w:t xml:space="preserve">（供应商名称）的法定代表人（或非法人组织负责人），现委托 </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hint="eastAsia" w:ascii="宋体" w:hAnsi="宋体"/>
          <w:sz w:val="24"/>
        </w:rPr>
        <w:t>（姓名）为我单位的合法代理人。代理人根据授权，参加（</w:t>
      </w:r>
      <w:bookmarkStart w:id="699" w:name="OLE_LINK25"/>
      <w:r>
        <w:rPr>
          <w:rFonts w:hint="eastAsia" w:ascii="宋体" w:hAnsi="宋体"/>
          <w:sz w:val="24"/>
          <w:u w:val="single"/>
        </w:rPr>
        <w:t>填写：</w:t>
      </w:r>
      <w:r>
        <w:rPr>
          <w:rFonts w:hint="eastAsia" w:ascii="宋体" w:hAnsi="宋体"/>
          <w:iCs/>
          <w:sz w:val="24"/>
          <w:u w:val="single"/>
        </w:rPr>
        <w:t>项目名称、</w:t>
      </w:r>
      <w:r>
        <w:rPr>
          <w:rFonts w:hint="eastAsia"/>
          <w:iCs/>
          <w:sz w:val="24"/>
          <w:u w:val="single"/>
        </w:rPr>
        <w:t>项目编号</w:t>
      </w:r>
      <w:bookmarkEnd w:id="699"/>
      <w:r>
        <w:rPr>
          <w:rFonts w:hint="eastAsia" w:ascii="宋体" w:hAnsi="宋体"/>
          <w:sz w:val="24"/>
        </w:rPr>
        <w:t>）的提交响应文件，以我单位名义处理一切与之有关的事务，其法律后果由我单位承担。</w:t>
      </w:r>
      <w:r>
        <w:rPr>
          <w:rFonts w:ascii="宋体" w:hAnsi="宋体"/>
          <w:sz w:val="24"/>
        </w:rPr>
        <w:t>代理人无权转让委托权。</w:t>
      </w:r>
    </w:p>
    <w:p w14:paraId="23BB6615">
      <w:pPr>
        <w:wordWrap w:val="0"/>
        <w:spacing w:line="360" w:lineRule="auto"/>
        <w:ind w:left="359" w:leftChars="171" w:firstLine="120" w:firstLineChars="50"/>
        <w:rPr>
          <w:rFonts w:hint="eastAsia" w:ascii="宋体" w:hAnsi="宋体"/>
          <w:sz w:val="24"/>
        </w:rPr>
      </w:pPr>
      <w:r>
        <w:rPr>
          <w:rFonts w:hint="eastAsia" w:ascii="宋体" w:hAnsi="宋体"/>
          <w:sz w:val="24"/>
        </w:rPr>
        <w:t>委托期限：</w:t>
      </w:r>
      <w:r>
        <w:rPr>
          <w:rFonts w:hint="eastAsia" w:ascii="宋体" w:hAnsi="宋体"/>
          <w:sz w:val="24"/>
        </w:rPr>
        <w:tab/>
      </w:r>
      <w:bookmarkStart w:id="700" w:name="_Hlk165993972"/>
      <w:r>
        <w:rPr>
          <w:rFonts w:ascii="宋体" w:hAnsi="宋体"/>
          <w:sz w:val="24"/>
        </w:rPr>
        <w:t>自本授权委托书签署之日起至</w:t>
      </w:r>
      <w:r>
        <w:rPr>
          <w:rFonts w:hint="eastAsia" w:ascii="宋体" w:hAnsi="宋体"/>
          <w:sz w:val="24"/>
        </w:rPr>
        <w:t>提交响应文件</w:t>
      </w:r>
      <w:r>
        <w:rPr>
          <w:rFonts w:ascii="宋体" w:hAnsi="宋体"/>
          <w:sz w:val="24"/>
        </w:rPr>
        <w:t>有效期届满之日止。</w:t>
      </w:r>
      <w:bookmarkEnd w:id="700"/>
    </w:p>
    <w:tbl>
      <w:tblPr>
        <w:tblStyle w:val="47"/>
        <w:tblW w:w="9042" w:type="dxa"/>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9042"/>
      </w:tblGrid>
      <w:tr w14:paraId="51D20AE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3564" w:hRule="exact"/>
          <w:jc w:val="center"/>
        </w:trPr>
        <w:tc>
          <w:tcPr>
            <w:tcW w:w="9042" w:type="dxa"/>
          </w:tcPr>
          <w:p w14:paraId="67480AC5">
            <w:pPr>
              <w:pStyle w:val="42"/>
              <w:wordWrap w:val="0"/>
              <w:spacing w:before="120" w:beforeLines="50" w:beforeAutospacing="0" w:after="120" w:afterLines="50" w:afterAutospacing="0"/>
              <w:jc w:val="center"/>
              <w:rPr>
                <w:rFonts w:hint="eastAsia"/>
                <w:szCs w:val="24"/>
              </w:rPr>
            </w:pPr>
            <w:r>
              <w:rPr>
                <w:rFonts w:hint="eastAsia" w:cs="宋体"/>
              </w:rPr>
              <w:t>此处应附代理人身份证（正反面）的复印件</w:t>
            </w:r>
          </w:p>
        </w:tc>
      </w:tr>
    </w:tbl>
    <w:p w14:paraId="01F9D408">
      <w:pPr>
        <w:pStyle w:val="26"/>
        <w:tabs>
          <w:tab w:val="left" w:pos="5580"/>
        </w:tabs>
        <w:wordWrap w:val="0"/>
        <w:ind w:firstLine="480" w:firstLineChars="200"/>
        <w:rPr>
          <w:rFonts w:hint="eastAsia" w:hAnsi="宋体"/>
          <w:sz w:val="24"/>
        </w:rPr>
      </w:pPr>
    </w:p>
    <w:p w14:paraId="6847F7A4">
      <w:pPr>
        <w:pStyle w:val="26"/>
        <w:tabs>
          <w:tab w:val="left" w:pos="5580"/>
        </w:tabs>
        <w:wordWrap w:val="0"/>
        <w:spacing w:line="360" w:lineRule="auto"/>
        <w:ind w:firstLine="480" w:firstLineChars="200"/>
        <w:rPr>
          <w:rFonts w:hint="eastAsia" w:hAnsi="宋体"/>
          <w:sz w:val="24"/>
          <w:u w:val="single"/>
        </w:rPr>
      </w:pPr>
      <w:r>
        <w:rPr>
          <w:rFonts w:hint="eastAsia" w:hAnsi="宋体"/>
          <w:sz w:val="24"/>
        </w:rPr>
        <w:t>供应商：</w:t>
      </w:r>
      <w:r>
        <w:rPr>
          <w:rFonts w:hint="eastAsia" w:hAnsi="宋体"/>
          <w:sz w:val="24"/>
          <w:u w:val="single"/>
        </w:rPr>
        <w:t xml:space="preserve">          </w:t>
      </w:r>
      <w:r>
        <w:rPr>
          <w:rFonts w:hAnsi="宋体"/>
          <w:sz w:val="24"/>
          <w:u w:val="single"/>
        </w:rPr>
        <w:t xml:space="preserve">       </w:t>
      </w:r>
      <w:r>
        <w:rPr>
          <w:rFonts w:hint="eastAsia" w:hAnsi="宋体"/>
          <w:sz w:val="24"/>
          <w:u w:val="single"/>
        </w:rPr>
        <w:t xml:space="preserve">  </w:t>
      </w:r>
      <w:r>
        <w:rPr>
          <w:rFonts w:hAnsi="宋体"/>
          <w:sz w:val="24"/>
          <w:u w:val="single"/>
        </w:rPr>
        <w:t xml:space="preserve">   </w:t>
      </w:r>
      <w:r>
        <w:rPr>
          <w:rFonts w:hint="eastAsia" w:hAnsi="宋体"/>
          <w:sz w:val="24"/>
          <w:u w:val="single"/>
        </w:rPr>
        <w:t xml:space="preserve">       </w:t>
      </w:r>
      <w:r>
        <w:rPr>
          <w:rFonts w:hint="eastAsia" w:hAnsi="宋体" w:cs="宋体"/>
          <w:sz w:val="24"/>
        </w:rPr>
        <w:t>（</w:t>
      </w:r>
      <w:r>
        <w:rPr>
          <w:rFonts w:hint="eastAsia" w:hAnsi="宋体"/>
          <w:sz w:val="24"/>
        </w:rPr>
        <w:t>加盖单位公章</w:t>
      </w:r>
      <w:r>
        <w:rPr>
          <w:rFonts w:hint="eastAsia" w:hAnsi="宋体" w:cs="宋体"/>
          <w:sz w:val="24"/>
        </w:rPr>
        <w:t>）</w:t>
      </w:r>
    </w:p>
    <w:p w14:paraId="2BF44C63">
      <w:pPr>
        <w:pStyle w:val="26"/>
        <w:tabs>
          <w:tab w:val="left" w:pos="5580"/>
        </w:tabs>
        <w:wordWrap w:val="0"/>
        <w:spacing w:line="360" w:lineRule="auto"/>
        <w:ind w:firstLine="480" w:firstLineChars="200"/>
        <w:rPr>
          <w:rFonts w:hint="eastAsia" w:hAnsi="宋体"/>
          <w:sz w:val="24"/>
        </w:rPr>
      </w:pPr>
      <w:r>
        <w:rPr>
          <w:rFonts w:hint="eastAsia" w:hAnsi="宋体"/>
          <w:sz w:val="24"/>
          <w:u w:val="single" w:color="FFFFFF"/>
        </w:rPr>
        <w:t>法定代表人或负责人</w:t>
      </w:r>
      <w:r>
        <w:rPr>
          <w:rFonts w:hint="eastAsia" w:hAnsi="宋体"/>
          <w:sz w:val="24"/>
        </w:rPr>
        <w:t>：</w:t>
      </w:r>
      <w:r>
        <w:rPr>
          <w:rFonts w:hint="eastAsia" w:hAnsi="宋体"/>
          <w:sz w:val="24"/>
          <w:u w:val="single"/>
        </w:rPr>
        <w:t xml:space="preserve">          </w:t>
      </w:r>
      <w:r>
        <w:rPr>
          <w:rFonts w:hAnsi="宋体"/>
          <w:sz w:val="24"/>
          <w:u w:val="single"/>
        </w:rPr>
        <w:t xml:space="preserve"> </w:t>
      </w:r>
      <w:r>
        <w:rPr>
          <w:rFonts w:hint="eastAsia" w:hAnsi="宋体"/>
          <w:sz w:val="24"/>
          <w:u w:val="single"/>
        </w:rPr>
        <w:t xml:space="preserve">       </w:t>
      </w:r>
      <w:r>
        <w:rPr>
          <w:rFonts w:hint="eastAsia" w:hAnsi="宋体"/>
          <w:sz w:val="24"/>
        </w:rPr>
        <w:t>（签字或加盖个人章）</w:t>
      </w:r>
    </w:p>
    <w:p w14:paraId="56233B78">
      <w:pPr>
        <w:pStyle w:val="26"/>
        <w:tabs>
          <w:tab w:val="left" w:pos="5580"/>
        </w:tabs>
        <w:wordWrap w:val="0"/>
        <w:spacing w:line="360" w:lineRule="auto"/>
        <w:ind w:firstLine="480" w:firstLineChars="200"/>
        <w:rPr>
          <w:rFonts w:hint="eastAsia" w:hAnsi="宋体"/>
          <w:sz w:val="24"/>
        </w:rPr>
      </w:pPr>
      <w:r>
        <w:rPr>
          <w:rFonts w:hint="eastAsia" w:hAnsi="宋体"/>
          <w:sz w:val="24"/>
        </w:rPr>
        <w:t>代理人：</w:t>
      </w:r>
      <w:r>
        <w:rPr>
          <w:rFonts w:hint="eastAsia" w:hAnsi="宋体"/>
          <w:sz w:val="24"/>
          <w:u w:val="single"/>
        </w:rPr>
        <w:t xml:space="preserve">  （签字或盖个人章）               </w:t>
      </w:r>
    </w:p>
    <w:p w14:paraId="20AD4BB4">
      <w:pPr>
        <w:pStyle w:val="26"/>
        <w:tabs>
          <w:tab w:val="left" w:pos="5580"/>
        </w:tabs>
        <w:wordWrap w:val="0"/>
        <w:spacing w:line="360" w:lineRule="auto"/>
        <w:ind w:firstLine="480" w:firstLineChars="200"/>
        <w:rPr>
          <w:rFonts w:hint="eastAsia" w:hAnsi="宋体"/>
          <w:sz w:val="24"/>
          <w:u w:val="single" w:color="FFFFFF"/>
        </w:rPr>
      </w:pPr>
      <w:r>
        <w:rPr>
          <w:rFonts w:hint="eastAsia" w:hAnsi="宋体"/>
          <w:sz w:val="24"/>
          <w:u w:val="single" w:color="FFFFFF"/>
        </w:rPr>
        <w:t>代理人工作单位：</w:t>
      </w:r>
      <w:r>
        <w:rPr>
          <w:rFonts w:hint="eastAsia" w:hAnsi="宋体"/>
          <w:sz w:val="24"/>
          <w:u w:val="single"/>
        </w:rPr>
        <w:t xml:space="preserve">                                </w:t>
      </w:r>
    </w:p>
    <w:p w14:paraId="333DFB74">
      <w:pPr>
        <w:pStyle w:val="26"/>
        <w:tabs>
          <w:tab w:val="left" w:pos="5580"/>
        </w:tabs>
        <w:wordWrap w:val="0"/>
        <w:spacing w:line="360" w:lineRule="auto"/>
        <w:ind w:firstLine="480" w:firstLineChars="200"/>
        <w:rPr>
          <w:rFonts w:hint="eastAsia" w:hAnsi="宋体"/>
          <w:sz w:val="24"/>
        </w:rPr>
      </w:pPr>
      <w:r>
        <w:rPr>
          <w:rFonts w:hint="eastAsia" w:hAnsi="宋体"/>
          <w:sz w:val="24"/>
          <w:u w:val="single" w:color="FFFFFF"/>
        </w:rPr>
        <w:t>代理人详细通讯地址</w:t>
      </w:r>
      <w:r>
        <w:rPr>
          <w:rFonts w:hint="eastAsia" w:hAnsi="宋体"/>
          <w:sz w:val="24"/>
        </w:rPr>
        <w:t>：</w:t>
      </w:r>
      <w:r>
        <w:rPr>
          <w:rFonts w:hint="eastAsia" w:hAnsi="宋体"/>
          <w:sz w:val="24"/>
          <w:u w:val="single"/>
        </w:rPr>
        <w:t xml:space="preserve">                    </w:t>
      </w:r>
      <w:r>
        <w:rPr>
          <w:rFonts w:hint="eastAsia" w:hAnsi="宋体"/>
          <w:sz w:val="24"/>
        </w:rPr>
        <w:t xml:space="preserve">  </w:t>
      </w:r>
    </w:p>
    <w:p w14:paraId="6BE45A6B">
      <w:pPr>
        <w:pStyle w:val="26"/>
        <w:tabs>
          <w:tab w:val="left" w:pos="5580"/>
        </w:tabs>
        <w:wordWrap w:val="0"/>
        <w:spacing w:line="360" w:lineRule="auto"/>
        <w:ind w:firstLine="480" w:firstLineChars="200"/>
        <w:rPr>
          <w:rFonts w:hint="eastAsia" w:hAnsi="宋体"/>
          <w:sz w:val="24"/>
          <w:szCs w:val="24"/>
          <w:u w:val="single"/>
        </w:rPr>
      </w:pPr>
      <w:r>
        <w:rPr>
          <w:rFonts w:hint="eastAsia" w:hAnsi="宋体"/>
          <w:sz w:val="24"/>
          <w:u w:val="single" w:color="FFFFFF"/>
        </w:rPr>
        <w:t>代理人联系电话</w:t>
      </w:r>
      <w:r>
        <w:rPr>
          <w:rFonts w:hint="eastAsia" w:hAnsi="宋体"/>
          <w:sz w:val="24"/>
        </w:rPr>
        <w:t>：</w:t>
      </w:r>
      <w:r>
        <w:rPr>
          <w:rFonts w:hint="eastAsia" w:hAnsi="宋体"/>
          <w:sz w:val="24"/>
          <w:u w:val="single"/>
        </w:rPr>
        <w:t xml:space="preserve"> （填写手机号码）</w:t>
      </w:r>
      <w:r>
        <w:rPr>
          <w:rFonts w:hint="eastAsia" w:hAnsi="宋体"/>
          <w:sz w:val="24"/>
        </w:rPr>
        <w:t xml:space="preserve"> </w:t>
      </w:r>
      <w:r>
        <w:rPr>
          <w:rFonts w:hAnsi="宋体"/>
          <w:sz w:val="24"/>
        </w:rPr>
        <w:t xml:space="preserve">   </w:t>
      </w:r>
      <w:r>
        <w:rPr>
          <w:rFonts w:hint="eastAsia" w:hAnsi="宋体"/>
          <w:sz w:val="24"/>
          <w:szCs w:val="24"/>
        </w:rPr>
        <w:t>代理人电子邮箱：</w:t>
      </w:r>
      <w:r>
        <w:rPr>
          <w:rFonts w:hint="eastAsia" w:hAnsi="宋体"/>
          <w:sz w:val="24"/>
          <w:szCs w:val="24"/>
          <w:u w:val="single"/>
        </w:rPr>
        <w:t xml:space="preserve"> </w:t>
      </w:r>
      <w:r>
        <w:rPr>
          <w:rFonts w:hAnsi="宋体"/>
          <w:sz w:val="24"/>
          <w:szCs w:val="24"/>
          <w:u w:val="single"/>
        </w:rPr>
        <w:t xml:space="preserve">                 </w:t>
      </w:r>
    </w:p>
    <w:p w14:paraId="326DAD70">
      <w:pPr>
        <w:pStyle w:val="26"/>
        <w:tabs>
          <w:tab w:val="left" w:pos="5580"/>
        </w:tabs>
        <w:wordWrap w:val="0"/>
        <w:spacing w:line="360" w:lineRule="auto"/>
        <w:ind w:firstLine="491" w:firstLineChars="205"/>
        <w:rPr>
          <w:rFonts w:hint="eastAsia" w:hAnsi="宋体"/>
          <w:sz w:val="24"/>
          <w:u w:val="single"/>
        </w:rPr>
      </w:pPr>
      <w:r>
        <w:rPr>
          <w:rFonts w:hint="eastAsia" w:hAnsi="宋体" w:cs="宋体"/>
          <w:sz w:val="24"/>
        </w:rPr>
        <w:t xml:space="preserve">日    期： </w:t>
      </w:r>
      <w:r>
        <w:rPr>
          <w:rFonts w:hAnsi="宋体" w:cs="宋体"/>
          <w:sz w:val="24"/>
        </w:rPr>
        <w:t xml:space="preserve">   </w:t>
      </w:r>
      <w:r>
        <w:rPr>
          <w:rFonts w:hint="eastAsia" w:hAnsi="宋体" w:cs="宋体"/>
          <w:sz w:val="24"/>
        </w:rPr>
        <w:t>年</w:t>
      </w:r>
      <w:r>
        <w:rPr>
          <w:rFonts w:hAnsi="宋体" w:cs="宋体"/>
          <w:sz w:val="24"/>
        </w:rPr>
        <w:t xml:space="preserve">   </w:t>
      </w:r>
      <w:r>
        <w:rPr>
          <w:rFonts w:hint="eastAsia" w:hAnsi="宋体" w:cs="宋体"/>
          <w:sz w:val="24"/>
        </w:rPr>
        <w:t>月</w:t>
      </w:r>
      <w:r>
        <w:rPr>
          <w:rFonts w:hAnsi="宋体" w:cs="宋体"/>
          <w:sz w:val="24"/>
        </w:rPr>
        <w:t xml:space="preserve">   </w:t>
      </w:r>
      <w:r>
        <w:rPr>
          <w:rFonts w:hint="eastAsia" w:hAnsi="宋体" w:cs="宋体"/>
          <w:sz w:val="24"/>
        </w:rPr>
        <w:t>日</w:t>
      </w:r>
    </w:p>
    <w:p w14:paraId="34A37130">
      <w:pPr>
        <w:wordWrap w:val="0"/>
        <w:spacing w:line="360" w:lineRule="auto"/>
        <w:ind w:firstLine="480"/>
        <w:rPr>
          <w:rFonts w:hint="eastAsia" w:ascii="宋体" w:hAnsi="宋体"/>
          <w:b/>
          <w:sz w:val="24"/>
        </w:rPr>
      </w:pPr>
      <w:bookmarkStart w:id="701" w:name="_Hlk177117276"/>
      <w:bookmarkStart w:id="702" w:name="OLE_LINK63"/>
      <w:bookmarkStart w:id="703" w:name="OLE_LINK38"/>
      <w:r>
        <w:rPr>
          <w:rFonts w:hint="eastAsia" w:ascii="宋体" w:hAnsi="宋体"/>
          <w:b/>
          <w:sz w:val="24"/>
        </w:rPr>
        <w:t>说明：1</w:t>
      </w:r>
      <w:r>
        <w:rPr>
          <w:rFonts w:ascii="宋体" w:hAnsi="宋体"/>
          <w:b/>
          <w:sz w:val="24"/>
        </w:rPr>
        <w:t>.</w:t>
      </w:r>
      <w:r>
        <w:rPr>
          <w:rFonts w:hint="eastAsia" w:ascii="宋体" w:hAnsi="宋体"/>
          <w:b/>
          <w:sz w:val="24"/>
        </w:rPr>
        <w:t>若供应商为事业单位或其他组织或分支机构，则法定代表人（负责人）处的签署人可为单位负责人。</w:t>
      </w:r>
    </w:p>
    <w:p w14:paraId="7D3A0D8F">
      <w:pPr>
        <w:pStyle w:val="26"/>
        <w:tabs>
          <w:tab w:val="left" w:pos="5580"/>
        </w:tabs>
        <w:wordWrap w:val="0"/>
        <w:spacing w:line="360" w:lineRule="auto"/>
        <w:ind w:left="1080" w:leftChars="257" w:hanging="540"/>
        <w:rPr>
          <w:rFonts w:hint="eastAsia" w:hAnsi="宋体"/>
          <w:b/>
          <w:sz w:val="24"/>
        </w:rPr>
      </w:pPr>
      <w:r>
        <w:rPr>
          <w:rFonts w:hint="eastAsia" w:hAnsi="宋体"/>
          <w:b/>
          <w:sz w:val="24"/>
        </w:rPr>
        <w:t>2</w:t>
      </w:r>
      <w:r>
        <w:rPr>
          <w:rFonts w:hAnsi="宋体"/>
          <w:b/>
          <w:sz w:val="24"/>
        </w:rPr>
        <w:t>.</w:t>
      </w:r>
      <w:r>
        <w:rPr>
          <w:rFonts w:hint="eastAsia" w:hAnsi="宋体"/>
          <w:b/>
          <w:sz w:val="24"/>
        </w:rPr>
        <w:t>自然人、法定代表人（或非法人组织负责人）参加提交响应文件的无需提供本</w:t>
      </w:r>
    </w:p>
    <w:p w14:paraId="37271FF6">
      <w:pPr>
        <w:pStyle w:val="26"/>
        <w:tabs>
          <w:tab w:val="left" w:pos="5580"/>
        </w:tabs>
        <w:wordWrap w:val="0"/>
        <w:spacing w:line="360" w:lineRule="auto"/>
        <w:rPr>
          <w:rFonts w:hint="eastAsia" w:hAnsi="宋体"/>
          <w:sz w:val="24"/>
        </w:rPr>
      </w:pPr>
      <w:r>
        <w:rPr>
          <w:rFonts w:hint="eastAsia" w:hAnsi="宋体"/>
          <w:b/>
          <w:sz w:val="24"/>
        </w:rPr>
        <w:t>授权委托书。</w:t>
      </w:r>
      <w:bookmarkEnd w:id="701"/>
      <w:bookmarkEnd w:id="702"/>
      <w:bookmarkEnd w:id="703"/>
      <w:r>
        <w:rPr>
          <w:rFonts w:hint="eastAsia"/>
        </w:rPr>
        <w:br w:type="page"/>
      </w:r>
    </w:p>
    <w:p w14:paraId="7301E154">
      <w:pPr>
        <w:pStyle w:val="7"/>
        <w:widowControl/>
        <w:wordWrap w:val="0"/>
        <w:jc w:val="center"/>
        <w:rPr>
          <w:rFonts w:hint="eastAsia" w:ascii="黑体" w:hAnsi="黑体"/>
          <w:sz w:val="24"/>
          <w:szCs w:val="24"/>
        </w:rPr>
      </w:pPr>
      <w:bookmarkStart w:id="704" w:name="_Toc31190"/>
      <w:bookmarkStart w:id="705" w:name="_Toc7476"/>
      <w:bookmarkStart w:id="706" w:name="_Toc28076"/>
      <w:bookmarkStart w:id="707" w:name="_Toc15048339"/>
      <w:bookmarkStart w:id="708" w:name="_Toc26976"/>
      <w:r>
        <w:rPr>
          <w:rFonts w:hint="eastAsia" w:ascii="黑体" w:hAnsi="黑体" w:cs="黑体"/>
          <w:b w:val="0"/>
          <w:bCs w:val="0"/>
          <w:kern w:val="0"/>
          <w:sz w:val="28"/>
          <w:szCs w:val="28"/>
        </w:rPr>
        <w:t>3.</w:t>
      </w:r>
      <w:bookmarkStart w:id="709" w:name="OLE_LINK73"/>
      <w:bookmarkStart w:id="710" w:name="OLE_LINK108"/>
      <w:r>
        <w:rPr>
          <w:rFonts w:hint="eastAsia" w:ascii="黑体" w:hAnsi="黑体" w:cs="黑体"/>
          <w:b w:val="0"/>
          <w:bCs w:val="0"/>
          <w:kern w:val="0"/>
          <w:sz w:val="28"/>
          <w:szCs w:val="28"/>
        </w:rPr>
        <w:t>保证承诺书</w:t>
      </w:r>
      <w:bookmarkEnd w:id="704"/>
      <w:bookmarkEnd w:id="705"/>
      <w:bookmarkEnd w:id="706"/>
      <w:bookmarkEnd w:id="707"/>
      <w:bookmarkEnd w:id="708"/>
      <w:bookmarkEnd w:id="709"/>
      <w:bookmarkEnd w:id="710"/>
    </w:p>
    <w:p w14:paraId="2A2E3FDD">
      <w:pPr>
        <w:wordWrap w:val="0"/>
        <w:spacing w:line="360" w:lineRule="auto"/>
        <w:rPr>
          <w:rFonts w:hint="eastAsia" w:ascii="宋体" w:hAnsi="宋体"/>
          <w:sz w:val="24"/>
        </w:rPr>
      </w:pPr>
      <w:r>
        <w:rPr>
          <w:rFonts w:hint="eastAsia" w:ascii="宋体" w:hAnsi="宋体"/>
          <w:sz w:val="24"/>
        </w:rPr>
        <w:t>致</w:t>
      </w:r>
      <w:r>
        <w:rPr>
          <w:rFonts w:ascii="宋体" w:hAnsi="宋体"/>
          <w:sz w:val="24"/>
        </w:rPr>
        <w:t>：</w:t>
      </w:r>
      <w:r>
        <w:rPr>
          <w:rFonts w:hint="eastAsia" w:ascii="宋体" w:hAnsi="宋体"/>
          <w:sz w:val="24"/>
          <w:u w:val="single"/>
        </w:rPr>
        <w:t>（填写采购人及采购代理机构名称）</w:t>
      </w:r>
    </w:p>
    <w:p w14:paraId="4B54CDF0">
      <w:pPr>
        <w:wordWrap w:val="0"/>
        <w:spacing w:line="360" w:lineRule="auto"/>
        <w:ind w:firstLine="600"/>
        <w:rPr>
          <w:rFonts w:hint="eastAsia" w:ascii="宋体" w:hAnsi="宋体"/>
          <w:sz w:val="24"/>
        </w:rPr>
      </w:pPr>
      <w:r>
        <w:rPr>
          <w:rFonts w:hint="eastAsia" w:ascii="宋体" w:hAnsi="宋体"/>
          <w:sz w:val="24"/>
        </w:rPr>
        <w:t>我（单位/本人，</w:t>
      </w:r>
      <w:r>
        <w:rPr>
          <w:rFonts w:ascii="宋体" w:hAnsi="宋体"/>
          <w:sz w:val="24"/>
        </w:rPr>
        <w:t>以下统称我单位</w:t>
      </w:r>
      <w:r>
        <w:rPr>
          <w:rFonts w:hint="eastAsia" w:ascii="宋体" w:hAnsi="宋体"/>
          <w:sz w:val="24"/>
        </w:rPr>
        <w:t>）自愿参加</w:t>
      </w:r>
      <w:r>
        <w:rPr>
          <w:rFonts w:hint="eastAsia" w:ascii="宋体" w:hAnsi="宋体"/>
          <w:sz w:val="24"/>
          <w:u w:val="single"/>
        </w:rPr>
        <w:t xml:space="preserve"> （填写：项目名称、项目编号）</w:t>
      </w:r>
      <w:r>
        <w:rPr>
          <w:rFonts w:hint="eastAsia" w:ascii="宋体" w:hAnsi="宋体"/>
          <w:sz w:val="24"/>
        </w:rPr>
        <w:t>的提交响应文件，</w:t>
      </w:r>
      <w:r>
        <w:rPr>
          <w:rFonts w:hint="eastAsia" w:ascii="宋体" w:hAnsi="宋体" w:cs="宋体"/>
          <w:spacing w:val="8"/>
          <w:kern w:val="0"/>
          <w:sz w:val="24"/>
        </w:rPr>
        <w:t>作为本次采购项目的</w:t>
      </w:r>
      <w:r>
        <w:rPr>
          <w:rFonts w:hint="eastAsia" w:ascii="宋体" w:hAnsi="宋体"/>
          <w:sz w:val="24"/>
        </w:rPr>
        <w:t>供应商</w:t>
      </w:r>
      <w:r>
        <w:rPr>
          <w:rFonts w:hint="eastAsia" w:ascii="宋体" w:hAnsi="宋体" w:cs="宋体"/>
          <w:spacing w:val="8"/>
          <w:kern w:val="0"/>
          <w:sz w:val="24"/>
        </w:rPr>
        <w:t>，根据竞争性磋商文件要求，现郑重承诺如下：</w:t>
      </w:r>
    </w:p>
    <w:p w14:paraId="0F6D4310">
      <w:pPr>
        <w:widowControl/>
        <w:shd w:val="clear" w:color="auto" w:fill="FFFFFF"/>
        <w:wordWrap w:val="0"/>
        <w:spacing w:line="360" w:lineRule="auto"/>
        <w:ind w:firstLine="480"/>
        <w:jc w:val="left"/>
        <w:rPr>
          <w:rFonts w:hint="eastAsia" w:ascii="宋体" w:hAnsi="宋体" w:cs="宋体"/>
          <w:spacing w:val="8"/>
          <w:kern w:val="0"/>
          <w:sz w:val="24"/>
        </w:rPr>
      </w:pPr>
      <w:r>
        <w:rPr>
          <w:rFonts w:hint="eastAsia" w:ascii="宋体" w:hAnsi="宋体" w:cs="宋体"/>
          <w:spacing w:val="8"/>
          <w:kern w:val="0"/>
          <w:sz w:val="24"/>
        </w:rPr>
        <w:t>（一）我单位完全接受和满足本项目竞争性磋商文件中规定的实质性要求，如对竞争性磋商文件有异议，已经在收到竞争性磋商文件之日起或竞争性磋商公告期限届满之日起七个工作日内依法进行维权救济，不存在对竞争性磋商文件有异议的同时又参加提交响应文件以求侥幸成交或者为实现其他非法目的的行为。</w:t>
      </w:r>
    </w:p>
    <w:p w14:paraId="6DB26C3D">
      <w:pPr>
        <w:widowControl/>
        <w:shd w:val="clear" w:color="auto" w:fill="FFFFFF"/>
        <w:wordWrap w:val="0"/>
        <w:spacing w:line="360" w:lineRule="auto"/>
        <w:ind w:firstLine="480"/>
        <w:jc w:val="left"/>
        <w:rPr>
          <w:rFonts w:hint="eastAsia" w:ascii="宋体" w:hAnsi="宋体" w:cs="宋体"/>
          <w:spacing w:val="8"/>
          <w:kern w:val="0"/>
          <w:sz w:val="24"/>
        </w:rPr>
      </w:pPr>
      <w:r>
        <w:rPr>
          <w:rFonts w:hint="eastAsia" w:ascii="宋体" w:hAnsi="宋体" w:cs="宋体"/>
          <w:spacing w:val="8"/>
          <w:kern w:val="0"/>
          <w:sz w:val="24"/>
        </w:rPr>
        <w:t>（二）我单位参加本次采购活动，不存在和其他</w:t>
      </w:r>
      <w:r>
        <w:rPr>
          <w:rFonts w:hint="eastAsia" w:ascii="宋体" w:hAnsi="宋体"/>
          <w:sz w:val="24"/>
        </w:rPr>
        <w:t>供应商</w:t>
      </w:r>
      <w:r>
        <w:rPr>
          <w:rFonts w:hint="eastAsia" w:ascii="宋体" w:hAnsi="宋体" w:cs="宋体"/>
          <w:spacing w:val="8"/>
          <w:kern w:val="0"/>
          <w:sz w:val="24"/>
        </w:rPr>
        <w:t>在同一合同项下的采购项目中，同时委托同一个自然人、同一家庭的人员、同一单位的人员作为代理人的行为。</w:t>
      </w:r>
    </w:p>
    <w:p w14:paraId="70EF5F89">
      <w:pPr>
        <w:widowControl/>
        <w:shd w:val="clear" w:color="auto" w:fill="FFFFFF"/>
        <w:wordWrap w:val="0"/>
        <w:spacing w:line="360" w:lineRule="auto"/>
        <w:ind w:firstLine="480" w:firstLineChars="200"/>
        <w:jc w:val="left"/>
        <w:rPr>
          <w:rFonts w:hint="eastAsia" w:ascii="宋体" w:hAnsi="宋体" w:cs="宋体"/>
          <w:spacing w:val="8"/>
          <w:kern w:val="0"/>
          <w:sz w:val="24"/>
        </w:rPr>
      </w:pPr>
      <w:r>
        <w:rPr>
          <w:rFonts w:hint="eastAsia" w:ascii="宋体" w:hAnsi="宋体"/>
          <w:sz w:val="24"/>
        </w:rPr>
        <w:t>（三）我单位在此申明：保证本次响应文件中提供的所有内容、资料、陈述是正确的、真实的、有效的、合法的，并愿意承担相关法律责任。</w:t>
      </w:r>
    </w:p>
    <w:p w14:paraId="2A3102E2">
      <w:pPr>
        <w:widowControl/>
        <w:shd w:val="clear" w:color="auto" w:fill="FFFFFF"/>
        <w:wordWrap w:val="0"/>
        <w:spacing w:line="360" w:lineRule="auto"/>
        <w:ind w:firstLine="512" w:firstLineChars="200"/>
        <w:rPr>
          <w:rFonts w:hint="eastAsia" w:ascii="宋体" w:hAnsi="宋体" w:cs="宋体"/>
          <w:spacing w:val="8"/>
          <w:kern w:val="0"/>
          <w:sz w:val="24"/>
        </w:rPr>
      </w:pPr>
      <w:r>
        <w:rPr>
          <w:rFonts w:hint="eastAsia" w:ascii="宋体" w:hAnsi="宋体" w:cs="宋体"/>
          <w:spacing w:val="8"/>
          <w:kern w:val="0"/>
          <w:sz w:val="24"/>
        </w:rPr>
        <w:t>（四）如本项目评审过程中需要提供样品，则我单位提供的样品即为成交后将要提供的成交产品，我单位对提供样品的性能和质量负责，因样品存在缺陷或者不符合竞争性磋商文件要求导致未能成交的，我公司愿意承担相应不利后果（如提供样品）。</w:t>
      </w:r>
    </w:p>
    <w:p w14:paraId="3548522C">
      <w:pPr>
        <w:widowControl/>
        <w:shd w:val="clear" w:color="auto" w:fill="FFFFFF"/>
        <w:wordWrap w:val="0"/>
        <w:spacing w:line="360" w:lineRule="auto"/>
        <w:ind w:firstLine="512" w:firstLineChars="200"/>
        <w:rPr>
          <w:rFonts w:hint="eastAsia" w:ascii="宋体" w:hAnsi="宋体" w:cs="宋体"/>
          <w:spacing w:val="8"/>
          <w:kern w:val="0"/>
          <w:sz w:val="24"/>
        </w:rPr>
      </w:pPr>
      <w:r>
        <w:rPr>
          <w:rFonts w:hint="eastAsia" w:ascii="宋体" w:hAnsi="宋体" w:cs="宋体"/>
          <w:spacing w:val="8"/>
          <w:kern w:val="0"/>
          <w:sz w:val="24"/>
        </w:rPr>
        <w:t>（五）</w:t>
      </w:r>
      <w:bookmarkStart w:id="711" w:name="_Hlk57216126"/>
      <w:r>
        <w:rPr>
          <w:rFonts w:hint="eastAsia" w:ascii="宋体" w:hAnsi="宋体" w:cs="宋体"/>
          <w:spacing w:val="8"/>
          <w:kern w:val="0"/>
          <w:sz w:val="24"/>
        </w:rPr>
        <w:t>如果</w:t>
      </w:r>
      <w:bookmarkEnd w:id="711"/>
      <w:r>
        <w:rPr>
          <w:rFonts w:hint="eastAsia" w:ascii="宋体" w:hAnsi="宋体" w:cs="宋体"/>
          <w:spacing w:val="8"/>
          <w:kern w:val="0"/>
          <w:sz w:val="24"/>
        </w:rPr>
        <w:t>存在以下行为之一的愿意接受相关部门的处理：</w:t>
      </w:r>
    </w:p>
    <w:p w14:paraId="3285330F">
      <w:pPr>
        <w:widowControl/>
        <w:shd w:val="clear" w:color="auto" w:fill="FFFFFF"/>
        <w:wordWrap w:val="0"/>
        <w:spacing w:line="360" w:lineRule="auto"/>
        <w:rPr>
          <w:rFonts w:hint="eastAsia" w:ascii="宋体" w:hAnsi="宋体" w:cs="宋体"/>
          <w:spacing w:val="8"/>
          <w:kern w:val="0"/>
          <w:sz w:val="24"/>
        </w:rPr>
      </w:pPr>
      <w:r>
        <w:rPr>
          <w:rFonts w:hint="eastAsia" w:ascii="宋体" w:hAnsi="宋体" w:cs="宋体"/>
          <w:spacing w:val="8"/>
          <w:kern w:val="0"/>
          <w:sz w:val="24"/>
        </w:rPr>
        <w:t>   </w:t>
      </w:r>
      <w:r>
        <w:rPr>
          <w:rFonts w:ascii="宋体" w:hAnsi="宋体" w:cs="宋体"/>
          <w:spacing w:val="8"/>
          <w:kern w:val="0"/>
          <w:sz w:val="24"/>
        </w:rPr>
        <w:t>1.</w:t>
      </w:r>
      <w:r>
        <w:rPr>
          <w:rFonts w:hint="eastAsia" w:ascii="宋体" w:hAnsi="宋体" w:cs="宋体"/>
          <w:spacing w:val="8"/>
          <w:kern w:val="0"/>
          <w:sz w:val="24"/>
        </w:rPr>
        <w:t>我单位在提交响应文件有效期内撤销响应文件的；</w:t>
      </w:r>
    </w:p>
    <w:p w14:paraId="3B048E75">
      <w:pPr>
        <w:widowControl/>
        <w:shd w:val="clear" w:color="auto" w:fill="FFFFFF"/>
        <w:wordWrap w:val="0"/>
        <w:spacing w:line="360" w:lineRule="auto"/>
        <w:rPr>
          <w:rFonts w:hint="eastAsia" w:ascii="宋体" w:hAnsi="宋体" w:cs="宋体"/>
          <w:spacing w:val="8"/>
          <w:kern w:val="0"/>
          <w:sz w:val="24"/>
        </w:rPr>
      </w:pPr>
      <w:r>
        <w:rPr>
          <w:rFonts w:hint="eastAsia" w:ascii="宋体" w:hAnsi="宋体" w:cs="宋体"/>
          <w:spacing w:val="8"/>
          <w:kern w:val="0"/>
          <w:sz w:val="24"/>
        </w:rPr>
        <w:t>   2.我单位在采购人确定成交人以前放弃成交候选人资格的；</w:t>
      </w:r>
    </w:p>
    <w:p w14:paraId="38D9E756">
      <w:pPr>
        <w:widowControl/>
        <w:shd w:val="clear" w:color="auto" w:fill="FFFFFF"/>
        <w:wordWrap w:val="0"/>
        <w:spacing w:line="360" w:lineRule="auto"/>
        <w:rPr>
          <w:rFonts w:hint="eastAsia" w:ascii="宋体" w:hAnsi="宋体" w:cs="宋体"/>
          <w:spacing w:val="8"/>
          <w:kern w:val="0"/>
          <w:sz w:val="24"/>
        </w:rPr>
      </w:pPr>
      <w:r>
        <w:rPr>
          <w:rFonts w:hint="eastAsia" w:ascii="宋体" w:hAnsi="宋体" w:cs="宋体"/>
          <w:spacing w:val="8"/>
          <w:kern w:val="0"/>
          <w:sz w:val="24"/>
        </w:rPr>
        <w:t>   3.由于我单位的原因未能按照竞争性磋商文件的规定与采购人签订合同；</w:t>
      </w:r>
    </w:p>
    <w:p w14:paraId="1A8C9700">
      <w:pPr>
        <w:widowControl/>
        <w:shd w:val="clear" w:color="auto" w:fill="FFFFFF"/>
        <w:wordWrap w:val="0"/>
        <w:spacing w:line="360" w:lineRule="auto"/>
        <w:rPr>
          <w:rFonts w:hint="eastAsia" w:ascii="宋体" w:hAnsi="宋体" w:cs="宋体"/>
          <w:spacing w:val="8"/>
          <w:kern w:val="0"/>
          <w:sz w:val="24"/>
        </w:rPr>
      </w:pPr>
      <w:r>
        <w:rPr>
          <w:rFonts w:hint="eastAsia" w:ascii="宋体" w:hAnsi="宋体" w:cs="宋体"/>
          <w:spacing w:val="8"/>
          <w:kern w:val="0"/>
          <w:sz w:val="24"/>
        </w:rPr>
        <w:t>   4.由于我单位的原因未能按照竞争性磋商文件的规定交纳履约保证金；</w:t>
      </w:r>
    </w:p>
    <w:p w14:paraId="1E899CCA">
      <w:pPr>
        <w:widowControl/>
        <w:shd w:val="clear" w:color="auto" w:fill="FFFFFF"/>
        <w:wordWrap w:val="0"/>
        <w:spacing w:line="360" w:lineRule="auto"/>
        <w:rPr>
          <w:rFonts w:hint="eastAsia" w:ascii="宋体" w:hAnsi="宋体" w:cs="宋体"/>
          <w:spacing w:val="8"/>
          <w:kern w:val="0"/>
          <w:sz w:val="24"/>
        </w:rPr>
      </w:pPr>
      <w:r>
        <w:rPr>
          <w:rFonts w:hint="eastAsia" w:ascii="宋体" w:hAnsi="宋体" w:cs="宋体"/>
          <w:spacing w:val="8"/>
          <w:kern w:val="0"/>
          <w:sz w:val="24"/>
        </w:rPr>
        <w:t>   5.我单位在响应文件中提供虚假材料；</w:t>
      </w:r>
    </w:p>
    <w:p w14:paraId="2050B74B">
      <w:pPr>
        <w:widowControl/>
        <w:shd w:val="clear" w:color="auto" w:fill="FFFFFF"/>
        <w:wordWrap w:val="0"/>
        <w:spacing w:line="360" w:lineRule="auto"/>
        <w:rPr>
          <w:rFonts w:hint="eastAsia" w:ascii="宋体" w:hAnsi="宋体" w:cs="宋体"/>
          <w:spacing w:val="8"/>
          <w:kern w:val="0"/>
          <w:sz w:val="24"/>
        </w:rPr>
      </w:pPr>
      <w:r>
        <w:rPr>
          <w:rFonts w:hint="eastAsia" w:ascii="宋体" w:hAnsi="宋体" w:cs="宋体"/>
          <w:spacing w:val="8"/>
          <w:kern w:val="0"/>
          <w:sz w:val="24"/>
        </w:rPr>
        <w:t>   6.我单位与采购人、其他供应商或者采购代理机构恶意串通的；</w:t>
      </w:r>
    </w:p>
    <w:p w14:paraId="53947DC7">
      <w:pPr>
        <w:widowControl/>
        <w:shd w:val="clear" w:color="auto" w:fill="FFFFFF"/>
        <w:wordWrap w:val="0"/>
        <w:spacing w:line="360" w:lineRule="auto"/>
        <w:ind w:firstLine="640" w:firstLineChars="250"/>
        <w:rPr>
          <w:rFonts w:hint="eastAsia" w:ascii="宋体" w:hAnsi="宋体" w:cs="宋体"/>
          <w:spacing w:val="8"/>
          <w:kern w:val="0"/>
          <w:sz w:val="24"/>
        </w:rPr>
      </w:pPr>
      <w:r>
        <w:rPr>
          <w:rFonts w:hint="eastAsia" w:ascii="宋体" w:hAnsi="宋体" w:cs="宋体"/>
          <w:spacing w:val="8"/>
          <w:kern w:val="0"/>
          <w:sz w:val="24"/>
        </w:rPr>
        <w:t>7.在提交响应文件有效期内，我单位在政府采购活动中有违法、违规、违纪行为。</w:t>
      </w:r>
    </w:p>
    <w:p w14:paraId="02AA2AB7">
      <w:pPr>
        <w:widowControl/>
        <w:shd w:val="clear" w:color="auto" w:fill="FFFFFF"/>
        <w:wordWrap w:val="0"/>
        <w:spacing w:line="360" w:lineRule="auto"/>
        <w:ind w:firstLine="480" w:firstLineChars="200"/>
        <w:rPr>
          <w:rFonts w:hint="eastAsia" w:ascii="宋体" w:hAnsi="宋体" w:cs="宋体"/>
          <w:spacing w:val="8"/>
          <w:kern w:val="0"/>
          <w:sz w:val="24"/>
        </w:rPr>
      </w:pPr>
      <w:r>
        <w:rPr>
          <w:rFonts w:hint="eastAsia" w:ascii="宋体" w:hAnsi="宋体"/>
          <w:sz w:val="24"/>
        </w:rPr>
        <w:t>我单位</w:t>
      </w:r>
      <w:r>
        <w:rPr>
          <w:rFonts w:ascii="宋体" w:hAnsi="宋体"/>
          <w:sz w:val="24"/>
        </w:rPr>
        <w:t>知晓上述行为的法律后果，承认</w:t>
      </w:r>
      <w:r>
        <w:rPr>
          <w:rFonts w:hint="eastAsia" w:ascii="宋体" w:hAnsi="宋体"/>
          <w:sz w:val="24"/>
        </w:rPr>
        <w:t>本承诺书</w:t>
      </w:r>
      <w:r>
        <w:rPr>
          <w:rFonts w:ascii="宋体" w:hAnsi="宋体"/>
          <w:sz w:val="24"/>
        </w:rPr>
        <w:t>作为</w:t>
      </w:r>
      <w:r>
        <w:rPr>
          <w:rFonts w:hint="eastAsia" w:ascii="宋体" w:hAnsi="宋体"/>
          <w:sz w:val="24"/>
        </w:rPr>
        <w:t>采购人及采购代理机构</w:t>
      </w:r>
      <w:r>
        <w:rPr>
          <w:rFonts w:ascii="宋体" w:hAnsi="宋体"/>
          <w:sz w:val="24"/>
        </w:rPr>
        <w:t>要求</w:t>
      </w:r>
      <w:r>
        <w:rPr>
          <w:rFonts w:hint="eastAsia" w:ascii="宋体" w:hAnsi="宋体"/>
          <w:sz w:val="24"/>
        </w:rPr>
        <w:t>我单位</w:t>
      </w:r>
      <w:r>
        <w:rPr>
          <w:rFonts w:ascii="宋体" w:hAnsi="宋体"/>
          <w:sz w:val="24"/>
        </w:rPr>
        <w:t>履行</w:t>
      </w:r>
      <w:r>
        <w:rPr>
          <w:rFonts w:hint="eastAsia" w:ascii="宋体" w:hAnsi="宋体"/>
          <w:sz w:val="24"/>
        </w:rPr>
        <w:t>违约赔偿</w:t>
      </w:r>
      <w:r>
        <w:rPr>
          <w:rFonts w:ascii="宋体" w:hAnsi="宋体"/>
          <w:sz w:val="24"/>
        </w:rPr>
        <w:t>义务的</w:t>
      </w:r>
      <w:r>
        <w:rPr>
          <w:rFonts w:hint="eastAsia" w:ascii="宋体" w:hAnsi="宋体"/>
          <w:sz w:val="24"/>
        </w:rPr>
        <w:t>依据作用</w:t>
      </w:r>
      <w:r>
        <w:rPr>
          <w:rFonts w:ascii="宋体" w:hAnsi="宋体"/>
          <w:sz w:val="24"/>
        </w:rPr>
        <w:t>。</w:t>
      </w:r>
    </w:p>
    <w:p w14:paraId="553565C7">
      <w:pPr>
        <w:widowControl/>
        <w:shd w:val="clear" w:color="auto" w:fill="FFFFFF"/>
        <w:wordWrap w:val="0"/>
        <w:spacing w:line="360" w:lineRule="auto"/>
        <w:ind w:firstLine="512" w:firstLineChars="200"/>
        <w:rPr>
          <w:rFonts w:hint="eastAsia" w:ascii="宋体" w:hAnsi="宋体" w:cs="宋体"/>
          <w:spacing w:val="8"/>
          <w:kern w:val="0"/>
          <w:sz w:val="24"/>
        </w:rPr>
      </w:pPr>
      <w:r>
        <w:rPr>
          <w:rFonts w:hint="eastAsia" w:ascii="宋体" w:hAnsi="宋体" w:cs="宋体"/>
          <w:spacing w:val="8"/>
          <w:kern w:val="0"/>
          <w:sz w:val="24"/>
        </w:rPr>
        <w:t>由此产生的一切法律后果和责任由我单位承担。我单位声明放弃对此提出任何异议和追索的权利。</w:t>
      </w:r>
    </w:p>
    <w:p w14:paraId="7C8E5F14">
      <w:pPr>
        <w:widowControl/>
        <w:shd w:val="clear" w:color="auto" w:fill="FFFFFF"/>
        <w:wordWrap w:val="0"/>
        <w:spacing w:line="360" w:lineRule="auto"/>
        <w:ind w:firstLine="512" w:firstLineChars="200"/>
        <w:rPr>
          <w:rFonts w:hint="eastAsia" w:ascii="宋体" w:hAnsi="宋体" w:cs="宋体"/>
          <w:spacing w:val="8"/>
          <w:kern w:val="0"/>
          <w:sz w:val="24"/>
        </w:rPr>
      </w:pPr>
      <w:r>
        <w:rPr>
          <w:rFonts w:hint="eastAsia" w:ascii="宋体" w:hAnsi="宋体" w:cs="宋体"/>
          <w:spacing w:val="8"/>
          <w:kern w:val="0"/>
          <w:sz w:val="24"/>
        </w:rPr>
        <w:t>我单位对上述承诺的内容事项真实性负责。如经查实上述承诺的内容事项存在虚假，我单位愿意接受以提供虚假材料谋取成交而被追究法律责任。</w:t>
      </w:r>
    </w:p>
    <w:p w14:paraId="7CE286A9">
      <w:pPr>
        <w:widowControl/>
        <w:shd w:val="clear" w:color="auto" w:fill="FFFFFF"/>
        <w:wordWrap w:val="0"/>
        <w:spacing w:line="360" w:lineRule="auto"/>
        <w:jc w:val="left"/>
        <w:rPr>
          <w:rFonts w:hint="eastAsia" w:ascii="宋体" w:hAnsi="宋体" w:cs="宋体"/>
          <w:spacing w:val="8"/>
          <w:kern w:val="0"/>
          <w:sz w:val="24"/>
        </w:rPr>
      </w:pPr>
    </w:p>
    <w:p w14:paraId="1955001A">
      <w:pPr>
        <w:wordWrap w:val="0"/>
        <w:spacing w:line="360" w:lineRule="auto"/>
        <w:ind w:left="1413" w:leftChars="273" w:hanging="840" w:hangingChars="350"/>
        <w:rPr>
          <w:rFonts w:hint="eastAsia" w:ascii="宋体" w:hAnsi="宋体"/>
          <w:sz w:val="24"/>
        </w:rPr>
      </w:pPr>
      <w:r>
        <w:rPr>
          <w:rFonts w:hint="eastAsia" w:ascii="宋体" w:hAnsi="宋体"/>
          <w:sz w:val="24"/>
        </w:rPr>
        <w:t>供应商：</w:t>
      </w:r>
      <w:r>
        <w:rPr>
          <w:rFonts w:ascii="宋体" w:hAnsi="宋体"/>
          <w:sz w:val="24"/>
          <w:u w:val="single"/>
        </w:rPr>
        <w:t xml:space="preserve">                        </w:t>
      </w:r>
      <w:r>
        <w:rPr>
          <w:rFonts w:hint="eastAsia" w:ascii="宋体" w:hAnsi="宋体"/>
          <w:sz w:val="24"/>
        </w:rPr>
        <w:t>（加盖单位公章）</w:t>
      </w:r>
    </w:p>
    <w:p w14:paraId="6CF19EEA">
      <w:pPr>
        <w:wordWrap w:val="0"/>
        <w:spacing w:line="360" w:lineRule="auto"/>
        <w:ind w:left="1620" w:leftChars="257" w:hanging="1080"/>
        <w:rPr>
          <w:rFonts w:hint="eastAsia" w:ascii="宋体" w:hAnsi="宋体"/>
          <w:sz w:val="24"/>
        </w:rPr>
      </w:pPr>
      <w:r>
        <w:rPr>
          <w:rFonts w:hint="eastAsia" w:ascii="宋体" w:hAnsi="宋体"/>
          <w:sz w:val="24"/>
        </w:rPr>
        <w:t>法定代表</w:t>
      </w:r>
      <w:r>
        <w:rPr>
          <w:rFonts w:ascii="宋体" w:hAnsi="宋体"/>
          <w:sz w:val="24"/>
        </w:rPr>
        <w:t>人</w:t>
      </w:r>
      <w:r>
        <w:rPr>
          <w:rFonts w:hint="eastAsia" w:ascii="宋体" w:hAnsi="宋体"/>
          <w:sz w:val="24"/>
        </w:rPr>
        <w:t>或负责人或委托代理人：</w:t>
      </w:r>
      <w:r>
        <w:rPr>
          <w:rFonts w:ascii="宋体" w:hAnsi="宋体"/>
          <w:sz w:val="24"/>
          <w:u w:val="single"/>
        </w:rPr>
        <w:t xml:space="preserve">         </w:t>
      </w:r>
      <w:r>
        <w:rPr>
          <w:rFonts w:hint="eastAsia" w:ascii="宋体" w:hAnsi="宋体"/>
          <w:sz w:val="24"/>
          <w:u w:val="single"/>
        </w:rPr>
        <w:t xml:space="preserve">    </w:t>
      </w:r>
      <w:r>
        <w:rPr>
          <w:rFonts w:hint="eastAsia" w:ascii="宋体" w:hAnsi="宋体"/>
          <w:sz w:val="24"/>
        </w:rPr>
        <w:t>（</w:t>
      </w:r>
      <w:r>
        <w:rPr>
          <w:rFonts w:hint="eastAsia" w:hAnsi="宋体"/>
          <w:sz w:val="24"/>
        </w:rPr>
        <w:t>签字或加盖个人章</w:t>
      </w:r>
      <w:r>
        <w:rPr>
          <w:rFonts w:hint="eastAsia" w:ascii="宋体" w:hAnsi="宋体"/>
          <w:sz w:val="24"/>
        </w:rPr>
        <w:t>）</w:t>
      </w:r>
    </w:p>
    <w:p w14:paraId="0C6A5D10">
      <w:pPr>
        <w:wordWrap w:val="0"/>
        <w:spacing w:line="360" w:lineRule="auto"/>
        <w:ind w:left="1620" w:leftChars="257" w:hanging="1080"/>
        <w:rPr>
          <w:rFonts w:hint="eastAsia" w:ascii="宋体" w:hAnsi="宋体"/>
          <w:sz w:val="24"/>
        </w:rPr>
      </w:pPr>
    </w:p>
    <w:p w14:paraId="6780F192">
      <w:pPr>
        <w:wordWrap w:val="0"/>
        <w:spacing w:line="360" w:lineRule="auto"/>
        <w:ind w:left="1620" w:leftChars="257" w:hanging="1080"/>
        <w:rPr>
          <w:rFonts w:hint="eastAsia" w:ascii="宋体" w:hAnsi="宋体"/>
          <w:sz w:val="24"/>
        </w:rPr>
      </w:pPr>
      <w:r>
        <w:rPr>
          <w:rFonts w:hint="eastAsia" w:ascii="宋体" w:hAnsi="宋体"/>
          <w:sz w:val="24"/>
        </w:rPr>
        <w:t xml:space="preserve">地 </w:t>
      </w:r>
      <w:r>
        <w:rPr>
          <w:rFonts w:ascii="宋体" w:hAnsi="宋体"/>
          <w:sz w:val="24"/>
        </w:rPr>
        <w:t xml:space="preserve"> </w:t>
      </w:r>
      <w:r>
        <w:rPr>
          <w:rFonts w:hint="eastAsia" w:ascii="宋体" w:hAnsi="宋体"/>
          <w:sz w:val="24"/>
        </w:rPr>
        <w:t>址：</w:t>
      </w:r>
      <w:r>
        <w:rPr>
          <w:rFonts w:ascii="宋体" w:hAnsi="宋体"/>
          <w:sz w:val="24"/>
          <w:u w:val="single"/>
        </w:rPr>
        <w:t xml:space="preserve">                                  </w:t>
      </w:r>
    </w:p>
    <w:p w14:paraId="58C0682C">
      <w:pPr>
        <w:wordWrap w:val="0"/>
        <w:spacing w:line="360" w:lineRule="auto"/>
        <w:ind w:left="1620" w:leftChars="257" w:hanging="1080"/>
        <w:rPr>
          <w:rFonts w:hint="eastAsia" w:ascii="宋体" w:hAnsi="宋体"/>
          <w:sz w:val="24"/>
        </w:rPr>
      </w:pPr>
      <w:r>
        <w:rPr>
          <w:rFonts w:hint="eastAsia" w:ascii="宋体" w:hAnsi="宋体"/>
          <w:sz w:val="24"/>
        </w:rPr>
        <w:t xml:space="preserve">电 </w:t>
      </w:r>
      <w:r>
        <w:rPr>
          <w:rFonts w:ascii="宋体" w:hAnsi="宋体"/>
          <w:sz w:val="24"/>
        </w:rPr>
        <w:t xml:space="preserve"> </w:t>
      </w:r>
      <w:r>
        <w:rPr>
          <w:rFonts w:hint="eastAsia" w:ascii="宋体" w:hAnsi="宋体"/>
          <w:sz w:val="24"/>
        </w:rPr>
        <w:t>话：</w:t>
      </w:r>
      <w:r>
        <w:rPr>
          <w:rFonts w:ascii="宋体" w:hAnsi="宋体"/>
          <w:sz w:val="24"/>
          <w:u w:val="single"/>
        </w:rPr>
        <w:t xml:space="preserve">                                  </w:t>
      </w:r>
    </w:p>
    <w:p w14:paraId="68693CAB">
      <w:pPr>
        <w:wordWrap w:val="0"/>
        <w:spacing w:line="360" w:lineRule="auto"/>
        <w:ind w:left="1620" w:leftChars="257" w:hanging="1080"/>
        <w:rPr>
          <w:rFonts w:hint="eastAsia" w:ascii="宋体" w:hAnsi="宋体"/>
          <w:sz w:val="24"/>
        </w:rPr>
      </w:pPr>
      <w:r>
        <w:rPr>
          <w:rFonts w:hint="eastAsia" w:ascii="宋体" w:hAnsi="宋体"/>
          <w:sz w:val="24"/>
        </w:rPr>
        <w:t>电子邮箱：</w:t>
      </w:r>
      <w:r>
        <w:rPr>
          <w:rFonts w:ascii="宋体" w:hAnsi="宋体"/>
          <w:sz w:val="24"/>
          <w:u w:val="single"/>
        </w:rPr>
        <w:t xml:space="preserve">                        </w:t>
      </w:r>
      <w:r>
        <w:rPr>
          <w:rFonts w:ascii="宋体" w:hAnsi="宋体"/>
          <w:sz w:val="24"/>
        </w:rPr>
        <w:t xml:space="preserve">   </w:t>
      </w:r>
    </w:p>
    <w:p w14:paraId="28496069">
      <w:pPr>
        <w:wordWrap w:val="0"/>
        <w:spacing w:line="360" w:lineRule="auto"/>
        <w:ind w:firstLine="544" w:firstLineChars="227"/>
        <w:rPr>
          <w:rFonts w:hint="eastAsia" w:ascii="宋体" w:hAnsi="宋体"/>
          <w:sz w:val="24"/>
        </w:rPr>
      </w:pPr>
      <w:r>
        <w:rPr>
          <w:rFonts w:hint="eastAsia" w:ascii="宋体" w:hAnsi="宋体"/>
          <w:sz w:val="24"/>
        </w:rPr>
        <w:t xml:space="preserve">日 </w:t>
      </w:r>
      <w:r>
        <w:rPr>
          <w:rFonts w:ascii="宋体" w:hAnsi="宋体"/>
          <w:sz w:val="24"/>
        </w:rPr>
        <w:t xml:space="preserve">   </w:t>
      </w:r>
      <w:r>
        <w:rPr>
          <w:rFonts w:hint="eastAsia" w:ascii="宋体" w:hAnsi="宋体"/>
          <w:sz w:val="24"/>
        </w:rPr>
        <w:t xml:space="preserve">期： </w:t>
      </w:r>
      <w:r>
        <w:rPr>
          <w:rFonts w:ascii="宋体" w:hAnsi="宋体"/>
          <w:sz w:val="24"/>
        </w:rPr>
        <w:t xml:space="preserve">  </w:t>
      </w:r>
      <w:r>
        <w:rPr>
          <w:rFonts w:hint="eastAsia" w:ascii="宋体" w:hAnsi="宋体"/>
          <w:sz w:val="24"/>
        </w:rPr>
        <w:t xml:space="preserve">年 </w:t>
      </w:r>
      <w:r>
        <w:rPr>
          <w:rFonts w:ascii="宋体" w:hAnsi="宋体"/>
          <w:sz w:val="24"/>
        </w:rPr>
        <w:t xml:space="preserve">  </w:t>
      </w:r>
      <w:r>
        <w:rPr>
          <w:rFonts w:hint="eastAsia" w:ascii="宋体" w:hAnsi="宋体"/>
          <w:sz w:val="24"/>
        </w:rPr>
        <w:t>月</w:t>
      </w:r>
      <w:r>
        <w:rPr>
          <w:rFonts w:ascii="宋体" w:hAnsi="宋体"/>
          <w:sz w:val="24"/>
        </w:rPr>
        <w:t xml:space="preserve">    </w:t>
      </w:r>
      <w:r>
        <w:rPr>
          <w:rFonts w:hint="eastAsia" w:ascii="宋体" w:hAnsi="宋体"/>
          <w:sz w:val="24"/>
        </w:rPr>
        <w:t>日</w:t>
      </w:r>
    </w:p>
    <w:p w14:paraId="22047264">
      <w:pPr>
        <w:widowControl/>
        <w:shd w:val="clear" w:color="auto" w:fill="FFFFFF"/>
        <w:wordWrap w:val="0"/>
        <w:spacing w:line="360" w:lineRule="auto"/>
        <w:ind w:firstLine="480"/>
        <w:rPr>
          <w:rFonts w:hint="eastAsia" w:ascii="宋体" w:hAnsi="宋体" w:cs="宋体"/>
          <w:spacing w:val="8"/>
          <w:kern w:val="0"/>
          <w:sz w:val="24"/>
        </w:rPr>
      </w:pPr>
    </w:p>
    <w:p w14:paraId="1FA51C6E">
      <w:pPr>
        <w:wordWrap w:val="0"/>
        <w:spacing w:line="360" w:lineRule="auto"/>
        <w:rPr>
          <w:rFonts w:hint="eastAsia" w:ascii="宋体" w:hAnsi="宋体"/>
          <w:sz w:val="24"/>
        </w:rPr>
      </w:pPr>
    </w:p>
    <w:p w14:paraId="1C4060FC">
      <w:pPr>
        <w:wordWrap w:val="0"/>
        <w:spacing w:line="360" w:lineRule="auto"/>
        <w:rPr>
          <w:rFonts w:hint="eastAsia" w:ascii="宋体" w:hAnsi="宋体"/>
          <w:sz w:val="24"/>
        </w:rPr>
      </w:pPr>
    </w:p>
    <w:p w14:paraId="6CD55FC9">
      <w:pPr>
        <w:wordWrap w:val="0"/>
        <w:rPr>
          <w:rFonts w:hint="eastAsia" w:hAnsi="宋体"/>
          <w:sz w:val="24"/>
        </w:rPr>
      </w:pPr>
      <w:r>
        <w:rPr>
          <w:rFonts w:hint="eastAsia"/>
        </w:rPr>
        <w:br w:type="page"/>
      </w:r>
    </w:p>
    <w:p w14:paraId="50C8A3B8">
      <w:pPr>
        <w:pStyle w:val="7"/>
        <w:widowControl/>
        <w:wordWrap w:val="0"/>
        <w:jc w:val="center"/>
        <w:rPr>
          <w:rFonts w:hint="eastAsia" w:ascii="黑体" w:hAnsi="黑体"/>
          <w:sz w:val="30"/>
          <w:szCs w:val="30"/>
        </w:rPr>
      </w:pPr>
      <w:bookmarkStart w:id="712" w:name="_Hlt520355504"/>
      <w:bookmarkEnd w:id="712"/>
      <w:bookmarkStart w:id="713" w:name="_Toc15048346"/>
      <w:bookmarkStart w:id="714" w:name="_Toc4856"/>
      <w:bookmarkStart w:id="715" w:name="_Toc14915"/>
      <w:bookmarkStart w:id="716" w:name="_Toc515647817"/>
      <w:bookmarkStart w:id="717" w:name="_Toc2041"/>
      <w:bookmarkStart w:id="718" w:name="_Toc532473505"/>
      <w:bookmarkStart w:id="719" w:name="_Toc15589"/>
      <w:bookmarkStart w:id="720" w:name="_Toc11307"/>
      <w:bookmarkStart w:id="721" w:name="_Toc29755"/>
      <w:r>
        <w:rPr>
          <w:rFonts w:hint="eastAsia" w:ascii="黑体" w:hAnsi="黑体" w:cs="黑体"/>
          <w:b w:val="0"/>
          <w:bCs w:val="0"/>
          <w:kern w:val="0"/>
          <w:sz w:val="28"/>
          <w:szCs w:val="28"/>
        </w:rPr>
        <w:t>4.</w:t>
      </w:r>
      <w:bookmarkEnd w:id="713"/>
      <w:r>
        <w:rPr>
          <w:rFonts w:hint="eastAsia" w:ascii="黑体" w:hAnsi="黑体" w:cs="黑体"/>
          <w:b w:val="0"/>
          <w:bCs w:val="0"/>
          <w:kern w:val="0"/>
          <w:sz w:val="28"/>
          <w:szCs w:val="28"/>
        </w:rPr>
        <w:t>响应函</w:t>
      </w:r>
      <w:bookmarkEnd w:id="714"/>
      <w:bookmarkEnd w:id="715"/>
      <w:bookmarkEnd w:id="716"/>
      <w:bookmarkEnd w:id="717"/>
      <w:bookmarkEnd w:id="718"/>
      <w:bookmarkEnd w:id="719"/>
      <w:bookmarkEnd w:id="720"/>
      <w:bookmarkEnd w:id="721"/>
    </w:p>
    <w:p w14:paraId="3C3DB3DE">
      <w:pPr>
        <w:tabs>
          <w:tab w:val="left" w:pos="5580"/>
        </w:tabs>
        <w:wordWrap w:val="0"/>
        <w:spacing w:line="360" w:lineRule="auto"/>
        <w:ind w:left="1080" w:hanging="1080"/>
        <w:rPr>
          <w:rFonts w:hint="eastAsia" w:ascii="宋体" w:hAnsi="宋体"/>
          <w:sz w:val="24"/>
        </w:rPr>
      </w:pPr>
    </w:p>
    <w:p w14:paraId="262A2650">
      <w:pPr>
        <w:wordWrap w:val="0"/>
        <w:spacing w:line="360" w:lineRule="auto"/>
        <w:rPr>
          <w:rFonts w:hint="eastAsia" w:ascii="宋体" w:hAnsi="宋体" w:cs="仿宋"/>
          <w:sz w:val="24"/>
          <w:u w:val="single"/>
        </w:rPr>
      </w:pPr>
      <w:r>
        <w:rPr>
          <w:rFonts w:hint="eastAsia" w:ascii="宋体" w:hAnsi="宋体" w:cs="仿宋"/>
          <w:sz w:val="24"/>
        </w:rPr>
        <w:t>致：</w:t>
      </w:r>
      <w:r>
        <w:rPr>
          <w:rFonts w:ascii="宋体" w:hAnsi="宋体" w:cs="仿宋"/>
          <w:sz w:val="24"/>
          <w:u w:val="single"/>
        </w:rPr>
        <w:t xml:space="preserve"> </w:t>
      </w:r>
      <w:r>
        <w:rPr>
          <w:rFonts w:hint="eastAsia" w:ascii="宋体" w:hAnsi="宋体" w:cs="仿宋"/>
          <w:sz w:val="24"/>
          <w:u w:val="single"/>
        </w:rPr>
        <w:t>（采购人及河南招标采购服务有限公司）</w:t>
      </w:r>
    </w:p>
    <w:p w14:paraId="3A0C9CA9">
      <w:pPr>
        <w:pStyle w:val="26"/>
        <w:tabs>
          <w:tab w:val="left" w:pos="5580"/>
        </w:tabs>
        <w:wordWrap w:val="0"/>
        <w:spacing w:line="360" w:lineRule="auto"/>
        <w:ind w:firstLine="566" w:firstLineChars="236"/>
        <w:jc w:val="left"/>
        <w:rPr>
          <w:sz w:val="24"/>
          <w:szCs w:val="24"/>
        </w:rPr>
      </w:pPr>
      <w:r>
        <w:rPr>
          <w:rFonts w:hint="eastAsia"/>
          <w:sz w:val="24"/>
          <w:szCs w:val="24"/>
        </w:rPr>
        <w:t>我方获取了</w:t>
      </w:r>
      <w:r>
        <w:rPr>
          <w:rFonts w:hint="eastAsia" w:hAnsi="宋体" w:cs="宋体"/>
          <w:spacing w:val="8"/>
          <w:kern w:val="0"/>
          <w:sz w:val="24"/>
        </w:rPr>
        <w:t>（</w:t>
      </w:r>
      <w:r>
        <w:rPr>
          <w:rFonts w:hint="eastAsia" w:hAnsi="宋体" w:cs="宋体"/>
          <w:spacing w:val="8"/>
          <w:kern w:val="0"/>
          <w:sz w:val="24"/>
          <w:u w:val="single"/>
        </w:rPr>
        <w:t>填写：</w:t>
      </w:r>
      <w:r>
        <w:rPr>
          <w:rFonts w:hint="eastAsia" w:hAnsi="宋体"/>
          <w:iCs/>
          <w:sz w:val="24"/>
          <w:szCs w:val="24"/>
          <w:u w:val="single"/>
        </w:rPr>
        <w:t>项目名称、</w:t>
      </w:r>
      <w:r>
        <w:rPr>
          <w:rFonts w:hint="eastAsia"/>
          <w:iCs/>
          <w:sz w:val="24"/>
          <w:szCs w:val="24"/>
          <w:u w:val="single"/>
        </w:rPr>
        <w:t>项目编号</w:t>
      </w:r>
      <w:r>
        <w:rPr>
          <w:rFonts w:hint="eastAsia" w:hAnsi="宋体" w:cs="宋体"/>
          <w:spacing w:val="8"/>
          <w:kern w:val="0"/>
          <w:sz w:val="24"/>
        </w:rPr>
        <w:t>）</w:t>
      </w:r>
      <w:r>
        <w:rPr>
          <w:rFonts w:hint="eastAsia"/>
          <w:sz w:val="24"/>
          <w:szCs w:val="24"/>
        </w:rPr>
        <w:t>的竞争性磋商文件，已经详细审查竞争性磋商文件的全部内容，现委托代理人（</w:t>
      </w:r>
      <w:r>
        <w:rPr>
          <w:rFonts w:hint="eastAsia"/>
          <w:sz w:val="24"/>
          <w:szCs w:val="24"/>
          <w:u w:val="single"/>
        </w:rPr>
        <w:t>姓名、职务）</w:t>
      </w:r>
      <w:r>
        <w:rPr>
          <w:rFonts w:hint="eastAsia"/>
          <w:sz w:val="24"/>
          <w:szCs w:val="24"/>
        </w:rPr>
        <w:t>经正式授权并代表供应商（</w:t>
      </w:r>
      <w:r>
        <w:rPr>
          <w:rFonts w:hint="eastAsia"/>
          <w:sz w:val="24"/>
          <w:szCs w:val="24"/>
          <w:u w:val="single"/>
        </w:rPr>
        <w:t>名称、地址</w:t>
      </w:r>
      <w:r>
        <w:rPr>
          <w:rFonts w:hint="eastAsia"/>
          <w:sz w:val="24"/>
          <w:szCs w:val="24"/>
        </w:rPr>
        <w:t>）参加该项目的提交响应文件活动并按要求提交响应文件。我方郑重声明以下诸点并负法律责任：</w:t>
      </w:r>
    </w:p>
    <w:p w14:paraId="10E2D1D2">
      <w:pPr>
        <w:wordWrap w:val="0"/>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（1）愿意按照竞争性磋商文件中规定的条款和要求，提供完成竞争性磋商文件规定的全部工作，提交</w:t>
      </w:r>
      <w:r>
        <w:rPr>
          <w:rFonts w:hint="eastAsia" w:ascii="宋体" w:hAnsi="宋体" w:cs="宋体"/>
          <w:sz w:val="24"/>
        </w:rPr>
        <w:t>响应总报价为（大写）</w:t>
      </w:r>
      <w:r>
        <w:rPr>
          <w:rFonts w:hint="eastAsia" w:ascii="宋体" w:hAnsi="宋体" w:cs="宋体"/>
          <w:sz w:val="24"/>
          <w:u w:val="single"/>
        </w:rPr>
        <w:t xml:space="preserve">       </w:t>
      </w:r>
      <w:r>
        <w:rPr>
          <w:rFonts w:hint="eastAsia" w:ascii="宋体" w:hAnsi="宋体" w:cs="宋体"/>
          <w:sz w:val="24"/>
        </w:rPr>
        <w:t>元人民币（小写RMB￥：</w:t>
      </w:r>
      <w:r>
        <w:rPr>
          <w:rFonts w:hint="eastAsia" w:ascii="宋体" w:hAnsi="宋体" w:cs="宋体"/>
          <w:sz w:val="24"/>
          <w:u w:val="single"/>
        </w:rPr>
        <w:t xml:space="preserve">       </w:t>
      </w:r>
      <w:r>
        <w:rPr>
          <w:rFonts w:hint="eastAsia" w:ascii="宋体" w:hAnsi="宋体" w:cs="宋体"/>
          <w:sz w:val="24"/>
        </w:rPr>
        <w:t>元）；</w:t>
      </w:r>
      <w:r>
        <w:rPr>
          <w:rFonts w:hint="eastAsia" w:ascii="宋体" w:hAnsi="宋体" w:cs="宋体"/>
          <w:kern w:val="0"/>
          <w:sz w:val="24"/>
        </w:rPr>
        <w:t>工期</w:t>
      </w:r>
      <w:r>
        <w:rPr>
          <w:rFonts w:hint="eastAsia" w:ascii="宋体" w:hAnsi="宋体" w:cs="宋体"/>
          <w:sz w:val="24"/>
        </w:rPr>
        <w:t>为</w:t>
      </w:r>
      <w:r>
        <w:rPr>
          <w:rFonts w:hint="eastAsia" w:ascii="宋体" w:hAnsi="宋体" w:cs="宋体"/>
          <w:sz w:val="24"/>
          <w:u w:val="single"/>
        </w:rPr>
        <w:t xml:space="preserve">      </w:t>
      </w:r>
      <w:r>
        <w:rPr>
          <w:rFonts w:hint="eastAsia" w:ascii="宋体" w:hAnsi="宋体" w:cs="宋体"/>
          <w:sz w:val="24"/>
        </w:rPr>
        <w:t>；质量要求为：</w:t>
      </w:r>
      <w:r>
        <w:rPr>
          <w:rFonts w:hint="eastAsia" w:ascii="宋体" w:hAnsi="宋体" w:cs="宋体"/>
          <w:sz w:val="24"/>
          <w:u w:val="single"/>
        </w:rPr>
        <w:t xml:space="preserve">       </w:t>
      </w:r>
      <w:r>
        <w:rPr>
          <w:rFonts w:hint="eastAsia" w:ascii="宋体" w:hAnsi="宋体" w:cs="宋体"/>
          <w:sz w:val="24"/>
        </w:rPr>
        <w:t>。严格按照合同约定，施工、竣工和交付本工程并维修其中的任何缺陷。</w:t>
      </w:r>
    </w:p>
    <w:p w14:paraId="68981145">
      <w:pPr>
        <w:wordWrap w:val="0"/>
        <w:spacing w:line="360" w:lineRule="auto"/>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（2）本提交响应文件有效期为自提交响应文件截止之日起</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个日历日。</w:t>
      </w:r>
    </w:p>
    <w:p w14:paraId="2CDB75CF">
      <w:pPr>
        <w:wordWrap w:val="0"/>
        <w:spacing w:line="360" w:lineRule="auto"/>
        <w:ind w:firstLine="480" w:firstLineChars="200"/>
        <w:rPr>
          <w:rFonts w:hint="eastAsia" w:asciiTheme="minorEastAsia" w:hAnsiTheme="minorEastAsia" w:eastAsiaTheme="minorEastAsia" w:cstheme="minorEastAsia"/>
          <w:sz w:val="24"/>
        </w:rPr>
      </w:pPr>
      <w:bookmarkStart w:id="722" w:name="_Hlk166568153"/>
      <w:r>
        <w:rPr>
          <w:rFonts w:hint="eastAsia" w:asciiTheme="minorEastAsia" w:hAnsiTheme="minorEastAsia" w:eastAsiaTheme="minorEastAsia" w:cstheme="minorEastAsia"/>
          <w:sz w:val="24"/>
        </w:rPr>
        <w:t>（3）</w:t>
      </w:r>
      <w:r>
        <w:rPr>
          <w:rFonts w:hint="eastAsia" w:asciiTheme="minorEastAsia" w:hAnsiTheme="minorEastAsia" w:eastAsiaTheme="minorEastAsia" w:cstheme="minorEastAsia"/>
          <w:spacing w:val="-1"/>
          <w:sz w:val="24"/>
        </w:rPr>
        <w:t>除响应文件中列出的偏离外，我方响应竞争性磋商文件的全部要求。</w:t>
      </w:r>
      <w:r>
        <w:rPr>
          <w:rFonts w:hint="eastAsia" w:asciiTheme="minorEastAsia" w:hAnsiTheme="minorEastAsia" w:eastAsiaTheme="minorEastAsia" w:cstheme="minorEastAsia"/>
          <w:sz w:val="24"/>
        </w:rPr>
        <w:t>如果我方的响应文件被接受，我们将履行竞争性磋商文件中规定的各项要求。</w:t>
      </w:r>
      <w:bookmarkEnd w:id="722"/>
    </w:p>
    <w:p w14:paraId="7A4355B2">
      <w:pPr>
        <w:wordWrap w:val="0"/>
        <w:spacing w:line="360" w:lineRule="auto"/>
        <w:ind w:firstLine="480" w:firstLineChars="200"/>
        <w:rPr>
          <w:rFonts w:hint="eastAsia" w:ascii="宋体" w:hAnsi="宋体"/>
          <w:sz w:val="24"/>
        </w:rPr>
      </w:pPr>
      <w:r>
        <w:rPr>
          <w:rFonts w:hint="eastAsia" w:ascii="宋体" w:hAnsi="宋体" w:cs="仿宋"/>
          <w:sz w:val="24"/>
        </w:rPr>
        <w:t>（4）采购标的中如有被列入国家强制性产品认证目录的产品，我方保证已获得强制认证产品的认证证书，我方愿提供竞争性磋商文件中要求的相关文件资料。</w:t>
      </w:r>
    </w:p>
    <w:p w14:paraId="043B8328">
      <w:pPr>
        <w:wordWrap w:val="0"/>
        <w:spacing w:line="360" w:lineRule="auto"/>
        <w:ind w:firstLine="480" w:firstLineChars="200"/>
        <w:rPr>
          <w:rFonts w:hint="eastAsia" w:ascii="宋体" w:hAnsi="宋体" w:cs="仿宋"/>
          <w:sz w:val="24"/>
        </w:rPr>
      </w:pPr>
      <w:r>
        <w:rPr>
          <w:rFonts w:hint="eastAsia" w:ascii="宋体" w:hAnsi="宋体" w:cs="仿宋"/>
          <w:sz w:val="24"/>
        </w:rPr>
        <w:t>（5）我方已经详细审查了全部竞争性磋商文件，</w:t>
      </w:r>
      <w:r>
        <w:rPr>
          <w:rFonts w:hint="eastAsia" w:hAnsi="宋体"/>
          <w:sz w:val="24"/>
        </w:rPr>
        <w:t>包括所有补充通知、更正等（如果有的话），</w:t>
      </w:r>
      <w:r>
        <w:rPr>
          <w:rFonts w:hint="eastAsia" w:ascii="宋体" w:hAnsi="宋体" w:cs="仿宋"/>
          <w:sz w:val="24"/>
        </w:rPr>
        <w:t>如有需要澄清（或质疑）的问题，我们同意按竞争性磋商文件规定的时间向采购人提出。逾期不提，我方同意放弃对这方面有不明及误解的权利。</w:t>
      </w:r>
    </w:p>
    <w:p w14:paraId="7A2341D0">
      <w:pPr>
        <w:wordWrap w:val="0"/>
        <w:spacing w:line="360" w:lineRule="auto"/>
        <w:ind w:firstLine="480" w:firstLineChars="200"/>
        <w:rPr>
          <w:rFonts w:hint="eastAsia" w:ascii="宋体" w:hAnsi="宋体" w:cs="仿宋"/>
          <w:sz w:val="24"/>
        </w:rPr>
      </w:pPr>
      <w:r>
        <w:rPr>
          <w:rFonts w:hint="eastAsia" w:ascii="宋体" w:hAnsi="宋体" w:cs="仿宋"/>
          <w:sz w:val="24"/>
        </w:rPr>
        <w:t>（6）我方同意提供按照采购人可能要求的与其提交响应文件有关的一切数据或资料，完全理解采购人不一定接受最低价的提交响应文件或收到的任何提交响应文件。</w:t>
      </w:r>
    </w:p>
    <w:p w14:paraId="35A0AFD1">
      <w:pPr>
        <w:pStyle w:val="26"/>
        <w:tabs>
          <w:tab w:val="left" w:pos="5580"/>
        </w:tabs>
        <w:wordWrap w:val="0"/>
        <w:spacing w:line="360" w:lineRule="auto"/>
        <w:ind w:firstLine="480" w:firstLineChars="200"/>
        <w:rPr>
          <w:rFonts w:hint="eastAsia" w:hAnsi="宋体"/>
          <w:sz w:val="24"/>
        </w:rPr>
      </w:pPr>
      <w:r>
        <w:rPr>
          <w:rFonts w:hint="eastAsia" w:hAnsi="宋体" w:cs="仿宋"/>
          <w:sz w:val="24"/>
        </w:rPr>
        <w:t>（7）</w:t>
      </w:r>
      <w:r>
        <w:rPr>
          <w:rFonts w:hint="eastAsia" w:hAnsi="宋体"/>
          <w:sz w:val="24"/>
        </w:rPr>
        <w:t>按照竞争性磋商文件的规定，在收到成交通知书时以银行转账、汇票或现金的形式向采购代理机构一次性支付采购代理服务费，否则，由此产生的一切法律后果和责任由我公司承担。我公司声明放弃对此提出任何异议和追索的权利。</w:t>
      </w:r>
    </w:p>
    <w:p w14:paraId="7085A416">
      <w:pPr>
        <w:pStyle w:val="26"/>
        <w:tabs>
          <w:tab w:val="left" w:pos="5580"/>
        </w:tabs>
        <w:wordWrap w:val="0"/>
        <w:spacing w:line="360" w:lineRule="auto"/>
        <w:ind w:firstLine="360" w:firstLineChars="150"/>
        <w:rPr>
          <w:rFonts w:hint="eastAsia" w:hAnsi="宋体"/>
          <w:sz w:val="24"/>
        </w:rPr>
      </w:pPr>
      <w:r>
        <w:rPr>
          <w:rFonts w:hint="eastAsia" w:hAnsi="宋体" w:cs="仿宋"/>
          <w:sz w:val="24"/>
        </w:rPr>
        <w:t>（8）</w:t>
      </w:r>
      <w:r>
        <w:rPr>
          <w:sz w:val="24"/>
        </w:rPr>
        <w:t>如我方</w:t>
      </w:r>
      <w:r>
        <w:rPr>
          <w:rFonts w:hint="eastAsia"/>
          <w:sz w:val="24"/>
        </w:rPr>
        <w:t>成交</w:t>
      </w:r>
      <w:r>
        <w:rPr>
          <w:sz w:val="24"/>
        </w:rPr>
        <w:t>，我方将在</w:t>
      </w:r>
      <w:bookmarkStart w:id="723" w:name="_Hlk166506797"/>
      <w:r>
        <w:rPr>
          <w:rFonts w:hint="eastAsia"/>
          <w:sz w:val="24"/>
        </w:rPr>
        <w:t>竞争性磋商文件中</w:t>
      </w:r>
      <w:bookmarkEnd w:id="723"/>
      <w:r>
        <w:rPr>
          <w:sz w:val="24"/>
        </w:rPr>
        <w:t>规定的期限内与你方签订合同，按照</w:t>
      </w:r>
      <w:r>
        <w:rPr>
          <w:rFonts w:hint="eastAsia"/>
          <w:sz w:val="24"/>
        </w:rPr>
        <w:t>竞争性磋商文件</w:t>
      </w:r>
      <w:r>
        <w:rPr>
          <w:sz w:val="24"/>
        </w:rPr>
        <w:t>要求提交履约保证金，并在合同约定的期限内完成合同规定的全部义务。</w:t>
      </w:r>
      <w:r>
        <w:rPr>
          <w:rFonts w:hint="eastAsia" w:hAnsi="宋体"/>
          <w:sz w:val="24"/>
        </w:rPr>
        <w:t>完全理解并</w:t>
      </w:r>
      <w:r>
        <w:rPr>
          <w:rFonts w:hAnsi="宋体"/>
          <w:sz w:val="24"/>
        </w:rPr>
        <w:t>无条件承担</w:t>
      </w:r>
      <w:r>
        <w:rPr>
          <w:rFonts w:hint="eastAsia" w:hAnsi="宋体"/>
          <w:sz w:val="24"/>
        </w:rPr>
        <w:t>成交后</w:t>
      </w:r>
      <w:r>
        <w:rPr>
          <w:rFonts w:hAnsi="宋体"/>
          <w:sz w:val="24"/>
        </w:rPr>
        <w:t>不依法与采购人签订合同的法律后果</w:t>
      </w:r>
      <w:r>
        <w:rPr>
          <w:rFonts w:hint="eastAsia" w:hAnsi="宋体"/>
          <w:sz w:val="24"/>
        </w:rPr>
        <w:t>。</w:t>
      </w:r>
    </w:p>
    <w:p w14:paraId="51F4E4EA">
      <w:pPr>
        <w:wordWrap w:val="0"/>
        <w:spacing w:line="360" w:lineRule="auto"/>
        <w:ind w:firstLine="480" w:firstLineChars="200"/>
        <w:rPr>
          <w:rFonts w:hint="eastAsia" w:ascii="宋体" w:hAnsi="宋体" w:cs="仿宋"/>
          <w:sz w:val="24"/>
        </w:rPr>
      </w:pPr>
      <w:r>
        <w:rPr>
          <w:rFonts w:hint="eastAsia" w:ascii="宋体" w:hAnsi="宋体" w:cs="仿宋"/>
          <w:sz w:val="24"/>
        </w:rPr>
        <w:t>（9）我方愿按《中华人民共和国民法典》履行自己的全部责任</w:t>
      </w:r>
      <w:r>
        <w:rPr>
          <w:rFonts w:hint="eastAsia" w:hAnsi="宋体"/>
          <w:sz w:val="24"/>
        </w:rPr>
        <w:t>和义务。</w:t>
      </w:r>
    </w:p>
    <w:p w14:paraId="3AFEC7D7">
      <w:pPr>
        <w:pStyle w:val="26"/>
        <w:tabs>
          <w:tab w:val="left" w:pos="5580"/>
        </w:tabs>
        <w:wordWrap w:val="0"/>
        <w:spacing w:line="360" w:lineRule="auto"/>
        <w:ind w:firstLine="480" w:firstLineChars="200"/>
        <w:rPr>
          <w:rFonts w:hint="eastAsia" w:hAnsi="宋体"/>
          <w:sz w:val="24"/>
        </w:rPr>
      </w:pPr>
      <w:r>
        <w:rPr>
          <w:rFonts w:hint="eastAsia" w:hAnsi="宋体" w:cs="仿宋"/>
          <w:sz w:val="24"/>
        </w:rPr>
        <w:t>（1</w:t>
      </w:r>
      <w:r>
        <w:rPr>
          <w:rFonts w:hAnsi="宋体" w:cs="仿宋"/>
          <w:sz w:val="24"/>
        </w:rPr>
        <w:t>0</w:t>
      </w:r>
      <w:r>
        <w:rPr>
          <w:rFonts w:hint="eastAsia" w:hAnsi="宋体" w:cs="仿宋"/>
          <w:sz w:val="24"/>
        </w:rPr>
        <w:t>）</w:t>
      </w:r>
      <w:r>
        <w:rPr>
          <w:rFonts w:hint="eastAsia" w:hAnsi="宋体"/>
          <w:sz w:val="24"/>
        </w:rPr>
        <w:t>我方在此声明，所提交的响应文件中所有内容及资料均真实、有效、准确。如有弄虚作假情况出现，愿意按照竞争性磋商文件中的相关规定承担责任。</w:t>
      </w:r>
    </w:p>
    <w:p w14:paraId="5B454CFC">
      <w:pPr>
        <w:wordWrap w:val="0"/>
        <w:spacing w:line="360" w:lineRule="auto"/>
        <w:ind w:firstLine="480" w:firstLineChars="200"/>
        <w:rPr>
          <w:rFonts w:hint="eastAsia" w:ascii="宋体" w:hAnsi="宋体"/>
          <w:sz w:val="24"/>
          <w:szCs w:val="20"/>
        </w:rPr>
      </w:pPr>
      <w:r>
        <w:rPr>
          <w:rFonts w:hint="eastAsia" w:ascii="宋体" w:hAnsi="宋体"/>
          <w:sz w:val="24"/>
          <w:szCs w:val="20"/>
        </w:rPr>
        <w:t>（11）</w:t>
      </w:r>
      <w:r>
        <w:rPr>
          <w:rFonts w:ascii="宋体" w:hAnsi="宋体"/>
          <w:sz w:val="24"/>
          <w:szCs w:val="20"/>
        </w:rPr>
        <w:t>其他补充条款（如有）：</w:t>
      </w:r>
      <w:r>
        <w:rPr>
          <w:rFonts w:ascii="宋体" w:hAnsi="宋体"/>
          <w:sz w:val="24"/>
          <w:szCs w:val="20"/>
          <w:u w:val="single"/>
        </w:rPr>
        <w:t xml:space="preserve">                        </w:t>
      </w:r>
      <w:r>
        <w:rPr>
          <w:rFonts w:ascii="宋体" w:hAnsi="宋体"/>
          <w:sz w:val="24"/>
          <w:szCs w:val="20"/>
        </w:rPr>
        <w:t>。</w:t>
      </w:r>
    </w:p>
    <w:p w14:paraId="0CA73D23">
      <w:pPr>
        <w:wordWrap w:val="0"/>
        <w:spacing w:line="360" w:lineRule="auto"/>
        <w:ind w:firstLine="480" w:firstLineChars="200"/>
        <w:rPr>
          <w:rFonts w:hint="eastAsia" w:ascii="宋体" w:hAnsi="宋体"/>
          <w:sz w:val="24"/>
        </w:rPr>
      </w:pPr>
      <w:r>
        <w:rPr>
          <w:rFonts w:hint="eastAsia" w:ascii="宋体" w:hAnsi="宋体" w:cs="仿宋"/>
          <w:sz w:val="24"/>
        </w:rPr>
        <w:t>与本次提交响应文件有关的正式通讯地址：</w:t>
      </w:r>
    </w:p>
    <w:p w14:paraId="06E1162D">
      <w:pPr>
        <w:wordWrap w:val="0"/>
        <w:spacing w:line="360" w:lineRule="auto"/>
        <w:ind w:firstLine="465"/>
        <w:rPr>
          <w:rFonts w:hint="eastAsia" w:ascii="宋体" w:hAnsi="宋体" w:cs="仿宋"/>
          <w:sz w:val="24"/>
        </w:rPr>
      </w:pPr>
    </w:p>
    <w:p w14:paraId="041C6124">
      <w:pPr>
        <w:pStyle w:val="26"/>
        <w:tabs>
          <w:tab w:val="left" w:pos="5580"/>
        </w:tabs>
        <w:wordWrap w:val="0"/>
        <w:spacing w:line="360" w:lineRule="auto"/>
        <w:ind w:left="1080" w:leftChars="257" w:hanging="540"/>
        <w:rPr>
          <w:rFonts w:hint="eastAsia" w:hAnsi="宋体"/>
          <w:sz w:val="24"/>
          <w:u w:val="single"/>
        </w:rPr>
      </w:pPr>
      <w:r>
        <w:rPr>
          <w:rFonts w:hint="eastAsia" w:hAnsi="宋体"/>
          <w:sz w:val="24"/>
        </w:rPr>
        <w:t>详细地址：</w:t>
      </w:r>
      <w:r>
        <w:rPr>
          <w:rFonts w:hint="eastAsia" w:hAnsi="宋体"/>
          <w:sz w:val="24"/>
          <w:u w:val="single"/>
        </w:rPr>
        <w:t xml:space="preserve">                                                         </w:t>
      </w:r>
    </w:p>
    <w:p w14:paraId="4FC75CAC">
      <w:pPr>
        <w:pStyle w:val="26"/>
        <w:tabs>
          <w:tab w:val="left" w:pos="5580"/>
        </w:tabs>
        <w:wordWrap w:val="0"/>
        <w:spacing w:line="360" w:lineRule="auto"/>
        <w:ind w:left="1080" w:leftChars="257" w:hanging="540"/>
        <w:rPr>
          <w:rFonts w:hint="eastAsia" w:hAnsi="宋体"/>
          <w:sz w:val="24"/>
          <w:u w:val="single"/>
        </w:rPr>
      </w:pPr>
      <w:r>
        <w:rPr>
          <w:rFonts w:hint="eastAsia" w:hAnsi="宋体"/>
          <w:sz w:val="24"/>
        </w:rPr>
        <w:t>固定电话：</w:t>
      </w:r>
      <w:r>
        <w:rPr>
          <w:rFonts w:hint="eastAsia" w:hAnsi="宋体"/>
          <w:sz w:val="24"/>
          <w:u w:val="single"/>
        </w:rPr>
        <w:t xml:space="preserve">                </w:t>
      </w:r>
      <w:r>
        <w:rPr>
          <w:rFonts w:hint="eastAsia" w:hAnsi="宋体"/>
          <w:sz w:val="24"/>
        </w:rPr>
        <w:t xml:space="preserve">  委托代理人移动电话：</w:t>
      </w:r>
      <w:r>
        <w:rPr>
          <w:rFonts w:hint="eastAsia" w:hAnsi="宋体"/>
          <w:sz w:val="24"/>
          <w:u w:val="single"/>
        </w:rPr>
        <w:t xml:space="preserve">                   </w:t>
      </w:r>
    </w:p>
    <w:p w14:paraId="2E3B0DF9">
      <w:pPr>
        <w:pStyle w:val="26"/>
        <w:tabs>
          <w:tab w:val="left" w:pos="5580"/>
        </w:tabs>
        <w:wordWrap w:val="0"/>
        <w:spacing w:line="360" w:lineRule="auto"/>
        <w:ind w:left="1080" w:leftChars="257" w:hanging="540"/>
        <w:rPr>
          <w:rFonts w:hint="eastAsia" w:hAnsi="宋体"/>
          <w:b/>
          <w:sz w:val="24"/>
        </w:rPr>
      </w:pPr>
      <w:r>
        <w:rPr>
          <w:rFonts w:hint="eastAsia" w:hAnsi="宋体"/>
          <w:sz w:val="24"/>
        </w:rPr>
        <w:t>电子邮箱：</w:t>
      </w:r>
      <w:r>
        <w:rPr>
          <w:rFonts w:hint="eastAsia" w:hAnsi="宋体"/>
          <w:sz w:val="24"/>
          <w:u w:val="single"/>
        </w:rPr>
        <w:t xml:space="preserve">                         </w:t>
      </w:r>
    </w:p>
    <w:p w14:paraId="2A93DAFB">
      <w:pPr>
        <w:pStyle w:val="26"/>
        <w:tabs>
          <w:tab w:val="left" w:pos="5580"/>
        </w:tabs>
        <w:wordWrap w:val="0"/>
        <w:spacing w:line="360" w:lineRule="auto"/>
        <w:ind w:left="1080" w:leftChars="257" w:hanging="540"/>
        <w:rPr>
          <w:rFonts w:hint="eastAsia" w:hAnsi="宋体"/>
          <w:sz w:val="24"/>
        </w:rPr>
      </w:pPr>
    </w:p>
    <w:p w14:paraId="05449AA4">
      <w:pPr>
        <w:wordWrap w:val="0"/>
        <w:spacing w:line="360" w:lineRule="auto"/>
        <w:ind w:firstLine="480" w:firstLineChars="200"/>
        <w:rPr>
          <w:rFonts w:hint="eastAsia" w:ascii="宋体" w:hAnsi="宋体"/>
          <w:sz w:val="24"/>
        </w:rPr>
      </w:pPr>
      <w:r>
        <w:rPr>
          <w:rFonts w:hint="eastAsia" w:ascii="宋体" w:hAnsi="宋体"/>
          <w:sz w:val="24"/>
        </w:rPr>
        <w:t>供应商：</w:t>
      </w:r>
      <w:r>
        <w:rPr>
          <w:rFonts w:ascii="宋体" w:hAnsi="宋体"/>
          <w:sz w:val="24"/>
          <w:u w:val="single"/>
        </w:rPr>
        <w:t xml:space="preserve">                       </w:t>
      </w:r>
      <w:r>
        <w:rPr>
          <w:rFonts w:hint="eastAsia" w:ascii="宋体" w:hAnsi="宋体"/>
          <w:sz w:val="24"/>
        </w:rPr>
        <w:t>（加盖单位公章）</w:t>
      </w:r>
    </w:p>
    <w:p w14:paraId="33ED35AF">
      <w:pPr>
        <w:pStyle w:val="26"/>
        <w:tabs>
          <w:tab w:val="left" w:pos="5580"/>
        </w:tabs>
        <w:wordWrap w:val="0"/>
        <w:spacing w:line="360" w:lineRule="auto"/>
        <w:ind w:left="1080" w:leftChars="257" w:hanging="540"/>
        <w:jc w:val="left"/>
        <w:rPr>
          <w:rFonts w:hint="eastAsia" w:hAnsi="宋体"/>
          <w:sz w:val="24"/>
        </w:rPr>
      </w:pPr>
      <w:r>
        <w:rPr>
          <w:rFonts w:hint="eastAsia" w:hAnsi="宋体"/>
          <w:sz w:val="24"/>
        </w:rPr>
        <w:t>法定代表</w:t>
      </w:r>
      <w:r>
        <w:rPr>
          <w:rFonts w:hAnsi="宋体"/>
          <w:sz w:val="24"/>
        </w:rPr>
        <w:t>人</w:t>
      </w:r>
      <w:r>
        <w:rPr>
          <w:rFonts w:hint="eastAsia" w:hAnsi="宋体"/>
          <w:sz w:val="24"/>
        </w:rPr>
        <w:t>或负责人或委托代理人：</w:t>
      </w:r>
      <w:r>
        <w:rPr>
          <w:rFonts w:hAnsi="宋体"/>
          <w:sz w:val="24"/>
          <w:u w:val="single"/>
        </w:rPr>
        <w:t xml:space="preserve">            </w:t>
      </w:r>
      <w:r>
        <w:rPr>
          <w:rFonts w:hint="eastAsia" w:hAnsi="宋体"/>
          <w:sz w:val="24"/>
        </w:rPr>
        <w:t>（签字或加盖个人章）</w:t>
      </w:r>
    </w:p>
    <w:p w14:paraId="2E314594">
      <w:pPr>
        <w:pStyle w:val="26"/>
        <w:tabs>
          <w:tab w:val="left" w:pos="5580"/>
        </w:tabs>
        <w:wordWrap w:val="0"/>
        <w:spacing w:line="360" w:lineRule="auto"/>
        <w:ind w:left="1080" w:leftChars="257" w:hanging="540"/>
        <w:jc w:val="left"/>
        <w:rPr>
          <w:rFonts w:hint="eastAsia" w:hAnsi="宋体"/>
          <w:sz w:val="24"/>
        </w:rPr>
      </w:pPr>
      <w:r>
        <w:rPr>
          <w:rFonts w:hint="eastAsia" w:hAnsi="宋体"/>
          <w:sz w:val="24"/>
        </w:rPr>
        <w:t>供应商开户银行（全称）：</w:t>
      </w:r>
      <w:r>
        <w:rPr>
          <w:rFonts w:hint="eastAsia" w:hAnsi="宋体"/>
          <w:sz w:val="24"/>
          <w:u w:val="single"/>
        </w:rPr>
        <w:t xml:space="preserve">                 </w:t>
      </w:r>
    </w:p>
    <w:p w14:paraId="334711CA">
      <w:pPr>
        <w:pStyle w:val="26"/>
        <w:tabs>
          <w:tab w:val="left" w:pos="5580"/>
        </w:tabs>
        <w:wordWrap w:val="0"/>
        <w:spacing w:line="360" w:lineRule="auto"/>
        <w:ind w:left="1080" w:leftChars="257" w:hanging="540"/>
        <w:jc w:val="left"/>
        <w:rPr>
          <w:rFonts w:hint="eastAsia" w:hAnsi="宋体"/>
          <w:sz w:val="24"/>
        </w:rPr>
      </w:pPr>
      <w:r>
        <w:rPr>
          <w:rFonts w:hint="eastAsia" w:hAnsi="宋体"/>
          <w:sz w:val="24"/>
        </w:rPr>
        <w:t>供应商银行账号：</w:t>
      </w:r>
      <w:r>
        <w:rPr>
          <w:rFonts w:hint="eastAsia" w:hAnsi="宋体"/>
          <w:sz w:val="24"/>
          <w:u w:val="single"/>
        </w:rPr>
        <w:t xml:space="preserve">                 </w:t>
      </w:r>
    </w:p>
    <w:p w14:paraId="48822FC0">
      <w:pPr>
        <w:wordWrap w:val="0"/>
        <w:spacing w:line="360" w:lineRule="auto"/>
        <w:ind w:firstLine="583" w:firstLineChars="243"/>
        <w:rPr>
          <w:rFonts w:hint="eastAsia" w:ascii="宋体" w:hAnsi="宋体" w:cs="仿宋"/>
          <w:sz w:val="24"/>
        </w:rPr>
      </w:pPr>
      <w:bookmarkStart w:id="724" w:name="_Hlk166570177"/>
      <w:r>
        <w:rPr>
          <w:rFonts w:hint="eastAsia" w:ascii="宋体" w:hAnsi="宋体"/>
          <w:sz w:val="24"/>
        </w:rPr>
        <w:t xml:space="preserve">日期： </w:t>
      </w:r>
      <w:r>
        <w:rPr>
          <w:rFonts w:ascii="宋体" w:hAnsi="宋体"/>
          <w:sz w:val="24"/>
        </w:rPr>
        <w:t xml:space="preserve">  </w:t>
      </w:r>
      <w:r>
        <w:rPr>
          <w:rFonts w:hint="eastAsia" w:ascii="宋体" w:hAnsi="宋体"/>
          <w:sz w:val="24"/>
        </w:rPr>
        <w:t xml:space="preserve">年 </w:t>
      </w:r>
      <w:r>
        <w:rPr>
          <w:rFonts w:ascii="宋体" w:hAnsi="宋体"/>
          <w:sz w:val="24"/>
        </w:rPr>
        <w:t xml:space="preserve">  </w:t>
      </w:r>
      <w:r>
        <w:rPr>
          <w:rFonts w:hint="eastAsia" w:ascii="宋体" w:hAnsi="宋体"/>
          <w:sz w:val="24"/>
        </w:rPr>
        <w:t>月</w:t>
      </w:r>
      <w:r>
        <w:rPr>
          <w:rFonts w:ascii="宋体" w:hAnsi="宋体"/>
          <w:sz w:val="24"/>
        </w:rPr>
        <w:t xml:space="preserve">   </w:t>
      </w:r>
      <w:r>
        <w:rPr>
          <w:rFonts w:hint="eastAsia" w:ascii="宋体" w:hAnsi="宋体"/>
          <w:sz w:val="24"/>
        </w:rPr>
        <w:t>日</w:t>
      </w:r>
      <w:bookmarkEnd w:id="724"/>
    </w:p>
    <w:p w14:paraId="456EA986">
      <w:pPr>
        <w:wordWrap w:val="0"/>
        <w:spacing w:line="360" w:lineRule="auto"/>
        <w:ind w:firstLine="465"/>
        <w:rPr>
          <w:rFonts w:hint="eastAsia" w:ascii="宋体" w:hAnsi="宋体" w:cs="仿宋"/>
          <w:sz w:val="24"/>
        </w:rPr>
      </w:pPr>
    </w:p>
    <w:p w14:paraId="416A4C2D">
      <w:pPr>
        <w:wordWrap w:val="0"/>
        <w:spacing w:line="360" w:lineRule="auto"/>
        <w:ind w:firstLine="465"/>
        <w:rPr>
          <w:rFonts w:hint="eastAsia" w:ascii="宋体" w:hAnsi="宋体" w:cs="仿宋"/>
          <w:sz w:val="24"/>
        </w:rPr>
      </w:pPr>
    </w:p>
    <w:p w14:paraId="25F933AA">
      <w:pPr>
        <w:wordWrap w:val="0"/>
        <w:spacing w:line="360" w:lineRule="auto"/>
        <w:ind w:firstLine="465"/>
        <w:rPr>
          <w:rFonts w:hint="eastAsia" w:ascii="宋体" w:hAnsi="宋体" w:cs="仿宋"/>
          <w:sz w:val="24"/>
        </w:rPr>
      </w:pPr>
    </w:p>
    <w:p w14:paraId="643FC803">
      <w:pPr>
        <w:wordWrap w:val="0"/>
        <w:spacing w:line="360" w:lineRule="auto"/>
        <w:ind w:firstLine="465"/>
        <w:rPr>
          <w:rFonts w:hint="eastAsia" w:ascii="宋体" w:hAnsi="宋体" w:cs="仿宋"/>
          <w:sz w:val="24"/>
        </w:rPr>
      </w:pPr>
    </w:p>
    <w:p w14:paraId="7DE91153">
      <w:pPr>
        <w:wordWrap w:val="0"/>
        <w:spacing w:line="360" w:lineRule="auto"/>
        <w:ind w:firstLine="465"/>
        <w:rPr>
          <w:rFonts w:hint="eastAsia" w:ascii="宋体" w:hAnsi="宋体" w:cs="仿宋"/>
          <w:sz w:val="24"/>
        </w:rPr>
      </w:pPr>
    </w:p>
    <w:p w14:paraId="714A8F1E">
      <w:pPr>
        <w:wordWrap w:val="0"/>
        <w:spacing w:line="360" w:lineRule="auto"/>
        <w:ind w:firstLine="465"/>
        <w:rPr>
          <w:rFonts w:hint="eastAsia" w:ascii="宋体" w:hAnsi="宋体" w:cs="仿宋"/>
          <w:sz w:val="24"/>
        </w:rPr>
      </w:pPr>
    </w:p>
    <w:p w14:paraId="54615660">
      <w:pPr>
        <w:wordWrap w:val="0"/>
        <w:spacing w:line="360" w:lineRule="auto"/>
        <w:ind w:firstLine="465"/>
        <w:rPr>
          <w:rFonts w:hint="eastAsia" w:ascii="宋体" w:hAnsi="宋体" w:cs="仿宋"/>
          <w:sz w:val="24"/>
        </w:rPr>
      </w:pPr>
    </w:p>
    <w:p w14:paraId="353B910B">
      <w:pPr>
        <w:wordWrap w:val="0"/>
        <w:spacing w:line="360" w:lineRule="auto"/>
        <w:ind w:firstLine="465"/>
        <w:rPr>
          <w:rFonts w:hint="eastAsia" w:ascii="宋体" w:hAnsi="宋体" w:cs="仿宋"/>
          <w:sz w:val="24"/>
        </w:rPr>
      </w:pPr>
    </w:p>
    <w:p w14:paraId="4938299D">
      <w:pPr>
        <w:wordWrap w:val="0"/>
        <w:spacing w:line="360" w:lineRule="auto"/>
        <w:ind w:firstLine="465"/>
        <w:rPr>
          <w:rFonts w:hint="eastAsia" w:ascii="宋体" w:hAnsi="宋体" w:cs="仿宋"/>
          <w:sz w:val="24"/>
        </w:rPr>
      </w:pPr>
    </w:p>
    <w:p w14:paraId="0AA144FB">
      <w:pPr>
        <w:wordWrap w:val="0"/>
        <w:spacing w:line="360" w:lineRule="auto"/>
        <w:ind w:firstLine="465"/>
        <w:rPr>
          <w:rFonts w:hint="eastAsia" w:ascii="宋体" w:hAnsi="宋体" w:cs="仿宋"/>
          <w:sz w:val="24"/>
        </w:rPr>
      </w:pPr>
    </w:p>
    <w:p w14:paraId="67DFF599">
      <w:pPr>
        <w:wordWrap w:val="0"/>
        <w:spacing w:line="360" w:lineRule="auto"/>
        <w:ind w:firstLine="465"/>
        <w:rPr>
          <w:rFonts w:hint="eastAsia" w:ascii="宋体" w:hAnsi="宋体" w:cs="仿宋"/>
          <w:sz w:val="24"/>
        </w:rPr>
      </w:pPr>
    </w:p>
    <w:p w14:paraId="15DDD310">
      <w:pPr>
        <w:wordWrap w:val="0"/>
        <w:spacing w:line="360" w:lineRule="auto"/>
        <w:ind w:firstLine="465"/>
        <w:rPr>
          <w:rFonts w:hint="eastAsia" w:ascii="宋体" w:hAnsi="宋体" w:cs="仿宋"/>
          <w:sz w:val="24"/>
        </w:rPr>
      </w:pPr>
    </w:p>
    <w:p w14:paraId="79F6D68A">
      <w:pPr>
        <w:wordWrap w:val="0"/>
        <w:spacing w:line="360" w:lineRule="auto"/>
        <w:ind w:firstLine="465"/>
        <w:rPr>
          <w:rFonts w:hint="eastAsia" w:ascii="宋体" w:hAnsi="宋体" w:cs="仿宋"/>
          <w:sz w:val="24"/>
        </w:rPr>
      </w:pPr>
    </w:p>
    <w:p w14:paraId="0D916226">
      <w:pPr>
        <w:wordWrap w:val="0"/>
        <w:spacing w:line="360" w:lineRule="auto"/>
        <w:rPr>
          <w:rFonts w:hint="eastAsia" w:ascii="宋体" w:hAnsi="宋体"/>
          <w:sz w:val="24"/>
        </w:rPr>
      </w:pPr>
    </w:p>
    <w:p w14:paraId="1D6F0294">
      <w:pPr>
        <w:rPr>
          <w:rFonts w:hint="eastAsia" w:ascii="黑体" w:hAnsi="黑体" w:cs="黑体"/>
          <w:kern w:val="0"/>
          <w:sz w:val="28"/>
          <w:szCs w:val="28"/>
        </w:rPr>
      </w:pPr>
      <w:bookmarkStart w:id="725" w:name="_Toc6625"/>
      <w:bookmarkStart w:id="726" w:name="_Toc21617"/>
      <w:bookmarkStart w:id="727" w:name="_Toc15048335"/>
      <w:bookmarkStart w:id="728" w:name="_Toc13104"/>
      <w:bookmarkStart w:id="729" w:name="_Toc30524"/>
      <w:bookmarkStart w:id="730" w:name="_Toc532473495"/>
      <w:bookmarkStart w:id="731" w:name="_Toc515647804"/>
      <w:bookmarkStart w:id="732" w:name="_Toc16568"/>
      <w:r>
        <w:rPr>
          <w:rFonts w:hint="eastAsia" w:ascii="黑体" w:hAnsi="黑体" w:cs="黑体"/>
          <w:kern w:val="0"/>
          <w:sz w:val="28"/>
          <w:szCs w:val="28"/>
        </w:rPr>
        <w:br w:type="page"/>
      </w:r>
    </w:p>
    <w:p w14:paraId="46C2B923">
      <w:pPr>
        <w:pStyle w:val="7"/>
        <w:widowControl/>
        <w:tabs>
          <w:tab w:val="center" w:pos="4479"/>
        </w:tabs>
        <w:wordWrap w:val="0"/>
        <w:adjustRightInd w:val="0"/>
        <w:snapToGrid w:val="0"/>
        <w:spacing w:before="0" w:after="0" w:line="240" w:lineRule="auto"/>
        <w:jc w:val="center"/>
        <w:rPr>
          <w:rFonts w:hint="eastAsia" w:ascii="黑体" w:hAnsi="黑体"/>
          <w:b w:val="0"/>
          <w:sz w:val="28"/>
          <w:szCs w:val="28"/>
        </w:rPr>
      </w:pPr>
      <w:bookmarkStart w:id="733" w:name="_Toc22847"/>
      <w:r>
        <w:rPr>
          <w:rFonts w:hint="eastAsia" w:ascii="黑体" w:hAnsi="黑体" w:cs="黑体"/>
          <w:b w:val="0"/>
          <w:bCs w:val="0"/>
          <w:kern w:val="0"/>
          <w:sz w:val="28"/>
          <w:szCs w:val="28"/>
        </w:rPr>
        <w:t>5.报价一览表</w:t>
      </w:r>
      <w:bookmarkEnd w:id="725"/>
      <w:bookmarkEnd w:id="726"/>
      <w:bookmarkEnd w:id="727"/>
      <w:bookmarkEnd w:id="728"/>
      <w:bookmarkEnd w:id="733"/>
    </w:p>
    <w:bookmarkEnd w:id="729"/>
    <w:bookmarkEnd w:id="730"/>
    <w:bookmarkEnd w:id="731"/>
    <w:bookmarkEnd w:id="732"/>
    <w:p w14:paraId="37455798">
      <w:pPr>
        <w:wordWrap w:val="0"/>
        <w:autoSpaceDE w:val="0"/>
        <w:autoSpaceDN w:val="0"/>
        <w:adjustRightInd w:val="0"/>
        <w:snapToGrid w:val="0"/>
        <w:jc w:val="center"/>
        <w:rPr>
          <w:rFonts w:cs="黑体"/>
          <w:kern w:val="0"/>
          <w:sz w:val="24"/>
        </w:rPr>
      </w:pPr>
    </w:p>
    <w:tbl>
      <w:tblPr>
        <w:tblStyle w:val="47"/>
        <w:tblW w:w="91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56"/>
        <w:gridCol w:w="725"/>
        <w:gridCol w:w="1276"/>
        <w:gridCol w:w="1275"/>
        <w:gridCol w:w="870"/>
        <w:gridCol w:w="790"/>
        <w:gridCol w:w="1370"/>
      </w:tblGrid>
      <w:tr w14:paraId="5D1AA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856" w:type="dxa"/>
            <w:vAlign w:val="center"/>
          </w:tcPr>
          <w:p w14:paraId="7A3E40ED">
            <w:pPr>
              <w:pStyle w:val="42"/>
              <w:spacing w:before="120" w:beforeLines="50" w:beforeAutospacing="0" w:after="120" w:afterLines="50" w:afterAutospacing="0" w:line="360" w:lineRule="auto"/>
              <w:jc w:val="center"/>
              <w:rPr>
                <w:rFonts w:hint="eastAsia"/>
                <w:szCs w:val="24"/>
              </w:rPr>
            </w:pPr>
            <w:bookmarkStart w:id="734" w:name="_Hlk57104312"/>
            <w:r>
              <w:rPr>
                <w:rFonts w:hint="eastAsia"/>
                <w:szCs w:val="24"/>
              </w:rPr>
              <w:t>项目名称</w:t>
            </w:r>
          </w:p>
        </w:tc>
        <w:tc>
          <w:tcPr>
            <w:tcW w:w="6306" w:type="dxa"/>
            <w:gridSpan w:val="6"/>
          </w:tcPr>
          <w:p w14:paraId="414DB4B7">
            <w:pPr>
              <w:pStyle w:val="42"/>
              <w:spacing w:before="120" w:beforeLines="50" w:beforeAutospacing="0" w:after="120" w:afterLines="50" w:afterAutospacing="0" w:line="360" w:lineRule="auto"/>
              <w:rPr>
                <w:rFonts w:hint="eastAsia"/>
                <w:szCs w:val="24"/>
              </w:rPr>
            </w:pPr>
          </w:p>
        </w:tc>
      </w:tr>
      <w:tr w14:paraId="4389E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856" w:type="dxa"/>
            <w:vAlign w:val="center"/>
          </w:tcPr>
          <w:p w14:paraId="63105CF1">
            <w:pPr>
              <w:pStyle w:val="42"/>
              <w:spacing w:before="120" w:beforeLines="50" w:beforeAutospacing="0" w:after="120" w:afterLines="50" w:afterAutospacing="0" w:line="360" w:lineRule="auto"/>
              <w:jc w:val="center"/>
              <w:rPr>
                <w:rFonts w:hint="eastAsia"/>
                <w:szCs w:val="24"/>
              </w:rPr>
            </w:pPr>
            <w:r>
              <w:rPr>
                <w:rFonts w:hint="eastAsia"/>
                <w:szCs w:val="24"/>
              </w:rPr>
              <w:t>供应商名称</w:t>
            </w:r>
          </w:p>
        </w:tc>
        <w:tc>
          <w:tcPr>
            <w:tcW w:w="6306" w:type="dxa"/>
            <w:gridSpan w:val="6"/>
          </w:tcPr>
          <w:p w14:paraId="05CA78D3">
            <w:pPr>
              <w:pStyle w:val="42"/>
              <w:spacing w:before="120" w:beforeLines="50" w:beforeAutospacing="0" w:after="120" w:afterLines="50" w:afterAutospacing="0" w:line="360" w:lineRule="auto"/>
              <w:jc w:val="center"/>
              <w:rPr>
                <w:rFonts w:hint="eastAsia"/>
                <w:szCs w:val="24"/>
              </w:rPr>
            </w:pPr>
          </w:p>
        </w:tc>
      </w:tr>
      <w:tr w14:paraId="2EBD4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856" w:type="dxa"/>
            <w:vAlign w:val="center"/>
          </w:tcPr>
          <w:p w14:paraId="1B63B71F">
            <w:pPr>
              <w:pStyle w:val="42"/>
              <w:spacing w:before="120" w:beforeLines="50" w:beforeAutospacing="0" w:after="120" w:afterLines="50" w:afterAutospacing="0" w:line="360" w:lineRule="auto"/>
              <w:jc w:val="center"/>
              <w:rPr>
                <w:rFonts w:hint="eastAsia"/>
                <w:szCs w:val="24"/>
              </w:rPr>
            </w:pPr>
            <w:r>
              <w:rPr>
                <w:rFonts w:hint="eastAsia"/>
                <w:szCs w:val="24"/>
              </w:rPr>
              <w:t>响应范围</w:t>
            </w:r>
          </w:p>
        </w:tc>
        <w:tc>
          <w:tcPr>
            <w:tcW w:w="6306" w:type="dxa"/>
            <w:gridSpan w:val="6"/>
          </w:tcPr>
          <w:p w14:paraId="5B74E68B">
            <w:pPr>
              <w:pStyle w:val="42"/>
              <w:spacing w:before="120" w:beforeLines="50" w:beforeAutospacing="0" w:after="120" w:afterLines="50" w:afterAutospacing="0" w:line="360" w:lineRule="auto"/>
              <w:jc w:val="center"/>
              <w:rPr>
                <w:rFonts w:hint="eastAsia"/>
                <w:szCs w:val="24"/>
              </w:rPr>
            </w:pPr>
            <w:r>
              <w:rPr>
                <w:rFonts w:hint="eastAsia"/>
                <w:szCs w:val="24"/>
              </w:rPr>
              <w:t>按竞争性磋商文件要求</w:t>
            </w:r>
          </w:p>
        </w:tc>
      </w:tr>
      <w:tr w14:paraId="59B96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856" w:type="dxa"/>
            <w:vMerge w:val="restart"/>
            <w:vAlign w:val="center"/>
          </w:tcPr>
          <w:p w14:paraId="2EEE27D4">
            <w:pPr>
              <w:pStyle w:val="42"/>
              <w:spacing w:before="120" w:beforeLines="50" w:beforeAutospacing="0" w:after="120" w:afterLines="50" w:afterAutospacing="0" w:line="360" w:lineRule="auto"/>
              <w:jc w:val="center"/>
              <w:rPr>
                <w:rFonts w:hint="eastAsia"/>
                <w:szCs w:val="24"/>
              </w:rPr>
            </w:pPr>
            <w:r>
              <w:rPr>
                <w:rFonts w:hint="eastAsia"/>
                <w:szCs w:val="24"/>
              </w:rPr>
              <w:t>响应总报价</w:t>
            </w:r>
          </w:p>
        </w:tc>
        <w:tc>
          <w:tcPr>
            <w:tcW w:w="6306" w:type="dxa"/>
            <w:gridSpan w:val="6"/>
          </w:tcPr>
          <w:p w14:paraId="017AA931">
            <w:pPr>
              <w:pStyle w:val="42"/>
              <w:spacing w:before="120" w:beforeLines="50" w:beforeAutospacing="0" w:after="120" w:afterLines="50" w:afterAutospacing="0" w:line="360" w:lineRule="auto"/>
              <w:rPr>
                <w:rFonts w:hint="eastAsia"/>
                <w:szCs w:val="24"/>
              </w:rPr>
            </w:pPr>
            <w:r>
              <w:rPr>
                <w:rFonts w:hint="eastAsia"/>
                <w:szCs w:val="24"/>
              </w:rPr>
              <w:t>大写：</w:t>
            </w:r>
          </w:p>
        </w:tc>
      </w:tr>
      <w:tr w14:paraId="25733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856" w:type="dxa"/>
            <w:vMerge w:val="continue"/>
            <w:vAlign w:val="center"/>
          </w:tcPr>
          <w:p w14:paraId="37BC607F">
            <w:pPr>
              <w:pStyle w:val="42"/>
              <w:spacing w:before="120" w:beforeLines="50" w:beforeAutospacing="0" w:after="120" w:afterLines="50" w:afterAutospacing="0" w:line="360" w:lineRule="auto"/>
              <w:jc w:val="center"/>
              <w:rPr>
                <w:rFonts w:hint="eastAsia"/>
                <w:szCs w:val="24"/>
              </w:rPr>
            </w:pPr>
          </w:p>
        </w:tc>
        <w:tc>
          <w:tcPr>
            <w:tcW w:w="6306" w:type="dxa"/>
            <w:gridSpan w:val="6"/>
          </w:tcPr>
          <w:p w14:paraId="50CEB7EF">
            <w:pPr>
              <w:pStyle w:val="42"/>
              <w:spacing w:before="120" w:beforeLines="50" w:beforeAutospacing="0" w:after="120" w:afterLines="50" w:afterAutospacing="0" w:line="360" w:lineRule="auto"/>
              <w:rPr>
                <w:rFonts w:hint="eastAsia"/>
                <w:szCs w:val="24"/>
              </w:rPr>
            </w:pPr>
            <w:r>
              <w:rPr>
                <w:rFonts w:hint="eastAsia"/>
                <w:szCs w:val="24"/>
              </w:rPr>
              <w:t>小写：</w:t>
            </w:r>
          </w:p>
        </w:tc>
      </w:tr>
      <w:tr w14:paraId="7D3B8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856" w:type="dxa"/>
            <w:vAlign w:val="center"/>
          </w:tcPr>
          <w:p w14:paraId="500AFED0">
            <w:pPr>
              <w:pStyle w:val="42"/>
              <w:spacing w:before="120" w:beforeLines="50" w:beforeAutospacing="0" w:after="120" w:afterLines="50" w:afterAutospacing="0" w:line="360" w:lineRule="auto"/>
              <w:jc w:val="center"/>
              <w:rPr>
                <w:rFonts w:hint="eastAsia"/>
                <w:szCs w:val="24"/>
              </w:rPr>
            </w:pPr>
            <w:r>
              <w:rPr>
                <w:rFonts w:hint="eastAsia"/>
                <w:szCs w:val="24"/>
              </w:rPr>
              <w:t>质量要求</w:t>
            </w:r>
          </w:p>
        </w:tc>
        <w:tc>
          <w:tcPr>
            <w:tcW w:w="6306" w:type="dxa"/>
            <w:gridSpan w:val="6"/>
          </w:tcPr>
          <w:p w14:paraId="50DE5A50">
            <w:pPr>
              <w:pStyle w:val="42"/>
              <w:spacing w:before="120" w:beforeLines="50" w:beforeAutospacing="0" w:after="120" w:afterLines="50" w:afterAutospacing="0" w:line="360" w:lineRule="auto"/>
              <w:rPr>
                <w:rFonts w:hint="eastAsia"/>
                <w:szCs w:val="24"/>
              </w:rPr>
            </w:pPr>
          </w:p>
        </w:tc>
      </w:tr>
      <w:tr w14:paraId="058DB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856" w:type="dxa"/>
            <w:vAlign w:val="center"/>
          </w:tcPr>
          <w:p w14:paraId="6F9E1BFC">
            <w:pPr>
              <w:spacing w:line="360" w:lineRule="auto"/>
              <w:jc w:val="center"/>
              <w:rPr>
                <w:rFonts w:hint="eastAsia" w:ascii="宋体" w:hAnsi="宋体"/>
                <w:sz w:val="24"/>
              </w:rPr>
            </w:pPr>
            <w:r>
              <w:rPr>
                <w:rFonts w:hint="eastAsia" w:ascii="宋体" w:hAnsi="宋体"/>
                <w:sz w:val="24"/>
              </w:rPr>
              <w:t>工期</w:t>
            </w:r>
          </w:p>
        </w:tc>
        <w:tc>
          <w:tcPr>
            <w:tcW w:w="6306" w:type="dxa"/>
            <w:gridSpan w:val="6"/>
            <w:vAlign w:val="center"/>
          </w:tcPr>
          <w:p w14:paraId="1FA484F7">
            <w:pPr>
              <w:pStyle w:val="42"/>
              <w:spacing w:before="120" w:beforeLines="50" w:beforeAutospacing="0" w:after="120" w:afterLines="50" w:afterAutospacing="0" w:line="360" w:lineRule="auto"/>
              <w:rPr>
                <w:rFonts w:hint="eastAsia"/>
                <w:szCs w:val="24"/>
              </w:rPr>
            </w:pPr>
          </w:p>
        </w:tc>
      </w:tr>
      <w:tr w14:paraId="246CE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856" w:type="dxa"/>
            <w:vAlign w:val="center"/>
          </w:tcPr>
          <w:p w14:paraId="290A499D">
            <w:pPr>
              <w:spacing w:line="360" w:lineRule="auto"/>
              <w:jc w:val="center"/>
              <w:rPr>
                <w:rFonts w:hint="eastAsia" w:ascii="宋体" w:hAnsi="宋体"/>
                <w:sz w:val="24"/>
              </w:rPr>
            </w:pPr>
            <w:r>
              <w:rPr>
                <w:rFonts w:hint="eastAsia" w:ascii="宋体" w:hAnsi="宋体"/>
                <w:sz w:val="24"/>
              </w:rPr>
              <w:t>缺陷责任期</w:t>
            </w:r>
          </w:p>
        </w:tc>
        <w:tc>
          <w:tcPr>
            <w:tcW w:w="6306" w:type="dxa"/>
            <w:gridSpan w:val="6"/>
            <w:vAlign w:val="center"/>
          </w:tcPr>
          <w:p w14:paraId="0AB6DDEF">
            <w:pPr>
              <w:pStyle w:val="42"/>
              <w:spacing w:before="120" w:beforeLines="50" w:beforeAutospacing="0" w:after="120" w:afterLines="50" w:afterAutospacing="0" w:line="360" w:lineRule="auto"/>
              <w:rPr>
                <w:rFonts w:hint="eastAsia"/>
                <w:szCs w:val="24"/>
              </w:rPr>
            </w:pPr>
          </w:p>
        </w:tc>
      </w:tr>
      <w:tr w14:paraId="6389E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856" w:type="dxa"/>
            <w:vAlign w:val="center"/>
          </w:tcPr>
          <w:p w14:paraId="001D9158">
            <w:pPr>
              <w:pStyle w:val="42"/>
              <w:spacing w:before="120" w:beforeLines="50" w:beforeAutospacing="0" w:after="120" w:afterLines="50" w:afterAutospacing="0" w:line="360" w:lineRule="auto"/>
              <w:jc w:val="center"/>
              <w:rPr>
                <w:rFonts w:hint="eastAsia"/>
                <w:szCs w:val="24"/>
              </w:rPr>
            </w:pPr>
            <w:r>
              <w:rPr>
                <w:rFonts w:hint="eastAsia"/>
                <w:szCs w:val="24"/>
              </w:rPr>
              <w:t>付款方式</w:t>
            </w:r>
          </w:p>
        </w:tc>
        <w:tc>
          <w:tcPr>
            <w:tcW w:w="6306" w:type="dxa"/>
            <w:gridSpan w:val="6"/>
            <w:vAlign w:val="center"/>
          </w:tcPr>
          <w:p w14:paraId="095D837C">
            <w:pPr>
              <w:pStyle w:val="42"/>
              <w:spacing w:before="120" w:beforeLines="50" w:beforeAutospacing="0" w:after="120" w:afterLines="50" w:afterAutospacing="0" w:line="360" w:lineRule="auto"/>
              <w:rPr>
                <w:rFonts w:hint="eastAsia"/>
                <w:szCs w:val="24"/>
              </w:rPr>
            </w:pPr>
          </w:p>
        </w:tc>
      </w:tr>
      <w:tr w14:paraId="0E691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856" w:type="dxa"/>
            <w:vAlign w:val="center"/>
          </w:tcPr>
          <w:p w14:paraId="3D679FAD">
            <w:pPr>
              <w:pStyle w:val="42"/>
              <w:spacing w:before="120" w:beforeLines="50" w:beforeAutospacing="0" w:after="120" w:afterLines="50" w:afterAutospacing="0" w:line="360" w:lineRule="auto"/>
              <w:jc w:val="center"/>
              <w:rPr>
                <w:rFonts w:hint="eastAsia"/>
                <w:szCs w:val="24"/>
              </w:rPr>
            </w:pPr>
            <w:r>
              <w:rPr>
                <w:rFonts w:hint="eastAsia"/>
                <w:szCs w:val="24"/>
              </w:rPr>
              <w:t>响应文件有效期</w:t>
            </w:r>
          </w:p>
        </w:tc>
        <w:tc>
          <w:tcPr>
            <w:tcW w:w="6306" w:type="dxa"/>
            <w:gridSpan w:val="6"/>
            <w:vAlign w:val="center"/>
          </w:tcPr>
          <w:p w14:paraId="4B6575E8">
            <w:pPr>
              <w:pStyle w:val="42"/>
              <w:spacing w:before="120" w:beforeLines="50" w:beforeAutospacing="0" w:after="120" w:afterLines="50" w:afterAutospacing="0" w:line="360" w:lineRule="auto"/>
              <w:rPr>
                <w:rFonts w:hint="eastAsia"/>
                <w:szCs w:val="24"/>
              </w:rPr>
            </w:pPr>
          </w:p>
        </w:tc>
      </w:tr>
      <w:tr w14:paraId="32F90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856" w:type="dxa"/>
            <w:vAlign w:val="center"/>
          </w:tcPr>
          <w:p w14:paraId="70E764EC">
            <w:pPr>
              <w:pStyle w:val="42"/>
              <w:spacing w:before="120" w:beforeLines="50" w:beforeAutospacing="0" w:after="120" w:afterLines="50" w:afterAutospacing="0" w:line="360" w:lineRule="auto"/>
              <w:jc w:val="center"/>
              <w:rPr>
                <w:rFonts w:hint="eastAsia"/>
                <w:szCs w:val="24"/>
              </w:rPr>
            </w:pPr>
            <w:r>
              <w:rPr>
                <w:rFonts w:hint="eastAsia"/>
                <w:szCs w:val="24"/>
              </w:rPr>
              <w:t>项目经理</w:t>
            </w:r>
          </w:p>
        </w:tc>
        <w:tc>
          <w:tcPr>
            <w:tcW w:w="725" w:type="dxa"/>
            <w:vAlign w:val="center"/>
          </w:tcPr>
          <w:p w14:paraId="7817B681">
            <w:pPr>
              <w:pStyle w:val="42"/>
              <w:spacing w:before="120" w:beforeLines="50" w:beforeAutospacing="0" w:after="120" w:afterLines="50" w:afterAutospacing="0" w:line="360" w:lineRule="auto"/>
              <w:rPr>
                <w:rFonts w:hint="eastAsia"/>
                <w:szCs w:val="24"/>
              </w:rPr>
            </w:pPr>
            <w:r>
              <w:rPr>
                <w:rFonts w:hint="eastAsia"/>
                <w:szCs w:val="24"/>
              </w:rPr>
              <w:t>姓名</w:t>
            </w:r>
          </w:p>
        </w:tc>
        <w:tc>
          <w:tcPr>
            <w:tcW w:w="1276" w:type="dxa"/>
            <w:vAlign w:val="center"/>
          </w:tcPr>
          <w:p w14:paraId="40C16DF9">
            <w:pPr>
              <w:pStyle w:val="42"/>
              <w:spacing w:before="120" w:beforeLines="50" w:beforeAutospacing="0" w:after="120" w:afterLines="50" w:afterAutospacing="0" w:line="360" w:lineRule="auto"/>
              <w:rPr>
                <w:rFonts w:hint="eastAsia"/>
                <w:szCs w:val="24"/>
              </w:rPr>
            </w:pPr>
          </w:p>
        </w:tc>
        <w:tc>
          <w:tcPr>
            <w:tcW w:w="1275" w:type="dxa"/>
            <w:vAlign w:val="center"/>
          </w:tcPr>
          <w:p w14:paraId="57A4ADB7">
            <w:pPr>
              <w:spacing w:line="360" w:lineRule="auto"/>
              <w:rPr>
                <w:rFonts w:hint="eastAsia" w:ascii="宋体" w:hAnsi="宋体"/>
                <w:sz w:val="24"/>
              </w:rPr>
            </w:pPr>
            <w:r>
              <w:rPr>
                <w:rFonts w:hint="eastAsia" w:ascii="宋体" w:hAnsi="宋体"/>
                <w:sz w:val="24"/>
              </w:rPr>
              <w:t>职业资格</w:t>
            </w:r>
          </w:p>
        </w:tc>
        <w:tc>
          <w:tcPr>
            <w:tcW w:w="870" w:type="dxa"/>
            <w:vAlign w:val="center"/>
          </w:tcPr>
          <w:p w14:paraId="63A93186">
            <w:pPr>
              <w:pStyle w:val="42"/>
              <w:spacing w:before="120" w:beforeLines="50" w:beforeAutospacing="0" w:after="120" w:afterLines="50" w:afterAutospacing="0" w:line="360" w:lineRule="auto"/>
              <w:rPr>
                <w:rFonts w:hint="eastAsia"/>
                <w:szCs w:val="24"/>
              </w:rPr>
            </w:pPr>
          </w:p>
        </w:tc>
        <w:tc>
          <w:tcPr>
            <w:tcW w:w="790" w:type="dxa"/>
            <w:vAlign w:val="center"/>
          </w:tcPr>
          <w:p w14:paraId="6CDDDF08">
            <w:pPr>
              <w:pStyle w:val="42"/>
              <w:spacing w:before="120" w:beforeLines="50" w:beforeAutospacing="0" w:after="120" w:afterLines="50" w:afterAutospacing="0" w:line="360" w:lineRule="auto"/>
              <w:rPr>
                <w:rFonts w:hint="eastAsia"/>
                <w:szCs w:val="24"/>
              </w:rPr>
            </w:pPr>
            <w:r>
              <w:rPr>
                <w:rFonts w:hint="eastAsia"/>
                <w:szCs w:val="24"/>
              </w:rPr>
              <w:t>编号</w:t>
            </w:r>
          </w:p>
        </w:tc>
        <w:tc>
          <w:tcPr>
            <w:tcW w:w="1370" w:type="dxa"/>
            <w:vAlign w:val="center"/>
          </w:tcPr>
          <w:p w14:paraId="16C231B1">
            <w:pPr>
              <w:pStyle w:val="42"/>
              <w:spacing w:before="120" w:beforeLines="50" w:beforeAutospacing="0" w:after="120" w:afterLines="50" w:afterAutospacing="0" w:line="360" w:lineRule="auto"/>
              <w:rPr>
                <w:rFonts w:hint="eastAsia"/>
                <w:szCs w:val="24"/>
              </w:rPr>
            </w:pPr>
          </w:p>
        </w:tc>
      </w:tr>
      <w:tr w14:paraId="43161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856" w:type="dxa"/>
          </w:tcPr>
          <w:p w14:paraId="16ED4D50">
            <w:pPr>
              <w:pStyle w:val="42"/>
              <w:spacing w:before="120" w:beforeLines="50" w:beforeAutospacing="0" w:after="120" w:afterLines="50" w:afterAutospacing="0" w:line="360" w:lineRule="auto"/>
              <w:jc w:val="center"/>
              <w:rPr>
                <w:rFonts w:hint="eastAsia"/>
                <w:szCs w:val="24"/>
              </w:rPr>
            </w:pPr>
            <w:r>
              <w:rPr>
                <w:rFonts w:hint="eastAsia"/>
                <w:szCs w:val="24"/>
              </w:rPr>
              <w:t>其他声明</w:t>
            </w:r>
          </w:p>
        </w:tc>
        <w:tc>
          <w:tcPr>
            <w:tcW w:w="6306" w:type="dxa"/>
            <w:gridSpan w:val="6"/>
          </w:tcPr>
          <w:p w14:paraId="28BBAE2F">
            <w:pPr>
              <w:pStyle w:val="42"/>
              <w:spacing w:before="120" w:beforeLines="50" w:beforeAutospacing="0" w:after="120" w:afterLines="50" w:afterAutospacing="0" w:line="360" w:lineRule="auto"/>
              <w:rPr>
                <w:rFonts w:hint="eastAsia"/>
                <w:szCs w:val="24"/>
              </w:rPr>
            </w:pPr>
          </w:p>
        </w:tc>
      </w:tr>
      <w:bookmarkEnd w:id="734"/>
    </w:tbl>
    <w:p w14:paraId="425B3172">
      <w:pPr>
        <w:wordWrap w:val="0"/>
        <w:autoSpaceDE w:val="0"/>
        <w:autoSpaceDN w:val="0"/>
        <w:adjustRightInd w:val="0"/>
        <w:spacing w:line="420" w:lineRule="exact"/>
        <w:ind w:firstLine="359" w:firstLineChars="171"/>
        <w:jc w:val="left"/>
        <w:rPr>
          <w:rFonts w:cs="仿宋_GB2312"/>
          <w:kern w:val="0"/>
        </w:rPr>
      </w:pPr>
    </w:p>
    <w:p w14:paraId="3F84C7DE">
      <w:pPr>
        <w:wordWrap w:val="0"/>
        <w:autoSpaceDE w:val="0"/>
        <w:autoSpaceDN w:val="0"/>
        <w:adjustRightInd w:val="0"/>
        <w:spacing w:line="420" w:lineRule="exact"/>
        <w:jc w:val="left"/>
        <w:rPr>
          <w:rFonts w:hint="eastAsia" w:ascii="宋体" w:hAnsi="宋体" w:cs="仿宋_GB2312"/>
          <w:kern w:val="0"/>
          <w:sz w:val="24"/>
        </w:rPr>
      </w:pPr>
      <w:r>
        <w:rPr>
          <w:rFonts w:hint="eastAsia" w:ascii="宋体" w:hAnsi="宋体"/>
          <w:sz w:val="24"/>
        </w:rPr>
        <w:t>说明：此表中，响应总价应和已标价工程量清单的总价相一致。</w:t>
      </w:r>
    </w:p>
    <w:p w14:paraId="63F4673D">
      <w:pPr>
        <w:wordWrap w:val="0"/>
        <w:autoSpaceDE w:val="0"/>
        <w:autoSpaceDN w:val="0"/>
        <w:adjustRightInd w:val="0"/>
        <w:spacing w:line="420" w:lineRule="exact"/>
        <w:ind w:firstLine="410" w:firstLineChars="171"/>
        <w:jc w:val="left"/>
        <w:rPr>
          <w:rFonts w:hint="eastAsia" w:ascii="宋体" w:hAnsi="宋体" w:cs="宋体"/>
          <w:kern w:val="0"/>
          <w:sz w:val="24"/>
        </w:rPr>
      </w:pPr>
    </w:p>
    <w:p w14:paraId="322975F7">
      <w:pPr>
        <w:wordWrap w:val="0"/>
        <w:spacing w:line="360" w:lineRule="auto"/>
        <w:ind w:firstLine="2"/>
        <w:rPr>
          <w:rFonts w:hint="eastAsia" w:ascii="宋体" w:hAnsi="宋体" w:cs="宋体"/>
          <w:sz w:val="24"/>
        </w:rPr>
      </w:pPr>
      <w:r>
        <w:rPr>
          <w:rFonts w:hint="eastAsia" w:ascii="宋体" w:hAnsi="宋体" w:cs="宋体"/>
          <w:sz w:val="24"/>
        </w:rPr>
        <w:t>供应商：</w:t>
      </w:r>
      <w:r>
        <w:rPr>
          <w:rFonts w:hint="eastAsia" w:ascii="宋体" w:hAnsi="宋体" w:cs="宋体"/>
          <w:sz w:val="24"/>
          <w:u w:val="single"/>
        </w:rPr>
        <w:t xml:space="preserve">                            </w:t>
      </w:r>
      <w:r>
        <w:rPr>
          <w:rFonts w:hint="eastAsia" w:ascii="宋体" w:hAnsi="宋体" w:cs="宋体"/>
          <w:sz w:val="24"/>
        </w:rPr>
        <w:t>（加盖单位公章）</w:t>
      </w:r>
    </w:p>
    <w:p w14:paraId="7B9F404C">
      <w:pPr>
        <w:wordWrap w:val="0"/>
        <w:spacing w:line="360" w:lineRule="auto"/>
        <w:ind w:left="14" w:hanging="14"/>
        <w:rPr>
          <w:rFonts w:hint="eastAsia" w:ascii="宋体" w:hAnsi="宋体" w:cs="宋体"/>
          <w:sz w:val="24"/>
        </w:rPr>
      </w:pPr>
      <w:r>
        <w:rPr>
          <w:rFonts w:hint="eastAsia" w:ascii="宋体" w:hAnsi="宋体" w:cs="宋体"/>
          <w:sz w:val="24"/>
        </w:rPr>
        <w:t>法定代表人或负责人或委托代理人：</w:t>
      </w:r>
      <w:r>
        <w:rPr>
          <w:rFonts w:hint="eastAsia" w:ascii="宋体" w:hAnsi="宋体" w:cs="宋体"/>
          <w:sz w:val="24"/>
          <w:u w:val="single"/>
        </w:rPr>
        <w:t xml:space="preserve">             </w:t>
      </w:r>
      <w:r>
        <w:rPr>
          <w:rFonts w:hint="eastAsia" w:ascii="宋体" w:hAnsi="宋体" w:cs="宋体"/>
          <w:sz w:val="24"/>
        </w:rPr>
        <w:t>（签字或加盖个人章）</w:t>
      </w:r>
    </w:p>
    <w:p w14:paraId="27728CF6">
      <w:pPr>
        <w:wordWrap w:val="0"/>
        <w:spacing w:line="360" w:lineRule="auto"/>
        <w:rPr>
          <w:rFonts w:hint="eastAsia" w:ascii="宋体" w:hAnsi="宋体" w:cs="宋体"/>
          <w:sz w:val="24"/>
        </w:rPr>
      </w:pPr>
      <w:r>
        <w:rPr>
          <w:rFonts w:hint="eastAsia" w:ascii="宋体" w:hAnsi="宋体" w:cs="宋体"/>
          <w:kern w:val="0"/>
          <w:sz w:val="24"/>
        </w:rPr>
        <w:t>日    期：     年    月    日</w:t>
      </w:r>
    </w:p>
    <w:p w14:paraId="70967BD3">
      <w:pPr>
        <w:wordWrap w:val="0"/>
        <w:rPr>
          <w:rFonts w:hint="eastAsia" w:ascii="宋体" w:hAnsi="宋体"/>
          <w:sz w:val="24"/>
        </w:rPr>
      </w:pPr>
      <w:r>
        <w:rPr>
          <w:rFonts w:hint="eastAsia"/>
        </w:rPr>
        <w:br w:type="page"/>
      </w:r>
    </w:p>
    <w:p w14:paraId="58195246">
      <w:pPr>
        <w:pStyle w:val="7"/>
        <w:widowControl/>
        <w:wordWrap w:val="0"/>
        <w:jc w:val="center"/>
        <w:rPr>
          <w:rFonts w:hint="eastAsia" w:ascii="黑体" w:hAnsi="黑体"/>
          <w:sz w:val="24"/>
        </w:rPr>
      </w:pPr>
      <w:bookmarkStart w:id="735" w:name="_Toc26767"/>
      <w:bookmarkStart w:id="736" w:name="_Toc31280"/>
      <w:bookmarkStart w:id="737" w:name="_Toc98"/>
      <w:bookmarkStart w:id="738" w:name="_Toc29144"/>
      <w:r>
        <w:rPr>
          <w:rFonts w:hint="eastAsia" w:ascii="黑体" w:hAnsi="黑体" w:cs="黑体"/>
          <w:b w:val="0"/>
          <w:bCs w:val="0"/>
          <w:kern w:val="0"/>
          <w:sz w:val="28"/>
          <w:szCs w:val="28"/>
        </w:rPr>
        <w:t>6.</w:t>
      </w:r>
      <w:bookmarkEnd w:id="735"/>
      <w:bookmarkEnd w:id="736"/>
      <w:bookmarkEnd w:id="737"/>
      <w:r>
        <w:rPr>
          <w:rFonts w:hint="eastAsia" w:ascii="黑体" w:hAnsi="黑体" w:cs="黑体"/>
          <w:b w:val="0"/>
          <w:bCs w:val="0"/>
          <w:kern w:val="0"/>
          <w:sz w:val="28"/>
          <w:szCs w:val="28"/>
        </w:rPr>
        <w:t>已标价工程量清单</w:t>
      </w:r>
      <w:bookmarkEnd w:id="738"/>
    </w:p>
    <w:p w14:paraId="5E7634C0">
      <w:pPr>
        <w:wordWrap w:val="0"/>
        <w:spacing w:line="360" w:lineRule="auto"/>
        <w:rPr>
          <w:rFonts w:hint="eastAsia" w:ascii="宋体" w:hAnsi="宋体"/>
          <w:sz w:val="24"/>
        </w:rPr>
      </w:pPr>
      <w:bookmarkStart w:id="739" w:name="_Toc33634382"/>
      <w:r>
        <w:rPr>
          <w:rFonts w:hint="eastAsia" w:ascii="宋体" w:hAnsi="宋体"/>
          <w:sz w:val="24"/>
        </w:rPr>
        <w:t>备注：已标价工程量清单按采购人发布的“工程量清单”中的相关清单表格格式及《建设工程工程量清单计价标准》（GB/T50500—2024）要求填写。</w:t>
      </w:r>
    </w:p>
    <w:p w14:paraId="77D2841C">
      <w:pPr>
        <w:pStyle w:val="26"/>
        <w:tabs>
          <w:tab w:val="left" w:pos="5370"/>
        </w:tabs>
        <w:wordWrap w:val="0"/>
        <w:spacing w:line="360" w:lineRule="auto"/>
        <w:ind w:left="1080" w:leftChars="257" w:hanging="540"/>
        <w:rPr>
          <w:rFonts w:hint="eastAsia" w:hAnsi="宋体"/>
          <w:sz w:val="24"/>
        </w:rPr>
      </w:pPr>
    </w:p>
    <w:p w14:paraId="6223289F">
      <w:pPr>
        <w:pStyle w:val="26"/>
        <w:tabs>
          <w:tab w:val="left" w:pos="5370"/>
        </w:tabs>
        <w:wordWrap w:val="0"/>
        <w:spacing w:line="360" w:lineRule="auto"/>
        <w:ind w:left="1080" w:leftChars="257" w:hanging="540"/>
        <w:rPr>
          <w:rFonts w:hint="eastAsia" w:hAnsi="宋体"/>
          <w:sz w:val="24"/>
        </w:rPr>
      </w:pPr>
    </w:p>
    <w:p w14:paraId="79DA3EBD">
      <w:pPr>
        <w:pStyle w:val="26"/>
        <w:tabs>
          <w:tab w:val="left" w:pos="5370"/>
        </w:tabs>
        <w:wordWrap w:val="0"/>
        <w:spacing w:line="360" w:lineRule="auto"/>
        <w:ind w:left="1080" w:leftChars="257" w:hanging="540"/>
        <w:rPr>
          <w:rFonts w:hint="eastAsia" w:hAnsi="宋体"/>
          <w:sz w:val="24"/>
        </w:rPr>
      </w:pPr>
    </w:p>
    <w:p w14:paraId="44A5D6D7">
      <w:pPr>
        <w:pStyle w:val="26"/>
        <w:tabs>
          <w:tab w:val="left" w:pos="5370"/>
        </w:tabs>
        <w:wordWrap w:val="0"/>
        <w:spacing w:line="360" w:lineRule="auto"/>
        <w:ind w:left="1080" w:leftChars="257" w:hanging="540"/>
        <w:rPr>
          <w:rFonts w:hint="eastAsia" w:hAnsi="宋体"/>
          <w:sz w:val="24"/>
        </w:rPr>
      </w:pPr>
    </w:p>
    <w:p w14:paraId="292FCB73">
      <w:pPr>
        <w:pStyle w:val="26"/>
        <w:tabs>
          <w:tab w:val="left" w:pos="5370"/>
        </w:tabs>
        <w:wordWrap w:val="0"/>
        <w:spacing w:line="360" w:lineRule="auto"/>
        <w:ind w:left="1080" w:leftChars="257" w:hanging="540"/>
        <w:rPr>
          <w:rFonts w:hint="eastAsia" w:hAnsi="宋体"/>
          <w:sz w:val="24"/>
        </w:rPr>
      </w:pPr>
    </w:p>
    <w:p w14:paraId="299CD059">
      <w:pPr>
        <w:pStyle w:val="26"/>
        <w:tabs>
          <w:tab w:val="left" w:pos="5370"/>
        </w:tabs>
        <w:wordWrap w:val="0"/>
        <w:spacing w:line="360" w:lineRule="auto"/>
        <w:ind w:left="1080" w:leftChars="257" w:hanging="540"/>
        <w:rPr>
          <w:rFonts w:hint="eastAsia" w:hAnsi="宋体"/>
          <w:sz w:val="24"/>
        </w:rPr>
      </w:pPr>
    </w:p>
    <w:bookmarkEnd w:id="739"/>
    <w:p w14:paraId="7FF1AA70">
      <w:pPr>
        <w:rPr>
          <w:rFonts w:hint="eastAsia" w:ascii="黑体" w:hAnsi="黑体" w:cs="黑体"/>
          <w:kern w:val="0"/>
          <w:sz w:val="28"/>
          <w:szCs w:val="28"/>
        </w:rPr>
      </w:pPr>
      <w:bookmarkStart w:id="740" w:name="_Toc17187"/>
      <w:bookmarkStart w:id="741" w:name="_Toc216582818"/>
      <w:bookmarkStart w:id="742" w:name="_Toc23792"/>
      <w:bookmarkStart w:id="743" w:name="_Toc22384"/>
      <w:bookmarkStart w:id="744" w:name="_Toc15048350"/>
      <w:bookmarkStart w:id="745" w:name="_Toc532473510"/>
      <w:bookmarkStart w:id="746" w:name="_Toc515647821"/>
      <w:bookmarkStart w:id="747" w:name="_Toc23"/>
      <w:bookmarkStart w:id="748" w:name="_Toc1980"/>
      <w:r>
        <w:rPr>
          <w:rFonts w:hint="eastAsia" w:ascii="黑体" w:hAnsi="黑体" w:cs="黑体"/>
          <w:kern w:val="0"/>
          <w:sz w:val="28"/>
          <w:szCs w:val="28"/>
        </w:rPr>
        <w:br w:type="page"/>
      </w:r>
    </w:p>
    <w:p w14:paraId="75248F28">
      <w:pPr>
        <w:pStyle w:val="7"/>
        <w:widowControl/>
        <w:wordWrap w:val="0"/>
        <w:jc w:val="center"/>
        <w:rPr>
          <w:rFonts w:hint="eastAsia" w:ascii="宋体" w:hAnsi="宋体" w:eastAsia="宋体"/>
          <w:sz w:val="24"/>
        </w:rPr>
      </w:pPr>
      <w:bookmarkStart w:id="749" w:name="_Toc31726"/>
      <w:r>
        <w:rPr>
          <w:rFonts w:hint="eastAsia" w:ascii="黑体" w:hAnsi="黑体" w:cs="黑体"/>
          <w:b w:val="0"/>
          <w:bCs w:val="0"/>
          <w:kern w:val="0"/>
          <w:sz w:val="28"/>
          <w:szCs w:val="28"/>
        </w:rPr>
        <w:t>7.商务条款偏离表</w:t>
      </w:r>
      <w:bookmarkEnd w:id="740"/>
      <w:bookmarkEnd w:id="741"/>
      <w:bookmarkEnd w:id="742"/>
      <w:bookmarkEnd w:id="743"/>
      <w:bookmarkEnd w:id="744"/>
      <w:bookmarkEnd w:id="749"/>
    </w:p>
    <w:bookmarkEnd w:id="745"/>
    <w:bookmarkEnd w:id="746"/>
    <w:bookmarkEnd w:id="747"/>
    <w:bookmarkEnd w:id="748"/>
    <w:p w14:paraId="1694F722">
      <w:pPr>
        <w:pStyle w:val="26"/>
        <w:wordWrap w:val="0"/>
        <w:spacing w:line="360" w:lineRule="auto"/>
        <w:ind w:left="1080" w:leftChars="257" w:hanging="540"/>
        <w:rPr>
          <w:rFonts w:hint="eastAsia" w:hAnsi="宋体"/>
          <w:b/>
          <w:kern w:val="0"/>
          <w:sz w:val="24"/>
        </w:rPr>
      </w:pPr>
    </w:p>
    <w:p w14:paraId="6BD981BB">
      <w:pPr>
        <w:pStyle w:val="26"/>
        <w:wordWrap w:val="0"/>
        <w:spacing w:line="360" w:lineRule="auto"/>
        <w:rPr>
          <w:rFonts w:hint="eastAsia" w:hAnsi="宋体"/>
          <w:sz w:val="24"/>
          <w:szCs w:val="24"/>
        </w:rPr>
      </w:pPr>
      <w:r>
        <w:rPr>
          <w:rFonts w:hint="eastAsia" w:hAnsi="宋体"/>
          <w:sz w:val="24"/>
          <w:szCs w:val="24"/>
        </w:rPr>
        <w:t>项目名称：</w:t>
      </w:r>
      <w:r>
        <w:rPr>
          <w:rFonts w:hAnsi="宋体"/>
          <w:sz w:val="24"/>
          <w:szCs w:val="24"/>
        </w:rPr>
        <w:t xml:space="preserve">                                  </w:t>
      </w:r>
      <w:r>
        <w:rPr>
          <w:rFonts w:hint="eastAsia" w:hAnsi="宋体"/>
          <w:sz w:val="24"/>
          <w:szCs w:val="24"/>
        </w:rPr>
        <w:t>项目编号：</w:t>
      </w:r>
    </w:p>
    <w:tbl>
      <w:tblPr>
        <w:tblStyle w:val="47"/>
        <w:tblW w:w="930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72"/>
        <w:gridCol w:w="2377"/>
        <w:gridCol w:w="1993"/>
        <w:gridCol w:w="2081"/>
        <w:gridCol w:w="1332"/>
        <w:gridCol w:w="746"/>
      </w:tblGrid>
      <w:tr w14:paraId="52063F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772" w:type="dxa"/>
            <w:vAlign w:val="center"/>
          </w:tcPr>
          <w:p w14:paraId="1252CD7C">
            <w:pPr>
              <w:wordWrap w:val="0"/>
              <w:spacing w:line="360" w:lineRule="auto"/>
              <w:jc w:val="center"/>
              <w:rPr>
                <w:rFonts w:hint="eastAsia" w:hAnsi="宋体"/>
                <w:sz w:val="24"/>
              </w:rPr>
            </w:pPr>
            <w:r>
              <w:rPr>
                <w:rFonts w:hint="eastAsia" w:hAnsi="宋体"/>
                <w:sz w:val="24"/>
              </w:rPr>
              <w:t>序号</w:t>
            </w:r>
          </w:p>
        </w:tc>
        <w:tc>
          <w:tcPr>
            <w:tcW w:w="2377" w:type="dxa"/>
            <w:vAlign w:val="center"/>
          </w:tcPr>
          <w:p w14:paraId="0DA1CCEA">
            <w:pPr>
              <w:wordWrap w:val="0"/>
              <w:spacing w:line="360" w:lineRule="auto"/>
              <w:jc w:val="center"/>
              <w:rPr>
                <w:rFonts w:hint="eastAsia" w:hAnsi="宋体"/>
                <w:sz w:val="24"/>
              </w:rPr>
            </w:pPr>
            <w:r>
              <w:rPr>
                <w:rFonts w:hint="eastAsia" w:hAnsi="宋体"/>
                <w:sz w:val="24"/>
              </w:rPr>
              <w:t>竞争性磋商文件条款</w:t>
            </w:r>
          </w:p>
        </w:tc>
        <w:tc>
          <w:tcPr>
            <w:tcW w:w="1993" w:type="dxa"/>
            <w:vAlign w:val="center"/>
          </w:tcPr>
          <w:p w14:paraId="133EEFB2">
            <w:pPr>
              <w:pStyle w:val="26"/>
              <w:wordWrap w:val="0"/>
              <w:spacing w:line="360" w:lineRule="auto"/>
              <w:jc w:val="center"/>
              <w:rPr>
                <w:rFonts w:hint="eastAsia" w:hAnsi="宋体"/>
                <w:sz w:val="24"/>
                <w:szCs w:val="24"/>
              </w:rPr>
            </w:pPr>
            <w:r>
              <w:rPr>
                <w:rFonts w:hint="eastAsia" w:hAnsi="宋体"/>
                <w:sz w:val="24"/>
              </w:rPr>
              <w:t>竞争性磋商</w:t>
            </w:r>
            <w:r>
              <w:rPr>
                <w:rFonts w:hint="eastAsia" w:hAnsi="宋体"/>
                <w:sz w:val="24"/>
                <w:szCs w:val="24"/>
              </w:rPr>
              <w:t>文件的商务条款要求</w:t>
            </w:r>
          </w:p>
        </w:tc>
        <w:tc>
          <w:tcPr>
            <w:tcW w:w="2081" w:type="dxa"/>
            <w:vAlign w:val="center"/>
          </w:tcPr>
          <w:p w14:paraId="707E4C77">
            <w:pPr>
              <w:pStyle w:val="26"/>
              <w:wordWrap w:val="0"/>
              <w:spacing w:line="360" w:lineRule="auto"/>
              <w:jc w:val="center"/>
              <w:rPr>
                <w:rFonts w:hint="eastAsia" w:hAnsi="宋体"/>
                <w:sz w:val="24"/>
                <w:szCs w:val="24"/>
              </w:rPr>
            </w:pPr>
            <w:r>
              <w:rPr>
                <w:rFonts w:hint="eastAsia" w:hAnsi="宋体"/>
                <w:sz w:val="24"/>
                <w:szCs w:val="24"/>
              </w:rPr>
              <w:t>响应文件的商务条款响应内容</w:t>
            </w:r>
          </w:p>
        </w:tc>
        <w:tc>
          <w:tcPr>
            <w:tcW w:w="1332" w:type="dxa"/>
            <w:vAlign w:val="center"/>
          </w:tcPr>
          <w:p w14:paraId="3848520A">
            <w:pPr>
              <w:wordWrap w:val="0"/>
              <w:spacing w:line="360" w:lineRule="auto"/>
              <w:jc w:val="center"/>
              <w:rPr>
                <w:rFonts w:hint="eastAsia" w:hAnsi="宋体"/>
                <w:sz w:val="24"/>
              </w:rPr>
            </w:pPr>
            <w:r>
              <w:rPr>
                <w:rFonts w:hint="eastAsia" w:hAnsi="宋体"/>
                <w:sz w:val="24"/>
              </w:rPr>
              <w:t>偏离情况</w:t>
            </w:r>
          </w:p>
        </w:tc>
        <w:tc>
          <w:tcPr>
            <w:tcW w:w="746" w:type="dxa"/>
            <w:vAlign w:val="center"/>
          </w:tcPr>
          <w:p w14:paraId="4980172F">
            <w:pPr>
              <w:wordWrap w:val="0"/>
              <w:spacing w:line="360" w:lineRule="auto"/>
              <w:jc w:val="center"/>
              <w:rPr>
                <w:rFonts w:hint="eastAsia" w:hAnsi="宋体"/>
                <w:sz w:val="24"/>
              </w:rPr>
            </w:pPr>
            <w:r>
              <w:rPr>
                <w:rFonts w:hint="eastAsia" w:hAnsi="宋体"/>
                <w:sz w:val="24"/>
              </w:rPr>
              <w:t>说明</w:t>
            </w:r>
          </w:p>
        </w:tc>
      </w:tr>
      <w:tr w14:paraId="02ACA8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772" w:type="dxa"/>
            <w:vAlign w:val="center"/>
          </w:tcPr>
          <w:p w14:paraId="54CBE5CF">
            <w:pPr>
              <w:wordWrap w:val="0"/>
              <w:spacing w:line="360" w:lineRule="auto"/>
              <w:jc w:val="center"/>
              <w:rPr>
                <w:rFonts w:hint="eastAsia" w:ascii="宋体" w:hAnsi="宋体"/>
                <w:bCs/>
                <w:sz w:val="24"/>
              </w:rPr>
            </w:pPr>
            <w:r>
              <w:rPr>
                <w:rFonts w:hint="eastAsia" w:ascii="宋体" w:hAnsi="宋体"/>
                <w:bCs/>
                <w:sz w:val="24"/>
              </w:rPr>
              <w:t>1</w:t>
            </w:r>
          </w:p>
        </w:tc>
        <w:tc>
          <w:tcPr>
            <w:tcW w:w="2377" w:type="dxa"/>
            <w:vAlign w:val="center"/>
          </w:tcPr>
          <w:p w14:paraId="2D3C13B6">
            <w:pPr>
              <w:wordWrap w:val="0"/>
              <w:spacing w:line="360" w:lineRule="auto"/>
              <w:rPr>
                <w:rFonts w:hint="eastAsia" w:ascii="宋体" w:hAnsi="宋体"/>
                <w:bCs/>
                <w:sz w:val="24"/>
              </w:rPr>
            </w:pPr>
            <w:r>
              <w:rPr>
                <w:rFonts w:hint="eastAsia" w:ascii="宋体" w:hAnsi="宋体"/>
                <w:sz w:val="24"/>
              </w:rPr>
              <w:t>工期</w:t>
            </w:r>
          </w:p>
        </w:tc>
        <w:tc>
          <w:tcPr>
            <w:tcW w:w="1993" w:type="dxa"/>
            <w:vAlign w:val="center"/>
          </w:tcPr>
          <w:p w14:paraId="74CCFAF7">
            <w:pPr>
              <w:pStyle w:val="26"/>
              <w:wordWrap w:val="0"/>
              <w:spacing w:line="360" w:lineRule="auto"/>
              <w:ind w:left="1080" w:leftChars="257" w:hanging="540"/>
              <w:jc w:val="center"/>
              <w:rPr>
                <w:rFonts w:hint="eastAsia" w:hAnsi="宋体"/>
                <w:sz w:val="24"/>
              </w:rPr>
            </w:pPr>
          </w:p>
        </w:tc>
        <w:tc>
          <w:tcPr>
            <w:tcW w:w="2081" w:type="dxa"/>
            <w:vAlign w:val="center"/>
          </w:tcPr>
          <w:p w14:paraId="76C4CB5D">
            <w:pPr>
              <w:pStyle w:val="26"/>
              <w:wordWrap w:val="0"/>
              <w:spacing w:line="360" w:lineRule="auto"/>
              <w:ind w:left="1080" w:leftChars="257" w:hanging="540"/>
              <w:jc w:val="center"/>
              <w:rPr>
                <w:rFonts w:hint="eastAsia" w:hAnsi="宋体"/>
                <w:sz w:val="24"/>
              </w:rPr>
            </w:pPr>
          </w:p>
        </w:tc>
        <w:tc>
          <w:tcPr>
            <w:tcW w:w="1332" w:type="dxa"/>
            <w:vAlign w:val="center"/>
          </w:tcPr>
          <w:p w14:paraId="76BAB5E1">
            <w:pPr>
              <w:pStyle w:val="26"/>
              <w:wordWrap w:val="0"/>
              <w:spacing w:line="360" w:lineRule="auto"/>
              <w:ind w:left="1080" w:leftChars="257" w:hanging="540"/>
              <w:rPr>
                <w:rFonts w:hint="eastAsia" w:hAnsi="宋体"/>
                <w:sz w:val="24"/>
              </w:rPr>
            </w:pPr>
          </w:p>
        </w:tc>
        <w:tc>
          <w:tcPr>
            <w:tcW w:w="746" w:type="dxa"/>
            <w:vAlign w:val="center"/>
          </w:tcPr>
          <w:p w14:paraId="73E065C2">
            <w:pPr>
              <w:pStyle w:val="26"/>
              <w:wordWrap w:val="0"/>
              <w:spacing w:line="360" w:lineRule="auto"/>
              <w:ind w:left="1080" w:leftChars="257" w:hanging="540"/>
              <w:rPr>
                <w:rFonts w:hint="eastAsia" w:hAnsi="宋体"/>
                <w:sz w:val="24"/>
              </w:rPr>
            </w:pPr>
          </w:p>
        </w:tc>
      </w:tr>
      <w:tr w14:paraId="4B2C13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772" w:type="dxa"/>
            <w:vAlign w:val="center"/>
          </w:tcPr>
          <w:p w14:paraId="34C56B09">
            <w:pPr>
              <w:wordWrap w:val="0"/>
              <w:spacing w:line="360" w:lineRule="auto"/>
              <w:jc w:val="center"/>
              <w:rPr>
                <w:rFonts w:hint="eastAsia" w:ascii="宋体" w:hAnsi="宋体"/>
                <w:bCs/>
                <w:sz w:val="24"/>
              </w:rPr>
            </w:pPr>
            <w:r>
              <w:rPr>
                <w:rFonts w:hint="eastAsia" w:ascii="宋体" w:hAnsi="宋体"/>
                <w:bCs/>
                <w:sz w:val="24"/>
              </w:rPr>
              <w:t>2</w:t>
            </w:r>
          </w:p>
        </w:tc>
        <w:tc>
          <w:tcPr>
            <w:tcW w:w="2377" w:type="dxa"/>
            <w:vAlign w:val="center"/>
          </w:tcPr>
          <w:p w14:paraId="14A7F62A">
            <w:pPr>
              <w:wordWrap w:val="0"/>
              <w:spacing w:line="360" w:lineRule="auto"/>
              <w:rPr>
                <w:rFonts w:hint="eastAsia" w:ascii="宋体" w:hAnsi="宋体"/>
                <w:bCs/>
                <w:sz w:val="24"/>
              </w:rPr>
            </w:pPr>
            <w:r>
              <w:rPr>
                <w:rFonts w:hint="eastAsia" w:ascii="宋体" w:hAnsi="宋体"/>
                <w:bCs/>
                <w:sz w:val="24"/>
              </w:rPr>
              <w:t>缺陷责任期</w:t>
            </w:r>
          </w:p>
        </w:tc>
        <w:tc>
          <w:tcPr>
            <w:tcW w:w="1993" w:type="dxa"/>
            <w:vAlign w:val="center"/>
          </w:tcPr>
          <w:p w14:paraId="0A9B7517">
            <w:pPr>
              <w:pStyle w:val="26"/>
              <w:wordWrap w:val="0"/>
              <w:spacing w:line="360" w:lineRule="auto"/>
              <w:ind w:left="1080" w:leftChars="257" w:hanging="540"/>
              <w:rPr>
                <w:rFonts w:hint="eastAsia" w:hAnsi="宋体"/>
                <w:sz w:val="24"/>
              </w:rPr>
            </w:pPr>
          </w:p>
        </w:tc>
        <w:tc>
          <w:tcPr>
            <w:tcW w:w="2081" w:type="dxa"/>
            <w:vAlign w:val="center"/>
          </w:tcPr>
          <w:p w14:paraId="08E79FF1">
            <w:pPr>
              <w:pStyle w:val="26"/>
              <w:wordWrap w:val="0"/>
              <w:spacing w:line="360" w:lineRule="auto"/>
              <w:ind w:left="1080" w:leftChars="257" w:hanging="540"/>
              <w:rPr>
                <w:rFonts w:hint="eastAsia" w:hAnsi="宋体"/>
                <w:sz w:val="24"/>
              </w:rPr>
            </w:pPr>
          </w:p>
        </w:tc>
        <w:tc>
          <w:tcPr>
            <w:tcW w:w="1332" w:type="dxa"/>
            <w:vAlign w:val="center"/>
          </w:tcPr>
          <w:p w14:paraId="38EF96F3">
            <w:pPr>
              <w:pStyle w:val="26"/>
              <w:wordWrap w:val="0"/>
              <w:spacing w:line="360" w:lineRule="auto"/>
              <w:ind w:left="1080" w:leftChars="257" w:hanging="540"/>
              <w:rPr>
                <w:rFonts w:hint="eastAsia" w:hAnsi="宋体"/>
                <w:sz w:val="24"/>
              </w:rPr>
            </w:pPr>
          </w:p>
        </w:tc>
        <w:tc>
          <w:tcPr>
            <w:tcW w:w="746" w:type="dxa"/>
            <w:vAlign w:val="center"/>
          </w:tcPr>
          <w:p w14:paraId="5A7EBD2B">
            <w:pPr>
              <w:pStyle w:val="26"/>
              <w:wordWrap w:val="0"/>
              <w:spacing w:line="360" w:lineRule="auto"/>
              <w:ind w:left="1080" w:leftChars="257" w:hanging="540"/>
              <w:rPr>
                <w:rFonts w:hint="eastAsia" w:hAnsi="宋体"/>
                <w:sz w:val="24"/>
              </w:rPr>
            </w:pPr>
          </w:p>
        </w:tc>
      </w:tr>
      <w:tr w14:paraId="0BD56D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772" w:type="dxa"/>
            <w:vAlign w:val="center"/>
          </w:tcPr>
          <w:p w14:paraId="74E5CFA4">
            <w:pPr>
              <w:wordWrap w:val="0"/>
              <w:spacing w:line="360" w:lineRule="auto"/>
              <w:jc w:val="center"/>
              <w:rPr>
                <w:rFonts w:hint="eastAsia" w:ascii="宋体" w:hAnsi="宋体"/>
                <w:bCs/>
                <w:sz w:val="24"/>
              </w:rPr>
            </w:pPr>
            <w:r>
              <w:rPr>
                <w:rFonts w:hint="eastAsia" w:ascii="宋体" w:hAnsi="宋体"/>
                <w:bCs/>
                <w:sz w:val="24"/>
              </w:rPr>
              <w:t>3</w:t>
            </w:r>
          </w:p>
        </w:tc>
        <w:tc>
          <w:tcPr>
            <w:tcW w:w="2377" w:type="dxa"/>
            <w:vAlign w:val="center"/>
          </w:tcPr>
          <w:p w14:paraId="2F5BC8CE">
            <w:pPr>
              <w:wordWrap w:val="0"/>
              <w:spacing w:line="360" w:lineRule="auto"/>
              <w:rPr>
                <w:rFonts w:hint="eastAsia" w:ascii="宋体" w:hAnsi="宋体"/>
                <w:bCs/>
                <w:sz w:val="24"/>
              </w:rPr>
            </w:pPr>
            <w:r>
              <w:rPr>
                <w:rFonts w:hint="eastAsia" w:ascii="宋体" w:hAnsi="宋体"/>
                <w:bCs/>
                <w:sz w:val="24"/>
              </w:rPr>
              <w:t>质量标准</w:t>
            </w:r>
          </w:p>
        </w:tc>
        <w:tc>
          <w:tcPr>
            <w:tcW w:w="1993" w:type="dxa"/>
            <w:vAlign w:val="center"/>
          </w:tcPr>
          <w:p w14:paraId="6F3354FC">
            <w:pPr>
              <w:pStyle w:val="26"/>
              <w:wordWrap w:val="0"/>
              <w:spacing w:line="360" w:lineRule="auto"/>
              <w:ind w:left="1080" w:leftChars="257" w:hanging="540"/>
              <w:rPr>
                <w:rFonts w:hint="eastAsia" w:hAnsi="宋体"/>
                <w:sz w:val="24"/>
              </w:rPr>
            </w:pPr>
          </w:p>
        </w:tc>
        <w:tc>
          <w:tcPr>
            <w:tcW w:w="2081" w:type="dxa"/>
            <w:vAlign w:val="center"/>
          </w:tcPr>
          <w:p w14:paraId="1F5032B2">
            <w:pPr>
              <w:pStyle w:val="26"/>
              <w:wordWrap w:val="0"/>
              <w:spacing w:line="360" w:lineRule="auto"/>
              <w:ind w:left="1080" w:leftChars="257" w:hanging="540"/>
              <w:rPr>
                <w:rFonts w:hint="eastAsia" w:hAnsi="宋体"/>
                <w:sz w:val="24"/>
              </w:rPr>
            </w:pPr>
          </w:p>
        </w:tc>
        <w:tc>
          <w:tcPr>
            <w:tcW w:w="1332" w:type="dxa"/>
            <w:vAlign w:val="center"/>
          </w:tcPr>
          <w:p w14:paraId="62B5A6E9">
            <w:pPr>
              <w:pStyle w:val="26"/>
              <w:wordWrap w:val="0"/>
              <w:spacing w:line="360" w:lineRule="auto"/>
              <w:ind w:left="1080" w:leftChars="257" w:hanging="540"/>
              <w:rPr>
                <w:rFonts w:hint="eastAsia" w:hAnsi="宋体"/>
                <w:sz w:val="24"/>
              </w:rPr>
            </w:pPr>
          </w:p>
        </w:tc>
        <w:tc>
          <w:tcPr>
            <w:tcW w:w="746" w:type="dxa"/>
            <w:vAlign w:val="center"/>
          </w:tcPr>
          <w:p w14:paraId="6DD12716">
            <w:pPr>
              <w:pStyle w:val="26"/>
              <w:wordWrap w:val="0"/>
              <w:spacing w:line="360" w:lineRule="auto"/>
              <w:ind w:left="1080" w:leftChars="257" w:hanging="540"/>
              <w:rPr>
                <w:rFonts w:hint="eastAsia" w:hAnsi="宋体"/>
                <w:sz w:val="24"/>
              </w:rPr>
            </w:pPr>
          </w:p>
        </w:tc>
      </w:tr>
      <w:tr w14:paraId="7E1B9E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772" w:type="dxa"/>
            <w:vAlign w:val="center"/>
          </w:tcPr>
          <w:p w14:paraId="15C95C3E">
            <w:pPr>
              <w:wordWrap w:val="0"/>
              <w:spacing w:line="360" w:lineRule="auto"/>
              <w:jc w:val="center"/>
              <w:rPr>
                <w:rFonts w:hint="eastAsia" w:ascii="宋体" w:hAnsi="宋体"/>
                <w:bCs/>
                <w:sz w:val="24"/>
              </w:rPr>
            </w:pPr>
            <w:r>
              <w:rPr>
                <w:rFonts w:hint="eastAsia" w:ascii="宋体" w:hAnsi="宋体"/>
                <w:bCs/>
                <w:sz w:val="24"/>
              </w:rPr>
              <w:t>4</w:t>
            </w:r>
          </w:p>
        </w:tc>
        <w:tc>
          <w:tcPr>
            <w:tcW w:w="2377" w:type="dxa"/>
            <w:vAlign w:val="center"/>
          </w:tcPr>
          <w:p w14:paraId="68E47FA7">
            <w:pPr>
              <w:wordWrap w:val="0"/>
              <w:spacing w:line="360" w:lineRule="auto"/>
              <w:rPr>
                <w:rFonts w:hint="eastAsia" w:ascii="宋体" w:hAnsi="宋体"/>
                <w:bCs/>
                <w:sz w:val="24"/>
              </w:rPr>
            </w:pPr>
            <w:r>
              <w:rPr>
                <w:rFonts w:hint="eastAsia" w:ascii="宋体" w:hAnsi="宋体"/>
                <w:bCs/>
                <w:sz w:val="24"/>
              </w:rPr>
              <w:t>付款方式</w:t>
            </w:r>
          </w:p>
        </w:tc>
        <w:tc>
          <w:tcPr>
            <w:tcW w:w="1993" w:type="dxa"/>
            <w:vAlign w:val="center"/>
          </w:tcPr>
          <w:p w14:paraId="21020E4D">
            <w:pPr>
              <w:pStyle w:val="26"/>
              <w:wordWrap w:val="0"/>
              <w:spacing w:line="360" w:lineRule="auto"/>
              <w:ind w:left="1080" w:leftChars="257" w:hanging="540"/>
              <w:rPr>
                <w:rFonts w:hint="eastAsia" w:hAnsi="宋体"/>
                <w:sz w:val="24"/>
              </w:rPr>
            </w:pPr>
          </w:p>
        </w:tc>
        <w:tc>
          <w:tcPr>
            <w:tcW w:w="2081" w:type="dxa"/>
            <w:vAlign w:val="center"/>
          </w:tcPr>
          <w:p w14:paraId="66EB5146">
            <w:pPr>
              <w:pStyle w:val="26"/>
              <w:wordWrap w:val="0"/>
              <w:spacing w:line="360" w:lineRule="auto"/>
              <w:ind w:left="1080" w:leftChars="257" w:hanging="540"/>
              <w:rPr>
                <w:rFonts w:hint="eastAsia" w:hAnsi="宋体"/>
                <w:sz w:val="24"/>
              </w:rPr>
            </w:pPr>
          </w:p>
        </w:tc>
        <w:tc>
          <w:tcPr>
            <w:tcW w:w="1332" w:type="dxa"/>
            <w:vAlign w:val="center"/>
          </w:tcPr>
          <w:p w14:paraId="6C99D832">
            <w:pPr>
              <w:pStyle w:val="26"/>
              <w:wordWrap w:val="0"/>
              <w:spacing w:line="360" w:lineRule="auto"/>
              <w:ind w:left="1080" w:leftChars="257" w:hanging="540"/>
              <w:rPr>
                <w:rFonts w:hint="eastAsia" w:hAnsi="宋体"/>
                <w:sz w:val="24"/>
              </w:rPr>
            </w:pPr>
          </w:p>
        </w:tc>
        <w:tc>
          <w:tcPr>
            <w:tcW w:w="746" w:type="dxa"/>
            <w:vAlign w:val="center"/>
          </w:tcPr>
          <w:p w14:paraId="6507FA56">
            <w:pPr>
              <w:pStyle w:val="26"/>
              <w:wordWrap w:val="0"/>
              <w:spacing w:line="360" w:lineRule="auto"/>
              <w:ind w:left="1080" w:leftChars="257" w:hanging="540"/>
              <w:rPr>
                <w:rFonts w:hint="eastAsia" w:hAnsi="宋体"/>
                <w:sz w:val="24"/>
              </w:rPr>
            </w:pPr>
          </w:p>
        </w:tc>
      </w:tr>
      <w:tr w14:paraId="42E888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772" w:type="dxa"/>
            <w:vAlign w:val="center"/>
          </w:tcPr>
          <w:p w14:paraId="04AE4EE3">
            <w:pPr>
              <w:wordWrap w:val="0"/>
              <w:spacing w:line="360" w:lineRule="auto"/>
              <w:jc w:val="center"/>
              <w:rPr>
                <w:rFonts w:hint="eastAsia" w:ascii="宋体" w:hAnsi="宋体"/>
                <w:bCs/>
                <w:sz w:val="24"/>
              </w:rPr>
            </w:pPr>
            <w:r>
              <w:rPr>
                <w:rFonts w:hint="eastAsia" w:ascii="宋体" w:hAnsi="宋体"/>
                <w:bCs/>
                <w:sz w:val="24"/>
              </w:rPr>
              <w:t>5</w:t>
            </w:r>
          </w:p>
        </w:tc>
        <w:tc>
          <w:tcPr>
            <w:tcW w:w="2377" w:type="dxa"/>
            <w:vAlign w:val="center"/>
          </w:tcPr>
          <w:p w14:paraId="2E151655">
            <w:pPr>
              <w:wordWrap w:val="0"/>
              <w:spacing w:line="360" w:lineRule="auto"/>
              <w:rPr>
                <w:rFonts w:hint="eastAsia" w:ascii="宋体" w:hAnsi="宋体"/>
                <w:bCs/>
                <w:sz w:val="24"/>
              </w:rPr>
            </w:pPr>
            <w:r>
              <w:rPr>
                <w:rFonts w:hint="eastAsia" w:ascii="宋体" w:hAnsi="宋体"/>
                <w:sz w:val="22"/>
                <w:szCs w:val="22"/>
              </w:rPr>
              <w:t>响应文件</w:t>
            </w:r>
            <w:r>
              <w:rPr>
                <w:rFonts w:ascii="宋体" w:hAnsi="宋体"/>
                <w:sz w:val="22"/>
                <w:szCs w:val="22"/>
              </w:rPr>
              <w:t>有效期</w:t>
            </w:r>
          </w:p>
        </w:tc>
        <w:tc>
          <w:tcPr>
            <w:tcW w:w="1993" w:type="dxa"/>
            <w:vAlign w:val="center"/>
          </w:tcPr>
          <w:p w14:paraId="7A0699BC">
            <w:pPr>
              <w:pStyle w:val="26"/>
              <w:wordWrap w:val="0"/>
              <w:spacing w:line="360" w:lineRule="auto"/>
              <w:ind w:left="1080" w:leftChars="257" w:hanging="540"/>
              <w:rPr>
                <w:rFonts w:hint="eastAsia" w:hAnsi="宋体"/>
                <w:sz w:val="24"/>
              </w:rPr>
            </w:pPr>
          </w:p>
        </w:tc>
        <w:tc>
          <w:tcPr>
            <w:tcW w:w="2081" w:type="dxa"/>
            <w:vAlign w:val="center"/>
          </w:tcPr>
          <w:p w14:paraId="6A44BFD9">
            <w:pPr>
              <w:pStyle w:val="26"/>
              <w:wordWrap w:val="0"/>
              <w:spacing w:line="360" w:lineRule="auto"/>
              <w:ind w:left="1080" w:leftChars="257" w:hanging="540"/>
              <w:rPr>
                <w:rFonts w:hint="eastAsia" w:hAnsi="宋体"/>
                <w:sz w:val="24"/>
              </w:rPr>
            </w:pPr>
          </w:p>
        </w:tc>
        <w:tc>
          <w:tcPr>
            <w:tcW w:w="1332" w:type="dxa"/>
            <w:vAlign w:val="center"/>
          </w:tcPr>
          <w:p w14:paraId="6A80E017">
            <w:pPr>
              <w:pStyle w:val="26"/>
              <w:wordWrap w:val="0"/>
              <w:spacing w:line="360" w:lineRule="auto"/>
              <w:ind w:left="1080" w:leftChars="257" w:hanging="540"/>
              <w:rPr>
                <w:rFonts w:hint="eastAsia" w:hAnsi="宋体"/>
                <w:sz w:val="24"/>
              </w:rPr>
            </w:pPr>
          </w:p>
        </w:tc>
        <w:tc>
          <w:tcPr>
            <w:tcW w:w="746" w:type="dxa"/>
            <w:vAlign w:val="center"/>
          </w:tcPr>
          <w:p w14:paraId="6D21C0A6">
            <w:pPr>
              <w:pStyle w:val="26"/>
              <w:wordWrap w:val="0"/>
              <w:spacing w:line="360" w:lineRule="auto"/>
              <w:ind w:left="1080" w:leftChars="257" w:hanging="540"/>
              <w:rPr>
                <w:rFonts w:hint="eastAsia" w:hAnsi="宋体"/>
                <w:sz w:val="24"/>
              </w:rPr>
            </w:pPr>
          </w:p>
        </w:tc>
      </w:tr>
      <w:tr w14:paraId="684BBD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772" w:type="dxa"/>
            <w:vAlign w:val="center"/>
          </w:tcPr>
          <w:p w14:paraId="6DCA965B">
            <w:pPr>
              <w:wordWrap w:val="0"/>
              <w:spacing w:line="360" w:lineRule="auto"/>
              <w:jc w:val="center"/>
              <w:rPr>
                <w:rFonts w:hint="eastAsia" w:ascii="宋体" w:hAnsi="宋体"/>
                <w:bCs/>
                <w:sz w:val="24"/>
              </w:rPr>
            </w:pPr>
            <w:r>
              <w:rPr>
                <w:rFonts w:hint="eastAsia" w:ascii="宋体" w:hAnsi="宋体"/>
                <w:bCs/>
                <w:sz w:val="24"/>
              </w:rPr>
              <w:t>6</w:t>
            </w:r>
          </w:p>
        </w:tc>
        <w:tc>
          <w:tcPr>
            <w:tcW w:w="2377" w:type="dxa"/>
            <w:vAlign w:val="center"/>
          </w:tcPr>
          <w:p w14:paraId="0FF70FCE">
            <w:pPr>
              <w:wordWrap w:val="0"/>
              <w:spacing w:line="360" w:lineRule="auto"/>
              <w:rPr>
                <w:rFonts w:hint="eastAsia" w:ascii="宋体" w:hAnsi="宋体"/>
                <w:bCs/>
                <w:sz w:val="24"/>
              </w:rPr>
            </w:pPr>
            <w:r>
              <w:rPr>
                <w:rFonts w:hint="eastAsia" w:ascii="宋体" w:hAnsi="宋体"/>
                <w:bCs/>
                <w:sz w:val="24"/>
              </w:rPr>
              <w:t>......</w:t>
            </w:r>
          </w:p>
        </w:tc>
        <w:tc>
          <w:tcPr>
            <w:tcW w:w="1993" w:type="dxa"/>
            <w:vAlign w:val="center"/>
          </w:tcPr>
          <w:p w14:paraId="1426174C">
            <w:pPr>
              <w:pStyle w:val="26"/>
              <w:wordWrap w:val="0"/>
              <w:spacing w:line="360" w:lineRule="auto"/>
              <w:ind w:left="1080" w:leftChars="257" w:hanging="540"/>
              <w:rPr>
                <w:rFonts w:hint="eastAsia" w:hAnsi="宋体"/>
                <w:sz w:val="24"/>
              </w:rPr>
            </w:pPr>
          </w:p>
        </w:tc>
        <w:tc>
          <w:tcPr>
            <w:tcW w:w="2081" w:type="dxa"/>
            <w:vAlign w:val="center"/>
          </w:tcPr>
          <w:p w14:paraId="145880B3">
            <w:pPr>
              <w:pStyle w:val="26"/>
              <w:wordWrap w:val="0"/>
              <w:spacing w:line="360" w:lineRule="auto"/>
              <w:ind w:left="1080" w:leftChars="257" w:hanging="540"/>
              <w:rPr>
                <w:rFonts w:hint="eastAsia" w:hAnsi="宋体"/>
                <w:sz w:val="24"/>
              </w:rPr>
            </w:pPr>
          </w:p>
        </w:tc>
        <w:tc>
          <w:tcPr>
            <w:tcW w:w="1332" w:type="dxa"/>
            <w:vAlign w:val="center"/>
          </w:tcPr>
          <w:p w14:paraId="224E0E73">
            <w:pPr>
              <w:pStyle w:val="26"/>
              <w:wordWrap w:val="0"/>
              <w:spacing w:line="360" w:lineRule="auto"/>
              <w:ind w:left="1080" w:leftChars="257" w:hanging="540"/>
              <w:rPr>
                <w:rFonts w:hint="eastAsia" w:hAnsi="宋体"/>
                <w:sz w:val="24"/>
              </w:rPr>
            </w:pPr>
          </w:p>
        </w:tc>
        <w:tc>
          <w:tcPr>
            <w:tcW w:w="746" w:type="dxa"/>
            <w:vAlign w:val="center"/>
          </w:tcPr>
          <w:p w14:paraId="278D06D4">
            <w:pPr>
              <w:pStyle w:val="26"/>
              <w:wordWrap w:val="0"/>
              <w:spacing w:line="360" w:lineRule="auto"/>
              <w:ind w:left="1080" w:leftChars="257" w:hanging="540"/>
              <w:rPr>
                <w:rFonts w:hint="eastAsia" w:hAnsi="宋体"/>
                <w:sz w:val="24"/>
              </w:rPr>
            </w:pPr>
          </w:p>
        </w:tc>
      </w:tr>
      <w:tr w14:paraId="7C61C4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772" w:type="dxa"/>
            <w:vAlign w:val="center"/>
          </w:tcPr>
          <w:p w14:paraId="3CB4599D">
            <w:pPr>
              <w:pStyle w:val="26"/>
              <w:wordWrap w:val="0"/>
              <w:spacing w:line="360" w:lineRule="auto"/>
              <w:jc w:val="center"/>
              <w:rPr>
                <w:rFonts w:hint="eastAsia" w:hAnsi="宋体"/>
                <w:sz w:val="24"/>
              </w:rPr>
            </w:pPr>
          </w:p>
        </w:tc>
        <w:tc>
          <w:tcPr>
            <w:tcW w:w="2377" w:type="dxa"/>
            <w:vAlign w:val="center"/>
          </w:tcPr>
          <w:p w14:paraId="6DDEB220">
            <w:pPr>
              <w:wordWrap w:val="0"/>
              <w:spacing w:line="360" w:lineRule="auto"/>
              <w:rPr>
                <w:rFonts w:hint="eastAsia" w:ascii="宋体" w:hAnsi="宋体"/>
                <w:bCs/>
                <w:sz w:val="24"/>
              </w:rPr>
            </w:pPr>
          </w:p>
        </w:tc>
        <w:tc>
          <w:tcPr>
            <w:tcW w:w="1993" w:type="dxa"/>
            <w:vAlign w:val="center"/>
          </w:tcPr>
          <w:p w14:paraId="13646A84">
            <w:pPr>
              <w:pStyle w:val="26"/>
              <w:wordWrap w:val="0"/>
              <w:spacing w:line="360" w:lineRule="auto"/>
              <w:ind w:left="1080" w:leftChars="257" w:hanging="540"/>
              <w:rPr>
                <w:rFonts w:hint="eastAsia" w:hAnsi="宋体"/>
                <w:sz w:val="24"/>
              </w:rPr>
            </w:pPr>
          </w:p>
        </w:tc>
        <w:tc>
          <w:tcPr>
            <w:tcW w:w="2081" w:type="dxa"/>
            <w:vAlign w:val="center"/>
          </w:tcPr>
          <w:p w14:paraId="0E570B38">
            <w:pPr>
              <w:pStyle w:val="26"/>
              <w:wordWrap w:val="0"/>
              <w:spacing w:line="360" w:lineRule="auto"/>
              <w:ind w:left="1080" w:leftChars="257" w:hanging="540"/>
              <w:rPr>
                <w:rFonts w:hint="eastAsia" w:hAnsi="宋体"/>
                <w:sz w:val="24"/>
              </w:rPr>
            </w:pPr>
          </w:p>
        </w:tc>
        <w:tc>
          <w:tcPr>
            <w:tcW w:w="1332" w:type="dxa"/>
            <w:vAlign w:val="center"/>
          </w:tcPr>
          <w:p w14:paraId="3C561ED6">
            <w:pPr>
              <w:pStyle w:val="26"/>
              <w:wordWrap w:val="0"/>
              <w:spacing w:line="360" w:lineRule="auto"/>
              <w:ind w:left="1080" w:leftChars="257" w:hanging="540"/>
              <w:rPr>
                <w:rFonts w:hint="eastAsia" w:hAnsi="宋体"/>
                <w:sz w:val="24"/>
              </w:rPr>
            </w:pPr>
          </w:p>
        </w:tc>
        <w:tc>
          <w:tcPr>
            <w:tcW w:w="746" w:type="dxa"/>
            <w:vAlign w:val="center"/>
          </w:tcPr>
          <w:p w14:paraId="4EE9DA1F">
            <w:pPr>
              <w:pStyle w:val="26"/>
              <w:wordWrap w:val="0"/>
              <w:spacing w:line="360" w:lineRule="auto"/>
              <w:ind w:left="1080" w:leftChars="257" w:hanging="540"/>
              <w:rPr>
                <w:rFonts w:hint="eastAsia" w:hAnsi="宋体"/>
                <w:sz w:val="24"/>
              </w:rPr>
            </w:pPr>
          </w:p>
        </w:tc>
      </w:tr>
    </w:tbl>
    <w:p w14:paraId="4DAB4366">
      <w:pPr>
        <w:pStyle w:val="26"/>
        <w:wordWrap w:val="0"/>
        <w:spacing w:line="360" w:lineRule="auto"/>
        <w:ind w:left="1080" w:leftChars="257" w:hanging="540"/>
        <w:rPr>
          <w:rFonts w:hint="eastAsia" w:hAnsi="宋体"/>
          <w:sz w:val="24"/>
        </w:rPr>
      </w:pPr>
    </w:p>
    <w:p w14:paraId="3E4572B3">
      <w:pPr>
        <w:wordWrap w:val="0"/>
        <w:spacing w:line="360" w:lineRule="auto"/>
        <w:ind w:firstLine="480" w:firstLineChars="200"/>
        <w:rPr>
          <w:rFonts w:hint="eastAsia" w:ascii="宋体" w:hAnsi="宋体" w:cs="宋体"/>
          <w:sz w:val="24"/>
        </w:rPr>
      </w:pPr>
      <w:r>
        <w:rPr>
          <w:rFonts w:hint="eastAsia" w:ascii="宋体" w:hAnsi="宋体" w:cs="宋体"/>
          <w:sz w:val="24"/>
        </w:rPr>
        <w:t>供应商：</w:t>
      </w:r>
      <w:r>
        <w:rPr>
          <w:rFonts w:hint="eastAsia" w:ascii="宋体" w:hAnsi="宋体" w:cs="宋体"/>
          <w:sz w:val="24"/>
          <w:u w:val="single"/>
        </w:rPr>
        <w:t xml:space="preserve">                               </w:t>
      </w:r>
      <w:r>
        <w:rPr>
          <w:rFonts w:hint="eastAsia" w:ascii="宋体" w:hAnsi="宋体" w:cs="宋体"/>
          <w:sz w:val="24"/>
        </w:rPr>
        <w:t>（加盖单位公章）</w:t>
      </w:r>
    </w:p>
    <w:p w14:paraId="094E2448">
      <w:pPr>
        <w:wordWrap w:val="0"/>
        <w:spacing w:line="360" w:lineRule="auto"/>
        <w:ind w:left="15" w:leftChars="7" w:firstLine="480" w:firstLineChars="200"/>
        <w:rPr>
          <w:rFonts w:hint="eastAsia" w:ascii="宋体" w:hAnsi="宋体" w:cs="宋体"/>
          <w:sz w:val="24"/>
        </w:rPr>
      </w:pPr>
      <w:r>
        <w:rPr>
          <w:rFonts w:hint="eastAsia" w:ascii="宋体" w:hAnsi="宋体" w:cs="宋体"/>
          <w:sz w:val="24"/>
        </w:rPr>
        <w:t>法定代表人或负责人或委托代理人：</w:t>
      </w:r>
      <w:r>
        <w:rPr>
          <w:rFonts w:hint="eastAsia" w:ascii="宋体" w:hAnsi="宋体" w:cs="宋体"/>
          <w:sz w:val="24"/>
          <w:u w:val="single"/>
        </w:rPr>
        <w:t xml:space="preserve">        </w:t>
      </w:r>
      <w:r>
        <w:rPr>
          <w:rFonts w:hint="eastAsia" w:ascii="宋体" w:hAnsi="宋体" w:cs="宋体"/>
          <w:sz w:val="24"/>
        </w:rPr>
        <w:t>（签字或加盖个人章）</w:t>
      </w:r>
    </w:p>
    <w:p w14:paraId="15D29D2D">
      <w:pPr>
        <w:wordWrap w:val="0"/>
        <w:spacing w:line="360" w:lineRule="auto"/>
        <w:ind w:left="5759" w:leftChars="228" w:hanging="5280" w:hangingChars="2200"/>
        <w:rPr>
          <w:rFonts w:hint="eastAsia" w:ascii="宋体" w:hAnsi="宋体" w:cs="宋体"/>
          <w:sz w:val="24"/>
        </w:rPr>
      </w:pPr>
      <w:r>
        <w:rPr>
          <w:rFonts w:hint="eastAsia" w:ascii="宋体" w:hAnsi="宋体" w:cs="宋体"/>
          <w:kern w:val="0"/>
          <w:sz w:val="24"/>
        </w:rPr>
        <w:t>日  期：  年   月   日</w:t>
      </w:r>
    </w:p>
    <w:p w14:paraId="4BE4719B">
      <w:pPr>
        <w:pStyle w:val="26"/>
        <w:wordWrap w:val="0"/>
        <w:spacing w:line="360" w:lineRule="auto"/>
        <w:ind w:left="1080" w:leftChars="200" w:hanging="660"/>
        <w:rPr>
          <w:rFonts w:hint="eastAsia" w:hAnsi="宋体"/>
          <w:sz w:val="24"/>
        </w:rPr>
      </w:pPr>
    </w:p>
    <w:p w14:paraId="15E7323C">
      <w:pPr>
        <w:wordWrap w:val="0"/>
        <w:spacing w:line="360" w:lineRule="auto"/>
        <w:rPr>
          <w:rFonts w:hint="eastAsia" w:ascii="宋体" w:hAnsi="宋体"/>
          <w:sz w:val="24"/>
        </w:rPr>
      </w:pPr>
    </w:p>
    <w:p w14:paraId="617EE2FD">
      <w:pPr>
        <w:wordWrap w:val="0"/>
        <w:rPr>
          <w:rFonts w:hint="eastAsia" w:ascii="宋体" w:hAnsi="宋体"/>
          <w:sz w:val="24"/>
        </w:rPr>
      </w:pPr>
      <w:r>
        <w:rPr>
          <w:rFonts w:hint="eastAsia"/>
        </w:rPr>
        <w:br w:type="page"/>
      </w:r>
      <w:bookmarkStart w:id="750" w:name="OLE_LINK114"/>
      <w:bookmarkStart w:id="751" w:name="_Hlk218442891"/>
    </w:p>
    <w:bookmarkEnd w:id="750"/>
    <w:bookmarkEnd w:id="751"/>
    <w:p w14:paraId="5BD6F0C8">
      <w:pPr>
        <w:pStyle w:val="7"/>
        <w:widowControl/>
        <w:wordWrap w:val="0"/>
        <w:jc w:val="center"/>
        <w:rPr>
          <w:rFonts w:hint="eastAsia" w:ascii="黑体" w:hAnsi="黑体" w:cs="黑体"/>
          <w:b w:val="0"/>
          <w:bCs w:val="0"/>
          <w:kern w:val="0"/>
          <w:sz w:val="28"/>
          <w:szCs w:val="28"/>
        </w:rPr>
      </w:pPr>
      <w:bookmarkStart w:id="752" w:name="_Toc12644"/>
      <w:bookmarkStart w:id="753" w:name="_Toc1714"/>
      <w:bookmarkStart w:id="754" w:name="_Toc15490"/>
      <w:bookmarkStart w:id="755" w:name="_Toc24442"/>
      <w:r>
        <w:rPr>
          <w:rFonts w:hint="eastAsia" w:ascii="黑体" w:hAnsi="黑体" w:cs="黑体"/>
          <w:b w:val="0"/>
          <w:bCs w:val="0"/>
          <w:kern w:val="0"/>
          <w:sz w:val="28"/>
          <w:szCs w:val="28"/>
        </w:rPr>
        <w:t>8.</w:t>
      </w:r>
      <w:bookmarkEnd w:id="752"/>
      <w:bookmarkEnd w:id="753"/>
      <w:bookmarkEnd w:id="754"/>
      <w:bookmarkEnd w:id="755"/>
      <w:r>
        <w:rPr>
          <w:rFonts w:hint="eastAsia" w:ascii="黑体" w:hAnsi="黑体" w:cs="黑体"/>
          <w:b w:val="0"/>
          <w:bCs w:val="0"/>
          <w:kern w:val="0"/>
          <w:sz w:val="28"/>
          <w:szCs w:val="28"/>
        </w:rPr>
        <w:t>施工组织设计</w:t>
      </w:r>
    </w:p>
    <w:p w14:paraId="5FDFFF92">
      <w:pPr>
        <w:wordWrap w:val="0"/>
        <w:spacing w:line="360" w:lineRule="auto"/>
        <w:rPr>
          <w:rFonts w:hint="eastAsia" w:ascii="宋体" w:hAnsi="宋体"/>
          <w:sz w:val="24"/>
        </w:rPr>
      </w:pPr>
      <w:r>
        <w:rPr>
          <w:rFonts w:hint="eastAsia" w:ascii="宋体" w:hAnsi="宋体"/>
          <w:sz w:val="24"/>
        </w:rPr>
        <w:t>1.供应商编制施工组织设计的要求：供应商应根据竞争性磋商文件和对现场的勘察情况，采用文字并结合图表形式，参考以下要点编制本工程的施工组织设计：</w:t>
      </w:r>
    </w:p>
    <w:p w14:paraId="2F5C78DB">
      <w:pPr>
        <w:wordWrap w:val="0"/>
        <w:spacing w:line="360" w:lineRule="auto"/>
        <w:rPr>
          <w:rFonts w:hint="eastAsia" w:ascii="宋体" w:hAnsi="宋体"/>
          <w:sz w:val="24"/>
        </w:rPr>
      </w:pPr>
      <w:r>
        <w:rPr>
          <w:rFonts w:hint="eastAsia" w:ascii="宋体" w:hAnsi="宋体"/>
          <w:sz w:val="24"/>
        </w:rPr>
        <w:t>（1）施工方案与技术措施</w:t>
      </w:r>
    </w:p>
    <w:p w14:paraId="099523DB">
      <w:pPr>
        <w:wordWrap w:val="0"/>
        <w:spacing w:line="360" w:lineRule="auto"/>
        <w:rPr>
          <w:rFonts w:hint="eastAsia" w:ascii="宋体" w:hAnsi="宋体"/>
          <w:sz w:val="24"/>
        </w:rPr>
      </w:pPr>
      <w:r>
        <w:rPr>
          <w:rFonts w:hint="eastAsia" w:ascii="宋体" w:hAnsi="宋体"/>
          <w:sz w:val="24"/>
        </w:rPr>
        <w:t>（2）质量管理体系与措施</w:t>
      </w:r>
    </w:p>
    <w:p w14:paraId="398D482C">
      <w:pPr>
        <w:wordWrap w:val="0"/>
        <w:spacing w:line="360" w:lineRule="auto"/>
        <w:rPr>
          <w:rFonts w:hint="eastAsia" w:ascii="宋体" w:hAnsi="宋体"/>
          <w:sz w:val="24"/>
        </w:rPr>
      </w:pPr>
      <w:r>
        <w:rPr>
          <w:rFonts w:hint="eastAsia" w:ascii="宋体" w:hAnsi="宋体"/>
          <w:sz w:val="24"/>
        </w:rPr>
        <w:t>（3）安全管理体系与措施</w:t>
      </w:r>
    </w:p>
    <w:p w14:paraId="7C16A1FD">
      <w:pPr>
        <w:wordWrap w:val="0"/>
        <w:spacing w:line="360" w:lineRule="auto"/>
        <w:rPr>
          <w:rFonts w:hint="eastAsia" w:ascii="宋体" w:hAnsi="宋体"/>
          <w:sz w:val="24"/>
        </w:rPr>
      </w:pPr>
      <w:r>
        <w:rPr>
          <w:rFonts w:hint="eastAsia" w:ascii="宋体" w:hAnsi="宋体"/>
          <w:sz w:val="24"/>
        </w:rPr>
        <w:t>（4）环境保护管理体系与措施</w:t>
      </w:r>
    </w:p>
    <w:p w14:paraId="0B51573B">
      <w:pPr>
        <w:wordWrap w:val="0"/>
        <w:spacing w:line="360" w:lineRule="auto"/>
        <w:rPr>
          <w:rFonts w:hint="eastAsia" w:ascii="宋体" w:hAnsi="宋体"/>
          <w:sz w:val="24"/>
        </w:rPr>
      </w:pPr>
      <w:r>
        <w:rPr>
          <w:rFonts w:hint="eastAsia" w:ascii="宋体" w:hAnsi="宋体"/>
          <w:sz w:val="24"/>
        </w:rPr>
        <w:t>（5）工程进度计划与措施</w:t>
      </w:r>
    </w:p>
    <w:p w14:paraId="4A8C30B3">
      <w:pPr>
        <w:wordWrap w:val="0"/>
        <w:spacing w:line="360" w:lineRule="auto"/>
        <w:rPr>
          <w:rFonts w:hint="eastAsia" w:ascii="宋体" w:hAnsi="宋体"/>
          <w:sz w:val="24"/>
        </w:rPr>
      </w:pPr>
      <w:r>
        <w:rPr>
          <w:rFonts w:hint="eastAsia" w:ascii="宋体" w:hAnsi="宋体"/>
          <w:sz w:val="24"/>
        </w:rPr>
        <w:t>（6）资源配置计划</w:t>
      </w:r>
    </w:p>
    <w:p w14:paraId="7F351AB1">
      <w:pPr>
        <w:wordWrap w:val="0"/>
        <w:spacing w:line="360" w:lineRule="auto"/>
        <w:rPr>
          <w:rFonts w:hint="eastAsia" w:ascii="宋体" w:hAnsi="宋体"/>
          <w:sz w:val="24"/>
        </w:rPr>
      </w:pPr>
      <w:r>
        <w:rPr>
          <w:rFonts w:hint="eastAsia" w:ascii="宋体" w:hAnsi="宋体"/>
          <w:sz w:val="24"/>
        </w:rPr>
        <w:t>（7）建筑材料</w:t>
      </w:r>
    </w:p>
    <w:p w14:paraId="334DE612">
      <w:pPr>
        <w:wordWrap w:val="0"/>
        <w:spacing w:line="360" w:lineRule="auto"/>
        <w:rPr>
          <w:rFonts w:hint="eastAsia" w:ascii="宋体" w:hAnsi="宋体"/>
          <w:sz w:val="24"/>
        </w:rPr>
      </w:pPr>
      <w:r>
        <w:rPr>
          <w:rFonts w:hint="eastAsia" w:ascii="宋体" w:hAnsi="宋体"/>
          <w:sz w:val="24"/>
        </w:rPr>
        <w:t>（8）成品保护的管理措施和承诺</w:t>
      </w:r>
    </w:p>
    <w:p w14:paraId="4E801E6C">
      <w:pPr>
        <w:wordWrap w:val="0"/>
        <w:spacing w:line="360" w:lineRule="auto"/>
        <w:rPr>
          <w:rFonts w:hint="eastAsia" w:ascii="宋体" w:hAnsi="宋体"/>
          <w:sz w:val="24"/>
        </w:rPr>
      </w:pPr>
      <w:r>
        <w:rPr>
          <w:rFonts w:hint="eastAsia" w:ascii="宋体" w:hAnsi="宋体"/>
          <w:sz w:val="24"/>
        </w:rPr>
        <w:t>2. 施工组织设计除采用文字表述外可附下列图表，图表及格式要求附后。</w:t>
      </w:r>
    </w:p>
    <w:p w14:paraId="241C05EE">
      <w:pPr>
        <w:wordWrap w:val="0"/>
        <w:spacing w:line="360" w:lineRule="auto"/>
        <w:rPr>
          <w:rFonts w:hint="eastAsia" w:ascii="宋体" w:hAnsi="宋体"/>
          <w:sz w:val="24"/>
        </w:rPr>
      </w:pPr>
      <w:r>
        <w:rPr>
          <w:rFonts w:hint="eastAsia" w:ascii="宋体" w:hAnsi="宋体"/>
          <w:sz w:val="24"/>
        </w:rPr>
        <w:t>附表一拟投入本标段的主要施工设备表</w:t>
      </w:r>
    </w:p>
    <w:p w14:paraId="621C3621">
      <w:pPr>
        <w:wordWrap w:val="0"/>
        <w:spacing w:line="360" w:lineRule="auto"/>
        <w:rPr>
          <w:rFonts w:hint="eastAsia" w:ascii="宋体" w:hAnsi="宋体"/>
          <w:sz w:val="24"/>
        </w:rPr>
      </w:pPr>
      <w:r>
        <w:rPr>
          <w:rFonts w:hint="eastAsia" w:ascii="宋体" w:hAnsi="宋体"/>
          <w:sz w:val="24"/>
        </w:rPr>
        <w:t>附表二拟配备本标段的试验和检测仪器设备表</w:t>
      </w:r>
    </w:p>
    <w:p w14:paraId="6F557271">
      <w:pPr>
        <w:wordWrap w:val="0"/>
        <w:spacing w:line="360" w:lineRule="auto"/>
        <w:rPr>
          <w:rFonts w:hint="eastAsia" w:ascii="宋体" w:hAnsi="宋体"/>
          <w:sz w:val="24"/>
        </w:rPr>
      </w:pPr>
      <w:r>
        <w:rPr>
          <w:rFonts w:hint="eastAsia" w:ascii="宋体" w:hAnsi="宋体"/>
          <w:sz w:val="24"/>
        </w:rPr>
        <w:t>附表三劳动力计划表</w:t>
      </w:r>
    </w:p>
    <w:p w14:paraId="3C144CD1">
      <w:pPr>
        <w:wordWrap w:val="0"/>
        <w:spacing w:line="360" w:lineRule="auto"/>
        <w:rPr>
          <w:rFonts w:hint="eastAsia" w:ascii="宋体" w:hAnsi="宋体"/>
          <w:sz w:val="24"/>
        </w:rPr>
      </w:pPr>
      <w:r>
        <w:rPr>
          <w:rFonts w:hint="eastAsia" w:ascii="宋体" w:hAnsi="宋体"/>
          <w:sz w:val="24"/>
        </w:rPr>
        <w:t>附表四计划开、竣工日期和施工进度网络图</w:t>
      </w:r>
    </w:p>
    <w:p w14:paraId="71D3B9D3">
      <w:pPr>
        <w:wordWrap w:val="0"/>
        <w:spacing w:line="360" w:lineRule="auto"/>
        <w:rPr>
          <w:rFonts w:hint="eastAsia" w:ascii="宋体" w:hAnsi="宋体"/>
          <w:sz w:val="24"/>
        </w:rPr>
      </w:pPr>
      <w:r>
        <w:rPr>
          <w:rFonts w:hint="eastAsia" w:ascii="宋体" w:hAnsi="宋体"/>
          <w:sz w:val="24"/>
        </w:rPr>
        <w:t>附表五施工平面图</w:t>
      </w:r>
    </w:p>
    <w:p w14:paraId="628CD3EE">
      <w:pPr>
        <w:wordWrap w:val="0"/>
        <w:rPr>
          <w:rFonts w:hint="eastAsia" w:ascii="宋体" w:hAnsi="宋体"/>
          <w:sz w:val="24"/>
        </w:rPr>
      </w:pPr>
    </w:p>
    <w:p w14:paraId="4FAB2A1A">
      <w:pPr>
        <w:wordWrap w:val="0"/>
      </w:pPr>
      <w:bookmarkStart w:id="756" w:name="_Toc12849"/>
      <w:bookmarkStart w:id="757" w:name="_Toc13476"/>
    </w:p>
    <w:p w14:paraId="747AFCB6">
      <w:pPr>
        <w:wordWrap w:val="0"/>
      </w:pPr>
    </w:p>
    <w:p w14:paraId="2D3DC715">
      <w:pPr>
        <w:wordWrap w:val="0"/>
      </w:pPr>
    </w:p>
    <w:p w14:paraId="360B38F0">
      <w:pPr>
        <w:wordWrap w:val="0"/>
      </w:pPr>
    </w:p>
    <w:p w14:paraId="67940D87">
      <w:pPr>
        <w:wordWrap w:val="0"/>
      </w:pPr>
    </w:p>
    <w:p w14:paraId="35D7D2AE">
      <w:pPr>
        <w:wordWrap w:val="0"/>
      </w:pPr>
    </w:p>
    <w:p w14:paraId="33BA207F">
      <w:pPr>
        <w:wordWrap w:val="0"/>
      </w:pPr>
    </w:p>
    <w:p w14:paraId="067D8653">
      <w:pPr>
        <w:wordWrap w:val="0"/>
      </w:pPr>
    </w:p>
    <w:p w14:paraId="1896DDFE">
      <w:pPr>
        <w:wordWrap w:val="0"/>
      </w:pPr>
    </w:p>
    <w:p w14:paraId="6ECF29D2">
      <w:pPr>
        <w:wordWrap w:val="0"/>
      </w:pPr>
    </w:p>
    <w:p w14:paraId="1C84413F">
      <w:pPr>
        <w:rPr>
          <w:rFonts w:hint="eastAsia" w:ascii="黑体" w:hAnsi="黑体" w:cs="黑体"/>
          <w:kern w:val="0"/>
          <w:sz w:val="28"/>
          <w:szCs w:val="28"/>
        </w:rPr>
      </w:pPr>
      <w:bookmarkStart w:id="758" w:name="_Toc198191793"/>
      <w:r>
        <w:rPr>
          <w:rFonts w:hint="eastAsia" w:ascii="黑体" w:hAnsi="黑体" w:cs="黑体"/>
          <w:kern w:val="0"/>
          <w:sz w:val="28"/>
          <w:szCs w:val="28"/>
        </w:rPr>
        <w:br w:type="page"/>
      </w:r>
    </w:p>
    <w:p w14:paraId="18C7CD5B">
      <w:pPr>
        <w:pStyle w:val="7"/>
        <w:widowControl/>
        <w:wordWrap w:val="0"/>
        <w:jc w:val="center"/>
        <w:rPr>
          <w:rFonts w:hint="eastAsia" w:ascii="黑体" w:hAnsi="黑体" w:cs="黑体"/>
          <w:b w:val="0"/>
          <w:bCs w:val="0"/>
          <w:kern w:val="0"/>
          <w:sz w:val="28"/>
          <w:szCs w:val="28"/>
        </w:rPr>
      </w:pPr>
      <w:r>
        <w:rPr>
          <w:rFonts w:hint="eastAsia" w:ascii="黑体" w:hAnsi="黑体" w:cs="黑体"/>
          <w:b w:val="0"/>
          <w:bCs w:val="0"/>
          <w:kern w:val="0"/>
          <w:sz w:val="28"/>
          <w:szCs w:val="28"/>
        </w:rPr>
        <w:t>9.企业业绩</w:t>
      </w:r>
      <w:bookmarkEnd w:id="758"/>
    </w:p>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236"/>
        <w:gridCol w:w="2520"/>
        <w:gridCol w:w="1669"/>
        <w:gridCol w:w="1387"/>
        <w:gridCol w:w="1001"/>
      </w:tblGrid>
      <w:tr w14:paraId="04509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775" w:type="dxa"/>
            <w:vAlign w:val="center"/>
          </w:tcPr>
          <w:p w14:paraId="441DC9C4">
            <w:pPr>
              <w:spacing w:line="360" w:lineRule="auto"/>
              <w:jc w:val="center"/>
              <w:rPr>
                <w:rFonts w:hint="eastAsia" w:ascii="宋体" w:hAnsi="宋体" w:cs="宋体"/>
                <w:sz w:val="24"/>
              </w:rPr>
            </w:pPr>
            <w:bookmarkStart w:id="759" w:name="_Toc57223004"/>
            <w:bookmarkStart w:id="760" w:name="_Hlk49954592"/>
            <w:r>
              <w:rPr>
                <w:rFonts w:hint="eastAsia" w:ascii="宋体" w:hAnsi="宋体" w:cs="宋体"/>
                <w:sz w:val="24"/>
              </w:rPr>
              <w:t>序号</w:t>
            </w:r>
          </w:p>
        </w:tc>
        <w:tc>
          <w:tcPr>
            <w:tcW w:w="1236" w:type="dxa"/>
            <w:vAlign w:val="center"/>
          </w:tcPr>
          <w:p w14:paraId="45D23666">
            <w:pPr>
              <w:spacing w:line="360" w:lineRule="auto"/>
              <w:jc w:val="center"/>
              <w:rPr>
                <w:rFonts w:hint="eastAsia" w:ascii="宋体" w:hAnsi="宋体" w:cs="宋体"/>
                <w:sz w:val="24"/>
              </w:rPr>
            </w:pPr>
            <w:r>
              <w:rPr>
                <w:rFonts w:hint="eastAsia" w:ascii="宋体" w:hAnsi="宋体" w:cs="宋体"/>
                <w:sz w:val="24"/>
              </w:rPr>
              <w:t>合同甲方</w:t>
            </w:r>
          </w:p>
        </w:tc>
        <w:tc>
          <w:tcPr>
            <w:tcW w:w="2520" w:type="dxa"/>
            <w:vAlign w:val="center"/>
          </w:tcPr>
          <w:p w14:paraId="2C7DCADC">
            <w:pPr>
              <w:spacing w:line="360" w:lineRule="auto"/>
              <w:jc w:val="center"/>
              <w:rPr>
                <w:rFonts w:hint="eastAsia" w:ascii="宋体" w:hAnsi="宋体" w:cs="宋体"/>
                <w:sz w:val="24"/>
              </w:rPr>
            </w:pPr>
            <w:r>
              <w:rPr>
                <w:rFonts w:hint="eastAsia" w:ascii="宋体" w:hAnsi="宋体" w:cs="宋体"/>
                <w:sz w:val="24"/>
              </w:rPr>
              <w:t>项目名称</w:t>
            </w:r>
          </w:p>
        </w:tc>
        <w:tc>
          <w:tcPr>
            <w:tcW w:w="1669" w:type="dxa"/>
            <w:vAlign w:val="center"/>
          </w:tcPr>
          <w:p w14:paraId="70DC31A9">
            <w:pPr>
              <w:spacing w:line="360" w:lineRule="auto"/>
              <w:jc w:val="center"/>
              <w:rPr>
                <w:rFonts w:hint="eastAsia" w:ascii="宋体" w:hAnsi="宋体" w:cs="宋体"/>
                <w:sz w:val="24"/>
              </w:rPr>
            </w:pPr>
            <w:r>
              <w:rPr>
                <w:rFonts w:hint="eastAsia" w:ascii="宋体" w:hAnsi="宋体" w:cs="宋体"/>
                <w:sz w:val="24"/>
              </w:rPr>
              <w:t>合同签订时间</w:t>
            </w:r>
          </w:p>
        </w:tc>
        <w:tc>
          <w:tcPr>
            <w:tcW w:w="1387" w:type="dxa"/>
            <w:vAlign w:val="center"/>
          </w:tcPr>
          <w:p w14:paraId="4A6A1522">
            <w:pPr>
              <w:spacing w:line="360" w:lineRule="auto"/>
              <w:jc w:val="center"/>
              <w:rPr>
                <w:rFonts w:hint="eastAsia" w:ascii="宋体" w:hAnsi="宋体" w:cs="宋体"/>
                <w:sz w:val="24"/>
              </w:rPr>
            </w:pPr>
            <w:r>
              <w:rPr>
                <w:rFonts w:hint="eastAsia" w:ascii="宋体" w:hAnsi="宋体" w:cs="宋体"/>
                <w:sz w:val="24"/>
              </w:rPr>
              <w:t>合同金额</w:t>
            </w:r>
          </w:p>
        </w:tc>
        <w:tc>
          <w:tcPr>
            <w:tcW w:w="1001" w:type="dxa"/>
            <w:vAlign w:val="center"/>
          </w:tcPr>
          <w:p w14:paraId="62B99330">
            <w:pPr>
              <w:spacing w:line="360" w:lineRule="auto"/>
              <w:jc w:val="center"/>
              <w:rPr>
                <w:rFonts w:hint="eastAsia" w:ascii="宋体" w:hAnsi="宋体" w:cs="宋体"/>
                <w:sz w:val="24"/>
              </w:rPr>
            </w:pPr>
            <w:r>
              <w:rPr>
                <w:rFonts w:hint="eastAsia" w:ascii="宋体" w:hAnsi="宋体" w:cs="宋体"/>
                <w:sz w:val="24"/>
              </w:rPr>
              <w:t>备注</w:t>
            </w:r>
          </w:p>
        </w:tc>
      </w:tr>
      <w:tr w14:paraId="10878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75" w:type="dxa"/>
            <w:vAlign w:val="center"/>
          </w:tcPr>
          <w:p w14:paraId="21C34B59">
            <w:pPr>
              <w:spacing w:line="360" w:lineRule="auto"/>
              <w:jc w:val="center"/>
              <w:rPr>
                <w:rFonts w:hint="eastAsia" w:ascii="宋体" w:hAnsi="宋体" w:cs="宋体"/>
                <w:b/>
                <w:sz w:val="24"/>
              </w:rPr>
            </w:pPr>
          </w:p>
        </w:tc>
        <w:tc>
          <w:tcPr>
            <w:tcW w:w="1236" w:type="dxa"/>
            <w:vAlign w:val="center"/>
          </w:tcPr>
          <w:p w14:paraId="5C2E638E">
            <w:pPr>
              <w:spacing w:line="360" w:lineRule="auto"/>
              <w:jc w:val="center"/>
              <w:rPr>
                <w:rFonts w:hint="eastAsia" w:ascii="宋体" w:hAnsi="宋体" w:cs="宋体"/>
                <w:b/>
                <w:sz w:val="24"/>
              </w:rPr>
            </w:pPr>
          </w:p>
        </w:tc>
        <w:tc>
          <w:tcPr>
            <w:tcW w:w="2520" w:type="dxa"/>
            <w:vAlign w:val="center"/>
          </w:tcPr>
          <w:p w14:paraId="7AAE30B3">
            <w:pPr>
              <w:spacing w:line="360" w:lineRule="auto"/>
              <w:jc w:val="center"/>
              <w:rPr>
                <w:rFonts w:hint="eastAsia" w:ascii="宋体" w:hAnsi="宋体" w:cs="宋体"/>
                <w:b/>
                <w:sz w:val="24"/>
              </w:rPr>
            </w:pPr>
          </w:p>
        </w:tc>
        <w:tc>
          <w:tcPr>
            <w:tcW w:w="1669" w:type="dxa"/>
            <w:vAlign w:val="center"/>
          </w:tcPr>
          <w:p w14:paraId="078F355F">
            <w:pPr>
              <w:spacing w:line="360" w:lineRule="auto"/>
              <w:jc w:val="center"/>
              <w:rPr>
                <w:rFonts w:hint="eastAsia" w:ascii="宋体" w:hAnsi="宋体" w:cs="宋体"/>
                <w:b/>
                <w:sz w:val="24"/>
              </w:rPr>
            </w:pPr>
          </w:p>
        </w:tc>
        <w:tc>
          <w:tcPr>
            <w:tcW w:w="1387" w:type="dxa"/>
            <w:vAlign w:val="center"/>
          </w:tcPr>
          <w:p w14:paraId="1BFF382F">
            <w:pPr>
              <w:spacing w:line="360" w:lineRule="auto"/>
              <w:jc w:val="center"/>
              <w:rPr>
                <w:rFonts w:hint="eastAsia" w:ascii="宋体" w:hAnsi="宋体" w:cs="宋体"/>
                <w:b/>
                <w:sz w:val="24"/>
              </w:rPr>
            </w:pPr>
          </w:p>
        </w:tc>
        <w:tc>
          <w:tcPr>
            <w:tcW w:w="1001" w:type="dxa"/>
            <w:vAlign w:val="center"/>
          </w:tcPr>
          <w:p w14:paraId="291B1F2B">
            <w:pPr>
              <w:spacing w:line="360" w:lineRule="auto"/>
              <w:jc w:val="center"/>
              <w:rPr>
                <w:rFonts w:hint="eastAsia" w:ascii="宋体" w:hAnsi="宋体" w:cs="宋体"/>
                <w:b/>
                <w:sz w:val="24"/>
              </w:rPr>
            </w:pPr>
          </w:p>
        </w:tc>
      </w:tr>
      <w:tr w14:paraId="05798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75" w:type="dxa"/>
            <w:vAlign w:val="center"/>
          </w:tcPr>
          <w:p w14:paraId="3993EC02">
            <w:pPr>
              <w:spacing w:line="360" w:lineRule="auto"/>
              <w:jc w:val="center"/>
              <w:rPr>
                <w:rFonts w:hint="eastAsia" w:ascii="宋体" w:hAnsi="宋体" w:cs="宋体"/>
                <w:b/>
                <w:sz w:val="24"/>
              </w:rPr>
            </w:pPr>
          </w:p>
        </w:tc>
        <w:tc>
          <w:tcPr>
            <w:tcW w:w="1236" w:type="dxa"/>
            <w:vAlign w:val="center"/>
          </w:tcPr>
          <w:p w14:paraId="7AD1DBAB">
            <w:pPr>
              <w:spacing w:line="360" w:lineRule="auto"/>
              <w:jc w:val="center"/>
              <w:rPr>
                <w:rFonts w:hint="eastAsia" w:ascii="宋体" w:hAnsi="宋体" w:cs="宋体"/>
                <w:b/>
                <w:sz w:val="24"/>
              </w:rPr>
            </w:pPr>
          </w:p>
        </w:tc>
        <w:tc>
          <w:tcPr>
            <w:tcW w:w="2520" w:type="dxa"/>
            <w:vAlign w:val="center"/>
          </w:tcPr>
          <w:p w14:paraId="5FE5323E">
            <w:pPr>
              <w:spacing w:line="360" w:lineRule="auto"/>
              <w:jc w:val="center"/>
              <w:rPr>
                <w:rFonts w:hint="eastAsia" w:ascii="宋体" w:hAnsi="宋体" w:cs="宋体"/>
                <w:b/>
                <w:sz w:val="24"/>
              </w:rPr>
            </w:pPr>
          </w:p>
        </w:tc>
        <w:tc>
          <w:tcPr>
            <w:tcW w:w="1669" w:type="dxa"/>
            <w:vAlign w:val="center"/>
          </w:tcPr>
          <w:p w14:paraId="76C56FED">
            <w:pPr>
              <w:spacing w:line="360" w:lineRule="auto"/>
              <w:jc w:val="center"/>
              <w:rPr>
                <w:rFonts w:hint="eastAsia" w:ascii="宋体" w:hAnsi="宋体" w:cs="宋体"/>
                <w:b/>
                <w:sz w:val="24"/>
              </w:rPr>
            </w:pPr>
          </w:p>
        </w:tc>
        <w:tc>
          <w:tcPr>
            <w:tcW w:w="1387" w:type="dxa"/>
            <w:vAlign w:val="center"/>
          </w:tcPr>
          <w:p w14:paraId="0F63DD86">
            <w:pPr>
              <w:spacing w:line="360" w:lineRule="auto"/>
              <w:jc w:val="center"/>
              <w:rPr>
                <w:rFonts w:hint="eastAsia" w:ascii="宋体" w:hAnsi="宋体" w:cs="宋体"/>
                <w:b/>
                <w:sz w:val="24"/>
              </w:rPr>
            </w:pPr>
          </w:p>
        </w:tc>
        <w:tc>
          <w:tcPr>
            <w:tcW w:w="1001" w:type="dxa"/>
            <w:vAlign w:val="center"/>
          </w:tcPr>
          <w:p w14:paraId="05360C10">
            <w:pPr>
              <w:spacing w:line="360" w:lineRule="auto"/>
              <w:jc w:val="center"/>
              <w:rPr>
                <w:rFonts w:hint="eastAsia" w:ascii="宋体" w:hAnsi="宋体" w:cs="宋体"/>
                <w:b/>
                <w:sz w:val="24"/>
              </w:rPr>
            </w:pPr>
          </w:p>
        </w:tc>
      </w:tr>
      <w:tr w14:paraId="29C32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75" w:type="dxa"/>
            <w:vAlign w:val="center"/>
          </w:tcPr>
          <w:p w14:paraId="22166CB8">
            <w:pPr>
              <w:spacing w:line="360" w:lineRule="auto"/>
              <w:jc w:val="center"/>
              <w:rPr>
                <w:rFonts w:hint="eastAsia" w:ascii="宋体" w:hAnsi="宋体" w:cs="宋体"/>
                <w:b/>
                <w:sz w:val="24"/>
              </w:rPr>
            </w:pPr>
          </w:p>
        </w:tc>
        <w:tc>
          <w:tcPr>
            <w:tcW w:w="1236" w:type="dxa"/>
            <w:vAlign w:val="center"/>
          </w:tcPr>
          <w:p w14:paraId="51558398">
            <w:pPr>
              <w:spacing w:line="360" w:lineRule="auto"/>
              <w:jc w:val="center"/>
              <w:rPr>
                <w:rFonts w:hint="eastAsia" w:ascii="宋体" w:hAnsi="宋体" w:cs="宋体"/>
                <w:b/>
                <w:sz w:val="24"/>
              </w:rPr>
            </w:pPr>
          </w:p>
        </w:tc>
        <w:tc>
          <w:tcPr>
            <w:tcW w:w="2520" w:type="dxa"/>
            <w:vAlign w:val="center"/>
          </w:tcPr>
          <w:p w14:paraId="58A63343">
            <w:pPr>
              <w:spacing w:line="360" w:lineRule="auto"/>
              <w:jc w:val="center"/>
              <w:rPr>
                <w:rFonts w:hint="eastAsia" w:ascii="宋体" w:hAnsi="宋体" w:cs="宋体"/>
                <w:b/>
                <w:sz w:val="24"/>
              </w:rPr>
            </w:pPr>
          </w:p>
        </w:tc>
        <w:tc>
          <w:tcPr>
            <w:tcW w:w="1669" w:type="dxa"/>
            <w:vAlign w:val="center"/>
          </w:tcPr>
          <w:p w14:paraId="7B097165">
            <w:pPr>
              <w:spacing w:line="360" w:lineRule="auto"/>
              <w:jc w:val="center"/>
              <w:rPr>
                <w:rFonts w:hint="eastAsia" w:ascii="宋体" w:hAnsi="宋体" w:cs="宋体"/>
                <w:b/>
                <w:sz w:val="24"/>
              </w:rPr>
            </w:pPr>
          </w:p>
        </w:tc>
        <w:tc>
          <w:tcPr>
            <w:tcW w:w="1387" w:type="dxa"/>
            <w:vAlign w:val="center"/>
          </w:tcPr>
          <w:p w14:paraId="34502AA6">
            <w:pPr>
              <w:spacing w:line="360" w:lineRule="auto"/>
              <w:jc w:val="center"/>
              <w:rPr>
                <w:rFonts w:hint="eastAsia" w:ascii="宋体" w:hAnsi="宋体" w:cs="宋体"/>
                <w:b/>
                <w:sz w:val="24"/>
              </w:rPr>
            </w:pPr>
          </w:p>
        </w:tc>
        <w:tc>
          <w:tcPr>
            <w:tcW w:w="1001" w:type="dxa"/>
            <w:vAlign w:val="center"/>
          </w:tcPr>
          <w:p w14:paraId="0280FEFF">
            <w:pPr>
              <w:spacing w:line="360" w:lineRule="auto"/>
              <w:jc w:val="center"/>
              <w:rPr>
                <w:rFonts w:hint="eastAsia" w:ascii="宋体" w:hAnsi="宋体" w:cs="宋体"/>
                <w:b/>
                <w:sz w:val="24"/>
              </w:rPr>
            </w:pPr>
          </w:p>
        </w:tc>
      </w:tr>
      <w:tr w14:paraId="6A31E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75" w:type="dxa"/>
            <w:vAlign w:val="center"/>
          </w:tcPr>
          <w:p w14:paraId="3E508EC6">
            <w:pPr>
              <w:spacing w:line="360" w:lineRule="auto"/>
              <w:jc w:val="center"/>
              <w:rPr>
                <w:rFonts w:hint="eastAsia" w:ascii="宋体" w:hAnsi="宋体" w:cs="宋体"/>
                <w:b/>
                <w:sz w:val="24"/>
              </w:rPr>
            </w:pPr>
          </w:p>
        </w:tc>
        <w:tc>
          <w:tcPr>
            <w:tcW w:w="1236" w:type="dxa"/>
            <w:vAlign w:val="center"/>
          </w:tcPr>
          <w:p w14:paraId="33820F08">
            <w:pPr>
              <w:spacing w:line="360" w:lineRule="auto"/>
              <w:jc w:val="center"/>
              <w:rPr>
                <w:rFonts w:hint="eastAsia" w:ascii="宋体" w:hAnsi="宋体" w:cs="宋体"/>
                <w:b/>
                <w:sz w:val="24"/>
              </w:rPr>
            </w:pPr>
          </w:p>
        </w:tc>
        <w:tc>
          <w:tcPr>
            <w:tcW w:w="2520" w:type="dxa"/>
            <w:vAlign w:val="center"/>
          </w:tcPr>
          <w:p w14:paraId="1F877C3A">
            <w:pPr>
              <w:spacing w:line="360" w:lineRule="auto"/>
              <w:jc w:val="center"/>
              <w:rPr>
                <w:rFonts w:hint="eastAsia" w:ascii="宋体" w:hAnsi="宋体" w:cs="宋体"/>
                <w:b/>
                <w:sz w:val="24"/>
              </w:rPr>
            </w:pPr>
          </w:p>
        </w:tc>
        <w:tc>
          <w:tcPr>
            <w:tcW w:w="1669" w:type="dxa"/>
            <w:vAlign w:val="center"/>
          </w:tcPr>
          <w:p w14:paraId="2BB57A23">
            <w:pPr>
              <w:spacing w:line="360" w:lineRule="auto"/>
              <w:jc w:val="center"/>
              <w:rPr>
                <w:rFonts w:hint="eastAsia" w:ascii="宋体" w:hAnsi="宋体" w:cs="宋体"/>
                <w:b/>
                <w:sz w:val="24"/>
              </w:rPr>
            </w:pPr>
          </w:p>
        </w:tc>
        <w:tc>
          <w:tcPr>
            <w:tcW w:w="1387" w:type="dxa"/>
            <w:vAlign w:val="center"/>
          </w:tcPr>
          <w:p w14:paraId="6C1B6BFA">
            <w:pPr>
              <w:spacing w:line="360" w:lineRule="auto"/>
              <w:jc w:val="center"/>
              <w:rPr>
                <w:rFonts w:hint="eastAsia" w:ascii="宋体" w:hAnsi="宋体" w:cs="宋体"/>
                <w:b/>
                <w:sz w:val="24"/>
              </w:rPr>
            </w:pPr>
          </w:p>
        </w:tc>
        <w:tc>
          <w:tcPr>
            <w:tcW w:w="1001" w:type="dxa"/>
            <w:vAlign w:val="center"/>
          </w:tcPr>
          <w:p w14:paraId="730A38CC">
            <w:pPr>
              <w:spacing w:line="360" w:lineRule="auto"/>
              <w:jc w:val="center"/>
              <w:rPr>
                <w:rFonts w:hint="eastAsia" w:ascii="宋体" w:hAnsi="宋体" w:cs="宋体"/>
                <w:b/>
                <w:sz w:val="24"/>
              </w:rPr>
            </w:pPr>
          </w:p>
        </w:tc>
      </w:tr>
      <w:tr w14:paraId="4AD44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75" w:type="dxa"/>
            <w:vAlign w:val="center"/>
          </w:tcPr>
          <w:p w14:paraId="17AC142D">
            <w:pPr>
              <w:spacing w:line="360" w:lineRule="auto"/>
              <w:jc w:val="center"/>
              <w:rPr>
                <w:rFonts w:hint="eastAsia" w:ascii="宋体" w:hAnsi="宋体" w:cs="宋体"/>
                <w:b/>
                <w:sz w:val="24"/>
              </w:rPr>
            </w:pPr>
            <w:r>
              <w:rPr>
                <w:rFonts w:hint="eastAsia" w:ascii="宋体" w:hAnsi="宋体" w:cs="宋体"/>
                <w:b/>
                <w:sz w:val="24"/>
              </w:rPr>
              <w:t>……</w:t>
            </w:r>
          </w:p>
        </w:tc>
        <w:tc>
          <w:tcPr>
            <w:tcW w:w="1236" w:type="dxa"/>
            <w:vAlign w:val="center"/>
          </w:tcPr>
          <w:p w14:paraId="3F8EB466">
            <w:pPr>
              <w:spacing w:line="360" w:lineRule="auto"/>
              <w:jc w:val="center"/>
              <w:rPr>
                <w:rFonts w:hint="eastAsia" w:ascii="宋体" w:hAnsi="宋体" w:cs="宋体"/>
                <w:b/>
                <w:sz w:val="24"/>
              </w:rPr>
            </w:pPr>
          </w:p>
        </w:tc>
        <w:tc>
          <w:tcPr>
            <w:tcW w:w="2520" w:type="dxa"/>
            <w:vAlign w:val="center"/>
          </w:tcPr>
          <w:p w14:paraId="60AB93C8">
            <w:pPr>
              <w:spacing w:line="360" w:lineRule="auto"/>
              <w:jc w:val="center"/>
              <w:rPr>
                <w:rFonts w:hint="eastAsia" w:ascii="宋体" w:hAnsi="宋体" w:cs="宋体"/>
                <w:b/>
                <w:sz w:val="24"/>
              </w:rPr>
            </w:pPr>
          </w:p>
        </w:tc>
        <w:tc>
          <w:tcPr>
            <w:tcW w:w="1669" w:type="dxa"/>
            <w:vAlign w:val="center"/>
          </w:tcPr>
          <w:p w14:paraId="31513A9F">
            <w:pPr>
              <w:spacing w:line="360" w:lineRule="auto"/>
              <w:jc w:val="center"/>
              <w:rPr>
                <w:rFonts w:hint="eastAsia" w:ascii="宋体" w:hAnsi="宋体" w:cs="宋体"/>
                <w:b/>
                <w:sz w:val="24"/>
              </w:rPr>
            </w:pPr>
          </w:p>
        </w:tc>
        <w:tc>
          <w:tcPr>
            <w:tcW w:w="1387" w:type="dxa"/>
            <w:vAlign w:val="center"/>
          </w:tcPr>
          <w:p w14:paraId="1442ACDF">
            <w:pPr>
              <w:spacing w:line="360" w:lineRule="auto"/>
              <w:jc w:val="center"/>
              <w:rPr>
                <w:rFonts w:hint="eastAsia" w:ascii="宋体" w:hAnsi="宋体" w:cs="宋体"/>
                <w:b/>
                <w:sz w:val="24"/>
              </w:rPr>
            </w:pPr>
          </w:p>
        </w:tc>
        <w:tc>
          <w:tcPr>
            <w:tcW w:w="1001" w:type="dxa"/>
            <w:vAlign w:val="center"/>
          </w:tcPr>
          <w:p w14:paraId="5CEEA8F2">
            <w:pPr>
              <w:spacing w:line="360" w:lineRule="auto"/>
              <w:jc w:val="center"/>
              <w:rPr>
                <w:rFonts w:hint="eastAsia" w:ascii="宋体" w:hAnsi="宋体" w:cs="宋体"/>
                <w:b/>
                <w:sz w:val="24"/>
              </w:rPr>
            </w:pPr>
          </w:p>
        </w:tc>
      </w:tr>
    </w:tbl>
    <w:p w14:paraId="4C92F6EA">
      <w:pPr>
        <w:pStyle w:val="28"/>
        <w:spacing w:line="360" w:lineRule="auto"/>
        <w:ind w:left="99" w:leftChars="47" w:firstLine="240" w:firstLineChars="100"/>
        <w:rPr>
          <w:rFonts w:hint="eastAsia" w:ascii="宋体" w:hAnsi="宋体" w:cs="宋体"/>
          <w:szCs w:val="24"/>
        </w:rPr>
      </w:pPr>
      <w:r>
        <w:rPr>
          <w:rFonts w:hint="eastAsia" w:ascii="宋体" w:hAnsi="宋体" w:cs="宋体"/>
          <w:szCs w:val="24"/>
        </w:rPr>
        <w:t>注：后附合同复印件，加盖公章。</w:t>
      </w:r>
    </w:p>
    <w:p w14:paraId="3D175F2D">
      <w:pPr>
        <w:pStyle w:val="26"/>
        <w:spacing w:line="360" w:lineRule="auto"/>
        <w:jc w:val="center"/>
        <w:rPr>
          <w:rFonts w:hint="eastAsia" w:hAnsi="宋体" w:cs="宋体"/>
          <w:b/>
          <w:sz w:val="24"/>
          <w:szCs w:val="24"/>
        </w:rPr>
      </w:pPr>
    </w:p>
    <w:p w14:paraId="44AB17F7">
      <w:pPr>
        <w:spacing w:line="360" w:lineRule="auto"/>
        <w:jc w:val="center"/>
        <w:rPr>
          <w:rFonts w:hint="eastAsia" w:ascii="宋体" w:hAnsi="宋体" w:cs="宋体"/>
          <w:sz w:val="24"/>
        </w:rPr>
      </w:pPr>
    </w:p>
    <w:p w14:paraId="72C337AB">
      <w:pPr>
        <w:rPr>
          <w:rFonts w:hint="eastAsia" w:ascii="宋体" w:hAnsi="宋体" w:cs="宋体"/>
          <w:kern w:val="0"/>
          <w:sz w:val="24"/>
        </w:rPr>
      </w:pPr>
      <w:r>
        <w:rPr>
          <w:rFonts w:hint="eastAsia" w:ascii="宋体" w:hAnsi="宋体" w:cs="宋体"/>
          <w:kern w:val="0"/>
          <w:sz w:val="24"/>
        </w:rPr>
        <w:br w:type="page"/>
      </w:r>
    </w:p>
    <w:p w14:paraId="463B8C43">
      <w:pPr>
        <w:pStyle w:val="7"/>
        <w:widowControl/>
        <w:wordWrap w:val="0"/>
        <w:jc w:val="center"/>
        <w:rPr>
          <w:rFonts w:hint="eastAsia" w:ascii="黑体" w:hAnsi="黑体" w:cs="黑体"/>
          <w:b w:val="0"/>
          <w:bCs w:val="0"/>
          <w:kern w:val="0"/>
          <w:sz w:val="28"/>
          <w:szCs w:val="28"/>
        </w:rPr>
      </w:pPr>
      <w:bookmarkStart w:id="761" w:name="_Toc198191794"/>
      <w:r>
        <w:rPr>
          <w:rFonts w:hint="eastAsia" w:ascii="黑体" w:hAnsi="黑体" w:cs="黑体"/>
          <w:b w:val="0"/>
          <w:bCs w:val="0"/>
          <w:kern w:val="0"/>
          <w:sz w:val="28"/>
          <w:szCs w:val="28"/>
        </w:rPr>
        <w:t>10.</w:t>
      </w:r>
      <w:bookmarkEnd w:id="759"/>
      <w:r>
        <w:rPr>
          <w:rFonts w:hint="eastAsia" w:ascii="黑体" w:hAnsi="黑体" w:cs="黑体"/>
          <w:b w:val="0"/>
          <w:bCs w:val="0"/>
          <w:kern w:val="0"/>
          <w:sz w:val="28"/>
          <w:szCs w:val="28"/>
        </w:rPr>
        <w:t>项目经理业绩</w:t>
      </w:r>
      <w:bookmarkEnd w:id="761"/>
    </w:p>
    <w:bookmarkEnd w:id="760"/>
    <w:tbl>
      <w:tblPr>
        <w:tblStyle w:val="4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281"/>
        <w:gridCol w:w="2400"/>
        <w:gridCol w:w="1744"/>
        <w:gridCol w:w="1387"/>
        <w:gridCol w:w="1001"/>
      </w:tblGrid>
      <w:tr w14:paraId="66EBC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775" w:type="dxa"/>
            <w:vAlign w:val="center"/>
          </w:tcPr>
          <w:p w14:paraId="7580CAF7">
            <w:pPr>
              <w:spacing w:line="360" w:lineRule="auto"/>
              <w:jc w:val="center"/>
              <w:rPr>
                <w:rFonts w:hint="eastAsia" w:ascii="宋体" w:hAnsi="宋体" w:cs="宋体"/>
                <w:sz w:val="24"/>
              </w:rPr>
            </w:pPr>
            <w:r>
              <w:rPr>
                <w:rFonts w:hint="eastAsia" w:ascii="宋体" w:hAnsi="宋体" w:cs="宋体"/>
                <w:sz w:val="24"/>
              </w:rPr>
              <w:t>序号</w:t>
            </w:r>
          </w:p>
        </w:tc>
        <w:tc>
          <w:tcPr>
            <w:tcW w:w="1281" w:type="dxa"/>
            <w:vAlign w:val="center"/>
          </w:tcPr>
          <w:p w14:paraId="68F763C2">
            <w:pPr>
              <w:spacing w:line="360" w:lineRule="auto"/>
              <w:jc w:val="center"/>
              <w:rPr>
                <w:rFonts w:hint="eastAsia" w:ascii="宋体" w:hAnsi="宋体" w:cs="宋体"/>
                <w:sz w:val="24"/>
              </w:rPr>
            </w:pPr>
            <w:r>
              <w:rPr>
                <w:rFonts w:hint="eastAsia" w:ascii="宋体" w:hAnsi="宋体" w:cs="宋体"/>
                <w:sz w:val="24"/>
              </w:rPr>
              <w:t>合同甲方</w:t>
            </w:r>
          </w:p>
        </w:tc>
        <w:tc>
          <w:tcPr>
            <w:tcW w:w="2400" w:type="dxa"/>
            <w:vAlign w:val="center"/>
          </w:tcPr>
          <w:p w14:paraId="75BAF765">
            <w:pPr>
              <w:spacing w:line="360" w:lineRule="auto"/>
              <w:jc w:val="center"/>
              <w:rPr>
                <w:rFonts w:hint="eastAsia" w:ascii="宋体" w:hAnsi="宋体" w:cs="宋体"/>
                <w:sz w:val="24"/>
              </w:rPr>
            </w:pPr>
            <w:r>
              <w:rPr>
                <w:rFonts w:hint="eastAsia" w:ascii="宋体" w:hAnsi="宋体" w:cs="宋体"/>
                <w:sz w:val="24"/>
              </w:rPr>
              <w:t>项目名称</w:t>
            </w:r>
          </w:p>
        </w:tc>
        <w:tc>
          <w:tcPr>
            <w:tcW w:w="1744" w:type="dxa"/>
            <w:vAlign w:val="center"/>
          </w:tcPr>
          <w:p w14:paraId="20B1C971">
            <w:pPr>
              <w:spacing w:line="360" w:lineRule="auto"/>
              <w:jc w:val="center"/>
              <w:rPr>
                <w:rFonts w:hint="eastAsia" w:ascii="宋体" w:hAnsi="宋体" w:cs="宋体"/>
                <w:sz w:val="24"/>
              </w:rPr>
            </w:pPr>
            <w:r>
              <w:rPr>
                <w:rFonts w:hint="eastAsia" w:ascii="宋体" w:hAnsi="宋体" w:cs="宋体"/>
                <w:sz w:val="24"/>
              </w:rPr>
              <w:t>合同签订时间</w:t>
            </w:r>
          </w:p>
        </w:tc>
        <w:tc>
          <w:tcPr>
            <w:tcW w:w="1387" w:type="dxa"/>
            <w:vAlign w:val="center"/>
          </w:tcPr>
          <w:p w14:paraId="5F89AF51">
            <w:pPr>
              <w:spacing w:line="360" w:lineRule="auto"/>
              <w:jc w:val="center"/>
              <w:rPr>
                <w:rFonts w:hint="eastAsia" w:ascii="宋体" w:hAnsi="宋体" w:cs="宋体"/>
                <w:sz w:val="24"/>
              </w:rPr>
            </w:pPr>
            <w:r>
              <w:rPr>
                <w:rFonts w:hint="eastAsia" w:ascii="宋体" w:hAnsi="宋体" w:cs="宋体"/>
                <w:sz w:val="24"/>
              </w:rPr>
              <w:t>合同金额</w:t>
            </w:r>
          </w:p>
        </w:tc>
        <w:tc>
          <w:tcPr>
            <w:tcW w:w="1001" w:type="dxa"/>
            <w:vAlign w:val="center"/>
          </w:tcPr>
          <w:p w14:paraId="4017AA44">
            <w:pPr>
              <w:spacing w:line="360" w:lineRule="auto"/>
              <w:jc w:val="center"/>
              <w:rPr>
                <w:rFonts w:hint="eastAsia" w:ascii="宋体" w:hAnsi="宋体" w:cs="宋体"/>
                <w:sz w:val="24"/>
              </w:rPr>
            </w:pPr>
            <w:r>
              <w:rPr>
                <w:rFonts w:hint="eastAsia" w:ascii="宋体" w:hAnsi="宋体" w:cs="宋体"/>
                <w:sz w:val="24"/>
              </w:rPr>
              <w:t>备注</w:t>
            </w:r>
          </w:p>
        </w:tc>
      </w:tr>
      <w:tr w14:paraId="6B55E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75" w:type="dxa"/>
            <w:vAlign w:val="center"/>
          </w:tcPr>
          <w:p w14:paraId="7E048E52">
            <w:pPr>
              <w:spacing w:line="360" w:lineRule="auto"/>
              <w:jc w:val="center"/>
              <w:rPr>
                <w:rFonts w:hint="eastAsia" w:ascii="宋体" w:hAnsi="宋体" w:cs="宋体"/>
                <w:b/>
                <w:sz w:val="24"/>
              </w:rPr>
            </w:pPr>
          </w:p>
        </w:tc>
        <w:tc>
          <w:tcPr>
            <w:tcW w:w="1281" w:type="dxa"/>
            <w:vAlign w:val="center"/>
          </w:tcPr>
          <w:p w14:paraId="0FD4E34B">
            <w:pPr>
              <w:spacing w:line="360" w:lineRule="auto"/>
              <w:jc w:val="center"/>
              <w:rPr>
                <w:rFonts w:hint="eastAsia" w:ascii="宋体" w:hAnsi="宋体" w:cs="宋体"/>
                <w:b/>
                <w:sz w:val="24"/>
              </w:rPr>
            </w:pPr>
          </w:p>
        </w:tc>
        <w:tc>
          <w:tcPr>
            <w:tcW w:w="2400" w:type="dxa"/>
            <w:vAlign w:val="center"/>
          </w:tcPr>
          <w:p w14:paraId="75205F54">
            <w:pPr>
              <w:spacing w:line="360" w:lineRule="auto"/>
              <w:jc w:val="center"/>
              <w:rPr>
                <w:rFonts w:hint="eastAsia" w:ascii="宋体" w:hAnsi="宋体" w:cs="宋体"/>
                <w:b/>
                <w:sz w:val="24"/>
              </w:rPr>
            </w:pPr>
          </w:p>
        </w:tc>
        <w:tc>
          <w:tcPr>
            <w:tcW w:w="1744" w:type="dxa"/>
            <w:vAlign w:val="center"/>
          </w:tcPr>
          <w:p w14:paraId="75F6045C">
            <w:pPr>
              <w:spacing w:line="360" w:lineRule="auto"/>
              <w:jc w:val="center"/>
              <w:rPr>
                <w:rFonts w:hint="eastAsia" w:ascii="宋体" w:hAnsi="宋体" w:cs="宋体"/>
                <w:b/>
                <w:sz w:val="24"/>
              </w:rPr>
            </w:pPr>
          </w:p>
        </w:tc>
        <w:tc>
          <w:tcPr>
            <w:tcW w:w="1387" w:type="dxa"/>
            <w:vAlign w:val="center"/>
          </w:tcPr>
          <w:p w14:paraId="7A123E85">
            <w:pPr>
              <w:spacing w:line="360" w:lineRule="auto"/>
              <w:jc w:val="center"/>
              <w:rPr>
                <w:rFonts w:hint="eastAsia" w:ascii="宋体" w:hAnsi="宋体" w:cs="宋体"/>
                <w:b/>
                <w:sz w:val="24"/>
              </w:rPr>
            </w:pPr>
          </w:p>
        </w:tc>
        <w:tc>
          <w:tcPr>
            <w:tcW w:w="1001" w:type="dxa"/>
            <w:vAlign w:val="center"/>
          </w:tcPr>
          <w:p w14:paraId="28F57352">
            <w:pPr>
              <w:spacing w:line="360" w:lineRule="auto"/>
              <w:jc w:val="center"/>
              <w:rPr>
                <w:rFonts w:hint="eastAsia" w:ascii="宋体" w:hAnsi="宋体" w:cs="宋体"/>
                <w:b/>
                <w:sz w:val="24"/>
              </w:rPr>
            </w:pPr>
          </w:p>
        </w:tc>
      </w:tr>
      <w:tr w14:paraId="3E041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75" w:type="dxa"/>
            <w:vAlign w:val="center"/>
          </w:tcPr>
          <w:p w14:paraId="596A7BEB">
            <w:pPr>
              <w:spacing w:line="360" w:lineRule="auto"/>
              <w:jc w:val="center"/>
              <w:rPr>
                <w:rFonts w:hint="eastAsia" w:ascii="宋体" w:hAnsi="宋体" w:cs="宋体"/>
                <w:b/>
                <w:sz w:val="24"/>
              </w:rPr>
            </w:pPr>
          </w:p>
        </w:tc>
        <w:tc>
          <w:tcPr>
            <w:tcW w:w="1281" w:type="dxa"/>
            <w:vAlign w:val="center"/>
          </w:tcPr>
          <w:p w14:paraId="6520D0FE">
            <w:pPr>
              <w:spacing w:line="360" w:lineRule="auto"/>
              <w:jc w:val="center"/>
              <w:rPr>
                <w:rFonts w:hint="eastAsia" w:ascii="宋体" w:hAnsi="宋体" w:cs="宋体"/>
                <w:b/>
                <w:sz w:val="24"/>
              </w:rPr>
            </w:pPr>
          </w:p>
        </w:tc>
        <w:tc>
          <w:tcPr>
            <w:tcW w:w="2400" w:type="dxa"/>
            <w:vAlign w:val="center"/>
          </w:tcPr>
          <w:p w14:paraId="36FE8C52">
            <w:pPr>
              <w:spacing w:line="360" w:lineRule="auto"/>
              <w:jc w:val="center"/>
              <w:rPr>
                <w:rFonts w:hint="eastAsia" w:ascii="宋体" w:hAnsi="宋体" w:cs="宋体"/>
                <w:b/>
                <w:sz w:val="24"/>
              </w:rPr>
            </w:pPr>
          </w:p>
        </w:tc>
        <w:tc>
          <w:tcPr>
            <w:tcW w:w="1744" w:type="dxa"/>
            <w:vAlign w:val="center"/>
          </w:tcPr>
          <w:p w14:paraId="5E59FCC7">
            <w:pPr>
              <w:spacing w:line="360" w:lineRule="auto"/>
              <w:jc w:val="center"/>
              <w:rPr>
                <w:rFonts w:hint="eastAsia" w:ascii="宋体" w:hAnsi="宋体" w:cs="宋体"/>
                <w:b/>
                <w:sz w:val="24"/>
              </w:rPr>
            </w:pPr>
          </w:p>
        </w:tc>
        <w:tc>
          <w:tcPr>
            <w:tcW w:w="1387" w:type="dxa"/>
            <w:vAlign w:val="center"/>
          </w:tcPr>
          <w:p w14:paraId="3D435A13">
            <w:pPr>
              <w:spacing w:line="360" w:lineRule="auto"/>
              <w:jc w:val="center"/>
              <w:rPr>
                <w:rFonts w:hint="eastAsia" w:ascii="宋体" w:hAnsi="宋体" w:cs="宋体"/>
                <w:b/>
                <w:sz w:val="24"/>
              </w:rPr>
            </w:pPr>
          </w:p>
        </w:tc>
        <w:tc>
          <w:tcPr>
            <w:tcW w:w="1001" w:type="dxa"/>
            <w:vAlign w:val="center"/>
          </w:tcPr>
          <w:p w14:paraId="5BE36770">
            <w:pPr>
              <w:spacing w:line="360" w:lineRule="auto"/>
              <w:jc w:val="center"/>
              <w:rPr>
                <w:rFonts w:hint="eastAsia" w:ascii="宋体" w:hAnsi="宋体" w:cs="宋体"/>
                <w:b/>
                <w:sz w:val="24"/>
              </w:rPr>
            </w:pPr>
          </w:p>
        </w:tc>
      </w:tr>
      <w:tr w14:paraId="0A2BC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75" w:type="dxa"/>
            <w:vAlign w:val="center"/>
          </w:tcPr>
          <w:p w14:paraId="3E67D01E">
            <w:pPr>
              <w:spacing w:line="360" w:lineRule="auto"/>
              <w:jc w:val="center"/>
              <w:rPr>
                <w:rFonts w:hint="eastAsia" w:ascii="宋体" w:hAnsi="宋体" w:cs="宋体"/>
                <w:b/>
                <w:sz w:val="24"/>
              </w:rPr>
            </w:pPr>
          </w:p>
        </w:tc>
        <w:tc>
          <w:tcPr>
            <w:tcW w:w="1281" w:type="dxa"/>
            <w:vAlign w:val="center"/>
          </w:tcPr>
          <w:p w14:paraId="2FA7EA9D">
            <w:pPr>
              <w:spacing w:line="360" w:lineRule="auto"/>
              <w:jc w:val="center"/>
              <w:rPr>
                <w:rFonts w:hint="eastAsia" w:ascii="宋体" w:hAnsi="宋体" w:cs="宋体"/>
                <w:b/>
                <w:sz w:val="24"/>
              </w:rPr>
            </w:pPr>
          </w:p>
        </w:tc>
        <w:tc>
          <w:tcPr>
            <w:tcW w:w="2400" w:type="dxa"/>
            <w:vAlign w:val="center"/>
          </w:tcPr>
          <w:p w14:paraId="57E04919">
            <w:pPr>
              <w:spacing w:line="360" w:lineRule="auto"/>
              <w:jc w:val="center"/>
              <w:rPr>
                <w:rFonts w:hint="eastAsia" w:ascii="宋体" w:hAnsi="宋体" w:cs="宋体"/>
                <w:b/>
                <w:sz w:val="24"/>
              </w:rPr>
            </w:pPr>
          </w:p>
        </w:tc>
        <w:tc>
          <w:tcPr>
            <w:tcW w:w="1744" w:type="dxa"/>
            <w:vAlign w:val="center"/>
          </w:tcPr>
          <w:p w14:paraId="52612989">
            <w:pPr>
              <w:spacing w:line="360" w:lineRule="auto"/>
              <w:jc w:val="center"/>
              <w:rPr>
                <w:rFonts w:hint="eastAsia" w:ascii="宋体" w:hAnsi="宋体" w:cs="宋体"/>
                <w:b/>
                <w:sz w:val="24"/>
              </w:rPr>
            </w:pPr>
          </w:p>
        </w:tc>
        <w:tc>
          <w:tcPr>
            <w:tcW w:w="1387" w:type="dxa"/>
            <w:vAlign w:val="center"/>
          </w:tcPr>
          <w:p w14:paraId="7483445C">
            <w:pPr>
              <w:spacing w:line="360" w:lineRule="auto"/>
              <w:jc w:val="center"/>
              <w:rPr>
                <w:rFonts w:hint="eastAsia" w:ascii="宋体" w:hAnsi="宋体" w:cs="宋体"/>
                <w:b/>
                <w:sz w:val="24"/>
              </w:rPr>
            </w:pPr>
          </w:p>
        </w:tc>
        <w:tc>
          <w:tcPr>
            <w:tcW w:w="1001" w:type="dxa"/>
            <w:vAlign w:val="center"/>
          </w:tcPr>
          <w:p w14:paraId="6AE26439">
            <w:pPr>
              <w:spacing w:line="360" w:lineRule="auto"/>
              <w:jc w:val="center"/>
              <w:rPr>
                <w:rFonts w:hint="eastAsia" w:ascii="宋体" w:hAnsi="宋体" w:cs="宋体"/>
                <w:b/>
                <w:sz w:val="24"/>
              </w:rPr>
            </w:pPr>
          </w:p>
        </w:tc>
      </w:tr>
      <w:tr w14:paraId="052B3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75" w:type="dxa"/>
            <w:vAlign w:val="center"/>
          </w:tcPr>
          <w:p w14:paraId="4B8A16A3">
            <w:pPr>
              <w:spacing w:line="360" w:lineRule="auto"/>
              <w:jc w:val="center"/>
              <w:rPr>
                <w:rFonts w:hint="eastAsia" w:ascii="宋体" w:hAnsi="宋体" w:cs="宋体"/>
                <w:b/>
                <w:sz w:val="24"/>
              </w:rPr>
            </w:pPr>
          </w:p>
        </w:tc>
        <w:tc>
          <w:tcPr>
            <w:tcW w:w="1281" w:type="dxa"/>
            <w:vAlign w:val="center"/>
          </w:tcPr>
          <w:p w14:paraId="0B935ADD">
            <w:pPr>
              <w:spacing w:line="360" w:lineRule="auto"/>
              <w:jc w:val="center"/>
              <w:rPr>
                <w:rFonts w:hint="eastAsia" w:ascii="宋体" w:hAnsi="宋体" w:cs="宋体"/>
                <w:b/>
                <w:sz w:val="24"/>
              </w:rPr>
            </w:pPr>
          </w:p>
        </w:tc>
        <w:tc>
          <w:tcPr>
            <w:tcW w:w="2400" w:type="dxa"/>
            <w:vAlign w:val="center"/>
          </w:tcPr>
          <w:p w14:paraId="2F117620">
            <w:pPr>
              <w:spacing w:line="360" w:lineRule="auto"/>
              <w:jc w:val="center"/>
              <w:rPr>
                <w:rFonts w:hint="eastAsia" w:ascii="宋体" w:hAnsi="宋体" w:cs="宋体"/>
                <w:b/>
                <w:sz w:val="24"/>
              </w:rPr>
            </w:pPr>
          </w:p>
        </w:tc>
        <w:tc>
          <w:tcPr>
            <w:tcW w:w="1744" w:type="dxa"/>
            <w:vAlign w:val="center"/>
          </w:tcPr>
          <w:p w14:paraId="4BED790C">
            <w:pPr>
              <w:spacing w:line="360" w:lineRule="auto"/>
              <w:jc w:val="center"/>
              <w:rPr>
                <w:rFonts w:hint="eastAsia" w:ascii="宋体" w:hAnsi="宋体" w:cs="宋体"/>
                <w:b/>
                <w:sz w:val="24"/>
              </w:rPr>
            </w:pPr>
          </w:p>
        </w:tc>
        <w:tc>
          <w:tcPr>
            <w:tcW w:w="1387" w:type="dxa"/>
            <w:vAlign w:val="center"/>
          </w:tcPr>
          <w:p w14:paraId="7049AFE0">
            <w:pPr>
              <w:spacing w:line="360" w:lineRule="auto"/>
              <w:jc w:val="center"/>
              <w:rPr>
                <w:rFonts w:hint="eastAsia" w:ascii="宋体" w:hAnsi="宋体" w:cs="宋体"/>
                <w:b/>
                <w:sz w:val="24"/>
              </w:rPr>
            </w:pPr>
          </w:p>
        </w:tc>
        <w:tc>
          <w:tcPr>
            <w:tcW w:w="1001" w:type="dxa"/>
            <w:vAlign w:val="center"/>
          </w:tcPr>
          <w:p w14:paraId="55ED2181">
            <w:pPr>
              <w:spacing w:line="360" w:lineRule="auto"/>
              <w:jc w:val="center"/>
              <w:rPr>
                <w:rFonts w:hint="eastAsia" w:ascii="宋体" w:hAnsi="宋体" w:cs="宋体"/>
                <w:b/>
                <w:sz w:val="24"/>
              </w:rPr>
            </w:pPr>
          </w:p>
        </w:tc>
      </w:tr>
      <w:tr w14:paraId="61C3F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775" w:type="dxa"/>
            <w:vAlign w:val="center"/>
          </w:tcPr>
          <w:p w14:paraId="6632534D">
            <w:pPr>
              <w:spacing w:line="360" w:lineRule="auto"/>
              <w:jc w:val="center"/>
              <w:rPr>
                <w:rFonts w:hint="eastAsia" w:ascii="宋体" w:hAnsi="宋体" w:cs="宋体"/>
                <w:b/>
                <w:sz w:val="24"/>
              </w:rPr>
            </w:pPr>
            <w:r>
              <w:rPr>
                <w:rFonts w:hint="eastAsia" w:ascii="宋体" w:hAnsi="宋体" w:cs="宋体"/>
                <w:b/>
                <w:sz w:val="24"/>
              </w:rPr>
              <w:t>……</w:t>
            </w:r>
          </w:p>
        </w:tc>
        <w:tc>
          <w:tcPr>
            <w:tcW w:w="1281" w:type="dxa"/>
            <w:vAlign w:val="center"/>
          </w:tcPr>
          <w:p w14:paraId="33B28DF6">
            <w:pPr>
              <w:spacing w:line="360" w:lineRule="auto"/>
              <w:jc w:val="center"/>
              <w:rPr>
                <w:rFonts w:hint="eastAsia" w:ascii="宋体" w:hAnsi="宋体" w:cs="宋体"/>
                <w:b/>
                <w:sz w:val="24"/>
              </w:rPr>
            </w:pPr>
          </w:p>
        </w:tc>
        <w:tc>
          <w:tcPr>
            <w:tcW w:w="2400" w:type="dxa"/>
            <w:vAlign w:val="center"/>
          </w:tcPr>
          <w:p w14:paraId="63FCD9CD">
            <w:pPr>
              <w:spacing w:line="360" w:lineRule="auto"/>
              <w:jc w:val="center"/>
              <w:rPr>
                <w:rFonts w:hint="eastAsia" w:ascii="宋体" w:hAnsi="宋体" w:cs="宋体"/>
                <w:b/>
                <w:sz w:val="24"/>
              </w:rPr>
            </w:pPr>
          </w:p>
        </w:tc>
        <w:tc>
          <w:tcPr>
            <w:tcW w:w="1744" w:type="dxa"/>
            <w:vAlign w:val="center"/>
          </w:tcPr>
          <w:p w14:paraId="763C7997">
            <w:pPr>
              <w:spacing w:line="360" w:lineRule="auto"/>
              <w:jc w:val="center"/>
              <w:rPr>
                <w:rFonts w:hint="eastAsia" w:ascii="宋体" w:hAnsi="宋体" w:cs="宋体"/>
                <w:b/>
                <w:sz w:val="24"/>
              </w:rPr>
            </w:pPr>
          </w:p>
        </w:tc>
        <w:tc>
          <w:tcPr>
            <w:tcW w:w="1387" w:type="dxa"/>
            <w:vAlign w:val="center"/>
          </w:tcPr>
          <w:p w14:paraId="09119A2F">
            <w:pPr>
              <w:spacing w:line="360" w:lineRule="auto"/>
              <w:jc w:val="center"/>
              <w:rPr>
                <w:rFonts w:hint="eastAsia" w:ascii="宋体" w:hAnsi="宋体" w:cs="宋体"/>
                <w:b/>
                <w:sz w:val="24"/>
              </w:rPr>
            </w:pPr>
          </w:p>
        </w:tc>
        <w:tc>
          <w:tcPr>
            <w:tcW w:w="1001" w:type="dxa"/>
            <w:vAlign w:val="center"/>
          </w:tcPr>
          <w:p w14:paraId="0354A829">
            <w:pPr>
              <w:spacing w:line="360" w:lineRule="auto"/>
              <w:jc w:val="center"/>
              <w:rPr>
                <w:rFonts w:hint="eastAsia" w:ascii="宋体" w:hAnsi="宋体" w:cs="宋体"/>
                <w:b/>
                <w:sz w:val="24"/>
              </w:rPr>
            </w:pPr>
          </w:p>
        </w:tc>
      </w:tr>
    </w:tbl>
    <w:p w14:paraId="350FF0D4">
      <w:pPr>
        <w:pStyle w:val="28"/>
        <w:spacing w:line="360" w:lineRule="auto"/>
        <w:ind w:left="99" w:leftChars="47" w:firstLine="240" w:firstLineChars="100"/>
        <w:rPr>
          <w:rFonts w:hint="eastAsia" w:ascii="宋体" w:hAnsi="宋体" w:cs="宋体"/>
          <w:szCs w:val="24"/>
        </w:rPr>
      </w:pPr>
      <w:r>
        <w:rPr>
          <w:rFonts w:hint="eastAsia" w:ascii="宋体" w:hAnsi="宋体" w:cs="宋体"/>
          <w:szCs w:val="24"/>
        </w:rPr>
        <w:t>注：后附业绩合同及能显示项目经理信息的证明材料复印件加盖公章。</w:t>
      </w:r>
    </w:p>
    <w:p w14:paraId="3F96D6A6">
      <w:pPr>
        <w:spacing w:line="360" w:lineRule="auto"/>
        <w:jc w:val="center"/>
        <w:rPr>
          <w:rFonts w:hint="eastAsia" w:ascii="宋体" w:hAnsi="宋体" w:cs="宋体"/>
          <w:sz w:val="24"/>
        </w:rPr>
      </w:pPr>
    </w:p>
    <w:p w14:paraId="18B56BC9">
      <w:pPr>
        <w:pStyle w:val="26"/>
        <w:spacing w:line="360" w:lineRule="auto"/>
        <w:jc w:val="center"/>
        <w:rPr>
          <w:rFonts w:hint="eastAsia" w:hAnsi="宋体" w:cs="宋体"/>
          <w:b/>
          <w:sz w:val="24"/>
          <w:szCs w:val="24"/>
        </w:rPr>
      </w:pPr>
      <w:bookmarkStart w:id="762" w:name="_Toc57223006"/>
      <w:bookmarkStart w:id="763" w:name="_Hlk49954702"/>
    </w:p>
    <w:p w14:paraId="02F4AA75">
      <w:pPr>
        <w:spacing w:line="360" w:lineRule="auto"/>
        <w:jc w:val="center"/>
        <w:rPr>
          <w:rFonts w:hint="eastAsia" w:ascii="宋体" w:hAnsi="宋体" w:cs="宋体"/>
          <w:sz w:val="24"/>
        </w:rPr>
      </w:pPr>
    </w:p>
    <w:p w14:paraId="7F3BF2F6">
      <w:pPr>
        <w:jc w:val="center"/>
        <w:rPr>
          <w:rFonts w:hint="eastAsia" w:ascii="黑体" w:hAnsi="黑体" w:cs="黑体"/>
          <w:kern w:val="0"/>
          <w:sz w:val="28"/>
          <w:szCs w:val="28"/>
        </w:rPr>
      </w:pPr>
      <w:bookmarkStart w:id="764" w:name="_Toc198191795"/>
      <w:r>
        <w:rPr>
          <w:rFonts w:hint="eastAsia" w:ascii="黑体" w:hAnsi="黑体" w:cs="黑体"/>
          <w:kern w:val="0"/>
          <w:sz w:val="28"/>
          <w:szCs w:val="28"/>
        </w:rPr>
        <w:t>11.</w:t>
      </w:r>
      <w:bookmarkEnd w:id="762"/>
      <w:r>
        <w:rPr>
          <w:rFonts w:hint="eastAsia" w:ascii="黑体" w:hAnsi="黑体" w:cs="黑体"/>
          <w:kern w:val="0"/>
          <w:sz w:val="28"/>
          <w:szCs w:val="28"/>
        </w:rPr>
        <w:t>人员配备</w:t>
      </w:r>
      <w:bookmarkEnd w:id="764"/>
    </w:p>
    <w:p w14:paraId="39E4CADF">
      <w:pPr>
        <w:jc w:val="center"/>
        <w:rPr>
          <w:rFonts w:hint="eastAsia" w:ascii="黑体" w:hAnsi="黑体" w:cs="黑体"/>
          <w:kern w:val="0"/>
          <w:sz w:val="28"/>
          <w:szCs w:val="28"/>
        </w:rPr>
      </w:pPr>
    </w:p>
    <w:bookmarkEnd w:id="763"/>
    <w:p w14:paraId="19478F07">
      <w:pPr>
        <w:tabs>
          <w:tab w:val="left" w:pos="425"/>
        </w:tabs>
        <w:spacing w:line="360" w:lineRule="auto"/>
        <w:jc w:val="center"/>
        <w:rPr>
          <w:rFonts w:hint="eastAsia" w:ascii="宋体" w:hAnsi="宋体" w:cs="宋体"/>
          <w:kern w:val="0"/>
          <w:sz w:val="24"/>
        </w:rPr>
      </w:pPr>
      <w:r>
        <w:rPr>
          <w:rFonts w:hint="eastAsia" w:ascii="宋体" w:hAnsi="宋体" w:cs="宋体"/>
          <w:kern w:val="0"/>
          <w:sz w:val="24"/>
        </w:rPr>
        <w:t>拟派入本项目的人员情况表</w:t>
      </w:r>
    </w:p>
    <w:tbl>
      <w:tblPr>
        <w:tblStyle w:val="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7"/>
        <w:gridCol w:w="1470"/>
        <w:gridCol w:w="1654"/>
        <w:gridCol w:w="1470"/>
        <w:gridCol w:w="1654"/>
        <w:gridCol w:w="1654"/>
      </w:tblGrid>
      <w:tr w14:paraId="111BB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9" w:hRule="atLeast"/>
        </w:trPr>
        <w:tc>
          <w:tcPr>
            <w:tcW w:w="1397" w:type="dxa"/>
            <w:vAlign w:val="center"/>
          </w:tcPr>
          <w:p w14:paraId="6946B3FE">
            <w:pPr>
              <w:spacing w:line="360" w:lineRule="auto"/>
              <w:jc w:val="center"/>
              <w:rPr>
                <w:rFonts w:hint="eastAsia" w:ascii="宋体" w:hAnsi="宋体" w:cs="宋体"/>
                <w:sz w:val="24"/>
              </w:rPr>
            </w:pPr>
            <w:r>
              <w:rPr>
                <w:rFonts w:hint="eastAsia" w:ascii="宋体" w:hAnsi="宋体" w:cs="宋体"/>
                <w:sz w:val="24"/>
              </w:rPr>
              <w:t>姓名</w:t>
            </w:r>
          </w:p>
        </w:tc>
        <w:tc>
          <w:tcPr>
            <w:tcW w:w="1470" w:type="dxa"/>
            <w:vAlign w:val="center"/>
          </w:tcPr>
          <w:p w14:paraId="5873F6CE">
            <w:pPr>
              <w:spacing w:line="360" w:lineRule="auto"/>
              <w:jc w:val="center"/>
              <w:rPr>
                <w:rFonts w:hint="eastAsia" w:ascii="宋体" w:hAnsi="宋体" w:cs="宋体"/>
                <w:sz w:val="24"/>
              </w:rPr>
            </w:pPr>
            <w:r>
              <w:rPr>
                <w:rFonts w:hint="eastAsia" w:ascii="宋体" w:hAnsi="宋体" w:cs="宋体"/>
                <w:sz w:val="24"/>
              </w:rPr>
              <w:t>职务</w:t>
            </w:r>
          </w:p>
        </w:tc>
        <w:tc>
          <w:tcPr>
            <w:tcW w:w="1654" w:type="dxa"/>
            <w:vAlign w:val="center"/>
          </w:tcPr>
          <w:p w14:paraId="73D02D60">
            <w:pPr>
              <w:spacing w:line="360" w:lineRule="auto"/>
              <w:jc w:val="center"/>
              <w:rPr>
                <w:rFonts w:hint="eastAsia" w:ascii="宋体" w:hAnsi="宋体" w:cs="宋体"/>
                <w:sz w:val="24"/>
              </w:rPr>
            </w:pPr>
            <w:r>
              <w:rPr>
                <w:rFonts w:hint="eastAsia" w:ascii="宋体" w:hAnsi="宋体" w:cs="宋体"/>
                <w:sz w:val="24"/>
              </w:rPr>
              <w:t>职称</w:t>
            </w:r>
          </w:p>
        </w:tc>
        <w:tc>
          <w:tcPr>
            <w:tcW w:w="1470" w:type="dxa"/>
            <w:vAlign w:val="center"/>
          </w:tcPr>
          <w:p w14:paraId="1469B556">
            <w:pPr>
              <w:spacing w:line="360" w:lineRule="auto"/>
              <w:jc w:val="center"/>
              <w:rPr>
                <w:rFonts w:hint="eastAsia" w:ascii="宋体" w:hAnsi="宋体" w:cs="宋体"/>
                <w:sz w:val="24"/>
              </w:rPr>
            </w:pPr>
            <w:r>
              <w:rPr>
                <w:rFonts w:hint="eastAsia" w:ascii="宋体" w:hAnsi="宋体" w:cs="宋体"/>
                <w:sz w:val="24"/>
              </w:rPr>
              <w:t>学历</w:t>
            </w:r>
          </w:p>
        </w:tc>
        <w:tc>
          <w:tcPr>
            <w:tcW w:w="1654" w:type="dxa"/>
          </w:tcPr>
          <w:p w14:paraId="365E68A7">
            <w:pPr>
              <w:spacing w:line="360" w:lineRule="auto"/>
              <w:jc w:val="center"/>
              <w:rPr>
                <w:rFonts w:hint="eastAsia" w:ascii="宋体" w:hAnsi="宋体" w:cs="宋体"/>
                <w:sz w:val="24"/>
              </w:rPr>
            </w:pPr>
            <w:r>
              <w:rPr>
                <w:rFonts w:hint="eastAsia" w:ascii="宋体" w:hAnsi="宋体" w:cs="宋体"/>
                <w:sz w:val="24"/>
              </w:rPr>
              <w:t>在本项目中拟担任的工作</w:t>
            </w:r>
          </w:p>
        </w:tc>
        <w:tc>
          <w:tcPr>
            <w:tcW w:w="1654" w:type="dxa"/>
          </w:tcPr>
          <w:p w14:paraId="5EE1A249">
            <w:pPr>
              <w:spacing w:line="360" w:lineRule="auto"/>
              <w:jc w:val="center"/>
              <w:rPr>
                <w:rFonts w:hint="eastAsia" w:ascii="宋体" w:hAnsi="宋体" w:cs="宋体"/>
                <w:sz w:val="24"/>
              </w:rPr>
            </w:pPr>
            <w:r>
              <w:rPr>
                <w:rFonts w:hint="eastAsia" w:ascii="宋体" w:hAnsi="宋体" w:cs="宋体"/>
                <w:sz w:val="24"/>
              </w:rPr>
              <w:t>备注</w:t>
            </w:r>
          </w:p>
        </w:tc>
      </w:tr>
      <w:tr w14:paraId="73DAA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397" w:type="dxa"/>
          </w:tcPr>
          <w:p w14:paraId="70938004">
            <w:pPr>
              <w:spacing w:line="360" w:lineRule="auto"/>
              <w:jc w:val="center"/>
              <w:rPr>
                <w:rFonts w:hint="eastAsia" w:ascii="宋体" w:hAnsi="宋体" w:cs="宋体"/>
                <w:sz w:val="24"/>
              </w:rPr>
            </w:pPr>
          </w:p>
        </w:tc>
        <w:tc>
          <w:tcPr>
            <w:tcW w:w="1470" w:type="dxa"/>
          </w:tcPr>
          <w:p w14:paraId="65A3154F">
            <w:pPr>
              <w:spacing w:line="360" w:lineRule="auto"/>
              <w:jc w:val="center"/>
              <w:rPr>
                <w:rFonts w:hint="eastAsia" w:ascii="宋体" w:hAnsi="宋体" w:cs="宋体"/>
                <w:sz w:val="24"/>
              </w:rPr>
            </w:pPr>
          </w:p>
        </w:tc>
        <w:tc>
          <w:tcPr>
            <w:tcW w:w="1654" w:type="dxa"/>
          </w:tcPr>
          <w:p w14:paraId="3C755B48">
            <w:pPr>
              <w:spacing w:line="360" w:lineRule="auto"/>
              <w:jc w:val="center"/>
              <w:rPr>
                <w:rFonts w:hint="eastAsia" w:ascii="宋体" w:hAnsi="宋体" w:cs="宋体"/>
                <w:sz w:val="24"/>
              </w:rPr>
            </w:pPr>
          </w:p>
        </w:tc>
        <w:tc>
          <w:tcPr>
            <w:tcW w:w="1470" w:type="dxa"/>
          </w:tcPr>
          <w:p w14:paraId="7D3B9BFD">
            <w:pPr>
              <w:spacing w:line="360" w:lineRule="auto"/>
              <w:jc w:val="center"/>
              <w:rPr>
                <w:rFonts w:hint="eastAsia" w:ascii="宋体" w:hAnsi="宋体" w:cs="宋体"/>
                <w:sz w:val="24"/>
              </w:rPr>
            </w:pPr>
          </w:p>
        </w:tc>
        <w:tc>
          <w:tcPr>
            <w:tcW w:w="1654" w:type="dxa"/>
          </w:tcPr>
          <w:p w14:paraId="72DC3A02">
            <w:pPr>
              <w:spacing w:line="360" w:lineRule="auto"/>
              <w:jc w:val="center"/>
              <w:rPr>
                <w:rFonts w:hint="eastAsia" w:ascii="宋体" w:hAnsi="宋体" w:cs="宋体"/>
                <w:sz w:val="24"/>
              </w:rPr>
            </w:pPr>
          </w:p>
        </w:tc>
        <w:tc>
          <w:tcPr>
            <w:tcW w:w="1654" w:type="dxa"/>
          </w:tcPr>
          <w:p w14:paraId="05AA5DBC">
            <w:pPr>
              <w:spacing w:line="360" w:lineRule="auto"/>
              <w:jc w:val="center"/>
              <w:rPr>
                <w:rFonts w:hint="eastAsia" w:ascii="宋体" w:hAnsi="宋体" w:cs="宋体"/>
                <w:sz w:val="24"/>
              </w:rPr>
            </w:pPr>
          </w:p>
        </w:tc>
      </w:tr>
      <w:tr w14:paraId="67151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397" w:type="dxa"/>
          </w:tcPr>
          <w:p w14:paraId="25DD0D5D">
            <w:pPr>
              <w:spacing w:line="360" w:lineRule="auto"/>
              <w:jc w:val="center"/>
              <w:rPr>
                <w:rFonts w:hint="eastAsia" w:ascii="宋体" w:hAnsi="宋体" w:cs="宋体"/>
                <w:sz w:val="24"/>
              </w:rPr>
            </w:pPr>
          </w:p>
        </w:tc>
        <w:tc>
          <w:tcPr>
            <w:tcW w:w="1470" w:type="dxa"/>
          </w:tcPr>
          <w:p w14:paraId="2C566D0C">
            <w:pPr>
              <w:spacing w:line="360" w:lineRule="auto"/>
              <w:jc w:val="center"/>
              <w:rPr>
                <w:rFonts w:hint="eastAsia" w:ascii="宋体" w:hAnsi="宋体" w:cs="宋体"/>
                <w:sz w:val="24"/>
              </w:rPr>
            </w:pPr>
          </w:p>
        </w:tc>
        <w:tc>
          <w:tcPr>
            <w:tcW w:w="1654" w:type="dxa"/>
          </w:tcPr>
          <w:p w14:paraId="0AA22B0C">
            <w:pPr>
              <w:spacing w:line="360" w:lineRule="auto"/>
              <w:jc w:val="center"/>
              <w:rPr>
                <w:rFonts w:hint="eastAsia" w:ascii="宋体" w:hAnsi="宋体" w:cs="宋体"/>
                <w:sz w:val="24"/>
              </w:rPr>
            </w:pPr>
          </w:p>
        </w:tc>
        <w:tc>
          <w:tcPr>
            <w:tcW w:w="1470" w:type="dxa"/>
          </w:tcPr>
          <w:p w14:paraId="0A5A1BFE">
            <w:pPr>
              <w:spacing w:line="360" w:lineRule="auto"/>
              <w:jc w:val="center"/>
              <w:rPr>
                <w:rFonts w:hint="eastAsia" w:ascii="宋体" w:hAnsi="宋体" w:cs="宋体"/>
                <w:sz w:val="24"/>
              </w:rPr>
            </w:pPr>
          </w:p>
        </w:tc>
        <w:tc>
          <w:tcPr>
            <w:tcW w:w="1654" w:type="dxa"/>
          </w:tcPr>
          <w:p w14:paraId="3DF08E54">
            <w:pPr>
              <w:spacing w:line="360" w:lineRule="auto"/>
              <w:jc w:val="center"/>
              <w:rPr>
                <w:rFonts w:hint="eastAsia" w:ascii="宋体" w:hAnsi="宋体" w:cs="宋体"/>
                <w:sz w:val="24"/>
              </w:rPr>
            </w:pPr>
          </w:p>
        </w:tc>
        <w:tc>
          <w:tcPr>
            <w:tcW w:w="1654" w:type="dxa"/>
          </w:tcPr>
          <w:p w14:paraId="5091090D">
            <w:pPr>
              <w:spacing w:line="360" w:lineRule="auto"/>
              <w:jc w:val="center"/>
              <w:rPr>
                <w:rFonts w:hint="eastAsia" w:ascii="宋体" w:hAnsi="宋体" w:cs="宋体"/>
                <w:sz w:val="24"/>
              </w:rPr>
            </w:pPr>
          </w:p>
        </w:tc>
      </w:tr>
      <w:tr w14:paraId="1E4FD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397" w:type="dxa"/>
          </w:tcPr>
          <w:p w14:paraId="302F9D63">
            <w:pPr>
              <w:spacing w:line="360" w:lineRule="auto"/>
              <w:jc w:val="center"/>
              <w:rPr>
                <w:rFonts w:hint="eastAsia" w:ascii="宋体" w:hAnsi="宋体" w:cs="宋体"/>
                <w:sz w:val="24"/>
              </w:rPr>
            </w:pPr>
            <w:r>
              <w:rPr>
                <w:rFonts w:hint="eastAsia" w:ascii="宋体" w:hAnsi="宋体" w:cs="宋体"/>
                <w:b/>
                <w:sz w:val="24"/>
              </w:rPr>
              <w:t>……</w:t>
            </w:r>
          </w:p>
        </w:tc>
        <w:tc>
          <w:tcPr>
            <w:tcW w:w="1470" w:type="dxa"/>
          </w:tcPr>
          <w:p w14:paraId="2DB5BAAE">
            <w:pPr>
              <w:spacing w:line="360" w:lineRule="auto"/>
              <w:jc w:val="center"/>
              <w:rPr>
                <w:rFonts w:hint="eastAsia" w:ascii="宋体" w:hAnsi="宋体" w:cs="宋体"/>
                <w:sz w:val="24"/>
              </w:rPr>
            </w:pPr>
          </w:p>
        </w:tc>
        <w:tc>
          <w:tcPr>
            <w:tcW w:w="1654" w:type="dxa"/>
          </w:tcPr>
          <w:p w14:paraId="2FC76547">
            <w:pPr>
              <w:spacing w:line="360" w:lineRule="auto"/>
              <w:jc w:val="center"/>
              <w:rPr>
                <w:rFonts w:hint="eastAsia" w:ascii="宋体" w:hAnsi="宋体" w:cs="宋体"/>
                <w:sz w:val="24"/>
              </w:rPr>
            </w:pPr>
          </w:p>
        </w:tc>
        <w:tc>
          <w:tcPr>
            <w:tcW w:w="1470" w:type="dxa"/>
          </w:tcPr>
          <w:p w14:paraId="0F8513E3">
            <w:pPr>
              <w:spacing w:line="360" w:lineRule="auto"/>
              <w:jc w:val="center"/>
              <w:rPr>
                <w:rFonts w:hint="eastAsia" w:ascii="宋体" w:hAnsi="宋体" w:cs="宋体"/>
                <w:sz w:val="24"/>
              </w:rPr>
            </w:pPr>
          </w:p>
        </w:tc>
        <w:tc>
          <w:tcPr>
            <w:tcW w:w="1654" w:type="dxa"/>
          </w:tcPr>
          <w:p w14:paraId="7F589CB0">
            <w:pPr>
              <w:spacing w:line="360" w:lineRule="auto"/>
              <w:jc w:val="center"/>
              <w:rPr>
                <w:rFonts w:hint="eastAsia" w:ascii="宋体" w:hAnsi="宋体" w:cs="宋体"/>
                <w:sz w:val="24"/>
              </w:rPr>
            </w:pPr>
          </w:p>
        </w:tc>
        <w:tc>
          <w:tcPr>
            <w:tcW w:w="1654" w:type="dxa"/>
          </w:tcPr>
          <w:p w14:paraId="0580191B">
            <w:pPr>
              <w:spacing w:line="360" w:lineRule="auto"/>
              <w:jc w:val="center"/>
              <w:rPr>
                <w:rFonts w:hint="eastAsia" w:ascii="宋体" w:hAnsi="宋体" w:cs="宋体"/>
                <w:sz w:val="24"/>
              </w:rPr>
            </w:pPr>
          </w:p>
        </w:tc>
      </w:tr>
    </w:tbl>
    <w:p w14:paraId="78C63839">
      <w:pPr>
        <w:spacing w:line="360" w:lineRule="auto"/>
        <w:rPr>
          <w:rFonts w:hint="eastAsia" w:ascii="宋体" w:hAnsi="宋体" w:cs="宋体"/>
          <w:kern w:val="0"/>
          <w:sz w:val="24"/>
        </w:rPr>
      </w:pPr>
      <w:r>
        <w:rPr>
          <w:rFonts w:hint="eastAsia" w:ascii="宋体" w:hAnsi="宋体" w:cs="宋体"/>
          <w:kern w:val="0"/>
          <w:sz w:val="24"/>
        </w:rPr>
        <w:t>注：后附相关人员证书、社保复印件及与供应商签订的劳动合同加盖公章。</w:t>
      </w:r>
    </w:p>
    <w:p w14:paraId="6767CB61">
      <w:pPr>
        <w:pStyle w:val="26"/>
        <w:spacing w:line="360" w:lineRule="auto"/>
        <w:jc w:val="center"/>
        <w:rPr>
          <w:rFonts w:hint="eastAsia" w:hAnsi="宋体" w:cs="宋体"/>
          <w:b/>
          <w:sz w:val="24"/>
          <w:szCs w:val="24"/>
        </w:rPr>
      </w:pPr>
    </w:p>
    <w:p w14:paraId="13F23F01">
      <w:pPr>
        <w:spacing w:line="360" w:lineRule="auto"/>
        <w:jc w:val="center"/>
        <w:rPr>
          <w:rFonts w:hint="eastAsia" w:ascii="宋体" w:hAnsi="宋体" w:cs="宋体"/>
          <w:sz w:val="24"/>
        </w:rPr>
      </w:pPr>
    </w:p>
    <w:p w14:paraId="4F67B904">
      <w:pPr>
        <w:rPr>
          <w:rFonts w:hint="eastAsia" w:ascii="宋体" w:hAnsi="宋体" w:cs="宋体"/>
          <w:kern w:val="0"/>
          <w:sz w:val="24"/>
        </w:rPr>
      </w:pPr>
      <w:r>
        <w:rPr>
          <w:rFonts w:hint="eastAsia" w:ascii="宋体" w:hAnsi="宋体" w:cs="宋体"/>
          <w:kern w:val="0"/>
          <w:sz w:val="24"/>
        </w:rPr>
        <w:br w:type="page"/>
      </w:r>
    </w:p>
    <w:p w14:paraId="5931BC5F">
      <w:pPr>
        <w:jc w:val="center"/>
        <w:rPr>
          <w:rFonts w:hint="eastAsia" w:ascii="黑体" w:hAnsi="黑体" w:cs="黑体"/>
          <w:kern w:val="0"/>
          <w:sz w:val="28"/>
          <w:szCs w:val="28"/>
        </w:rPr>
      </w:pPr>
      <w:bookmarkStart w:id="765" w:name="_Toc198191796"/>
    </w:p>
    <w:p w14:paraId="64147442">
      <w:pPr>
        <w:jc w:val="center"/>
        <w:rPr>
          <w:rFonts w:hint="eastAsia" w:ascii="宋体" w:hAnsi="宋体" w:cs="宋体"/>
          <w:kern w:val="0"/>
          <w:sz w:val="24"/>
        </w:rPr>
      </w:pPr>
      <w:r>
        <w:rPr>
          <w:rFonts w:hint="eastAsia" w:ascii="黑体" w:hAnsi="黑体" w:cs="黑体"/>
          <w:kern w:val="0"/>
          <w:sz w:val="28"/>
          <w:szCs w:val="28"/>
        </w:rPr>
        <w:t>12.服务承诺及其他实质性承诺</w:t>
      </w:r>
      <w:bookmarkEnd w:id="765"/>
    </w:p>
    <w:p w14:paraId="7FBCE974">
      <w:pPr>
        <w:spacing w:line="360" w:lineRule="auto"/>
        <w:jc w:val="center"/>
        <w:rPr>
          <w:rFonts w:hint="eastAsia" w:ascii="宋体" w:hAnsi="宋体" w:cs="宋体"/>
          <w:sz w:val="24"/>
        </w:rPr>
      </w:pPr>
      <w:r>
        <w:rPr>
          <w:rFonts w:hint="eastAsia" w:ascii="宋体" w:hAnsi="宋体" w:cs="宋体"/>
          <w:sz w:val="24"/>
        </w:rPr>
        <w:t>由供应商根据竞争性磋商文件要求及自身情况提供相应资料。</w:t>
      </w:r>
    </w:p>
    <w:p w14:paraId="0D551369">
      <w:pPr>
        <w:pStyle w:val="26"/>
        <w:spacing w:line="360" w:lineRule="auto"/>
        <w:jc w:val="center"/>
        <w:rPr>
          <w:rFonts w:hint="eastAsia" w:hAnsi="宋体" w:cs="宋体"/>
          <w:b/>
          <w:sz w:val="24"/>
          <w:szCs w:val="24"/>
        </w:rPr>
      </w:pPr>
    </w:p>
    <w:p w14:paraId="13D657D2">
      <w:pPr>
        <w:spacing w:line="360" w:lineRule="auto"/>
        <w:jc w:val="center"/>
        <w:rPr>
          <w:rFonts w:hint="eastAsia" w:ascii="宋体" w:hAnsi="宋体" w:cs="宋体"/>
          <w:sz w:val="24"/>
        </w:rPr>
      </w:pPr>
    </w:p>
    <w:p w14:paraId="20F3E15E">
      <w:pPr>
        <w:pStyle w:val="28"/>
        <w:spacing w:line="360" w:lineRule="auto"/>
        <w:rPr>
          <w:rFonts w:hint="eastAsia" w:ascii="宋体" w:hAnsi="宋体" w:cs="宋体"/>
          <w:kern w:val="0"/>
          <w:szCs w:val="24"/>
        </w:rPr>
      </w:pPr>
      <w:bookmarkStart w:id="766" w:name="_Toc198191797"/>
      <w:bookmarkStart w:id="767" w:name="_Toc57223007"/>
      <w:bookmarkStart w:id="768" w:name="_Hlk49954712"/>
    </w:p>
    <w:p w14:paraId="471990F7">
      <w:pPr>
        <w:pStyle w:val="28"/>
        <w:spacing w:line="360" w:lineRule="auto"/>
        <w:rPr>
          <w:rFonts w:hint="eastAsia" w:ascii="宋体" w:hAnsi="宋体" w:cs="宋体"/>
          <w:kern w:val="0"/>
          <w:szCs w:val="24"/>
        </w:rPr>
      </w:pPr>
    </w:p>
    <w:p w14:paraId="3ADB27F3">
      <w:pPr>
        <w:pStyle w:val="28"/>
        <w:spacing w:line="360" w:lineRule="auto"/>
        <w:rPr>
          <w:rFonts w:hint="eastAsia" w:ascii="宋体" w:hAnsi="宋体" w:cs="宋体"/>
          <w:kern w:val="0"/>
          <w:szCs w:val="24"/>
        </w:rPr>
      </w:pPr>
    </w:p>
    <w:p w14:paraId="0498756A">
      <w:pPr>
        <w:pStyle w:val="28"/>
        <w:spacing w:line="360" w:lineRule="auto"/>
        <w:rPr>
          <w:rFonts w:hint="eastAsia" w:ascii="宋体" w:hAnsi="宋体" w:cs="宋体"/>
          <w:kern w:val="0"/>
          <w:szCs w:val="24"/>
        </w:rPr>
      </w:pPr>
    </w:p>
    <w:p w14:paraId="67DD18B4">
      <w:pPr>
        <w:pStyle w:val="28"/>
        <w:spacing w:line="360" w:lineRule="auto"/>
        <w:rPr>
          <w:rFonts w:hint="eastAsia" w:ascii="宋体" w:hAnsi="宋体" w:cs="宋体"/>
          <w:kern w:val="0"/>
          <w:szCs w:val="24"/>
        </w:rPr>
      </w:pPr>
    </w:p>
    <w:p w14:paraId="2809B03F">
      <w:pPr>
        <w:pStyle w:val="28"/>
        <w:spacing w:line="360" w:lineRule="auto"/>
        <w:rPr>
          <w:rFonts w:hint="eastAsia" w:ascii="宋体" w:hAnsi="宋体" w:cs="宋体"/>
          <w:kern w:val="0"/>
          <w:szCs w:val="24"/>
        </w:rPr>
      </w:pPr>
    </w:p>
    <w:p w14:paraId="16BB2839">
      <w:pPr>
        <w:jc w:val="center"/>
        <w:rPr>
          <w:rFonts w:hint="eastAsia" w:ascii="黑体" w:hAnsi="黑体" w:cs="黑体"/>
          <w:kern w:val="0"/>
          <w:sz w:val="28"/>
          <w:szCs w:val="28"/>
        </w:rPr>
      </w:pPr>
      <w:r>
        <w:rPr>
          <w:rFonts w:hint="eastAsia" w:ascii="黑体" w:hAnsi="黑体" w:cs="黑体"/>
          <w:kern w:val="0"/>
          <w:sz w:val="28"/>
          <w:szCs w:val="28"/>
        </w:rPr>
        <w:t>13.</w:t>
      </w:r>
      <w:bookmarkEnd w:id="766"/>
      <w:bookmarkEnd w:id="767"/>
      <w:r>
        <w:rPr>
          <w:rFonts w:hint="eastAsia" w:ascii="黑体" w:hAnsi="黑体" w:cs="黑体"/>
          <w:kern w:val="0"/>
          <w:sz w:val="28"/>
          <w:szCs w:val="28"/>
        </w:rPr>
        <w:t>竞争性磋商文件其他要求及供应商认为需要提供的其他相关资料</w:t>
      </w:r>
    </w:p>
    <w:bookmarkEnd w:id="768"/>
    <w:p w14:paraId="2502C330">
      <w:pPr>
        <w:wordWrap w:val="0"/>
      </w:pPr>
    </w:p>
    <w:p w14:paraId="7606CFEB">
      <w:pPr>
        <w:wordWrap w:val="0"/>
      </w:pPr>
    </w:p>
    <w:p w14:paraId="7E634F25">
      <w:pPr>
        <w:wordWrap w:val="0"/>
      </w:pPr>
    </w:p>
    <w:bookmarkEnd w:id="756"/>
    <w:bookmarkEnd w:id="757"/>
    <w:p w14:paraId="42E04A7C">
      <w:pPr>
        <w:rPr>
          <w:b/>
          <w:sz w:val="28"/>
          <w:szCs w:val="28"/>
        </w:rPr>
      </w:pPr>
      <w:r>
        <w:rPr>
          <w:rFonts w:hint="eastAsia"/>
          <w:b/>
          <w:sz w:val="28"/>
          <w:szCs w:val="28"/>
        </w:rPr>
        <w:br w:type="page"/>
      </w:r>
    </w:p>
    <w:p w14:paraId="31963D42">
      <w:pPr>
        <w:pStyle w:val="5"/>
        <w:rPr>
          <w:b/>
          <w:sz w:val="28"/>
          <w:szCs w:val="28"/>
        </w:rPr>
      </w:pPr>
      <w:r>
        <w:rPr>
          <w:rFonts w:hint="eastAsia"/>
          <w:b/>
          <w:sz w:val="28"/>
          <w:szCs w:val="28"/>
        </w:rPr>
        <w:t>附件1：</w:t>
      </w:r>
    </w:p>
    <w:p w14:paraId="6BB8C805">
      <w:pPr>
        <w:jc w:val="center"/>
        <w:rPr>
          <w:rFonts w:hint="eastAsia" w:hAnsi="宋体" w:cs="宋体"/>
          <w:sz w:val="28"/>
          <w:szCs w:val="28"/>
        </w:rPr>
      </w:pPr>
      <w:r>
        <w:rPr>
          <w:rFonts w:hint="eastAsia" w:hAnsi="宋体" w:cs="宋体"/>
          <w:sz w:val="28"/>
          <w:szCs w:val="28"/>
        </w:rPr>
        <w:t>节能产品政府采购品目清单</w:t>
      </w:r>
    </w:p>
    <w:p w14:paraId="2ADE46C1">
      <w:pPr>
        <w:pStyle w:val="2"/>
        <w:ind w:left="0" w:leftChars="0" w:firstLine="0" w:firstLineChars="0"/>
      </w:pPr>
      <w:r>
        <w:rPr>
          <w:rFonts w:hint="eastAsia"/>
        </w:rPr>
        <w:drawing>
          <wp:inline distT="0" distB="0" distL="114300" distR="114300">
            <wp:extent cx="5588000" cy="7902575"/>
            <wp:effectExtent l="0" t="0" r="12700" b="3175"/>
            <wp:docPr id="12" name="图片 1" descr="节能产品政府采购品目清单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节能产品政府采购品目清单_01"/>
                    <pic:cNvPicPr>
                      <a:picLocks noChangeAspect="1"/>
                    </pic:cNvPicPr>
                  </pic:nvPicPr>
                  <pic:blipFill>
                    <a:blip r:embed="rId11"/>
                    <a:stretch>
                      <a:fillRect/>
                    </a:stretch>
                  </pic:blipFill>
                  <pic:spPr>
                    <a:xfrm>
                      <a:off x="0" y="0"/>
                      <a:ext cx="5588000" cy="7902575"/>
                    </a:xfrm>
                    <a:prstGeom prst="rect">
                      <a:avLst/>
                    </a:prstGeom>
                    <a:noFill/>
                    <a:ln>
                      <a:noFill/>
                    </a:ln>
                  </pic:spPr>
                </pic:pic>
              </a:graphicData>
            </a:graphic>
          </wp:inline>
        </w:drawing>
      </w:r>
    </w:p>
    <w:p w14:paraId="2C4D12FC">
      <w:pPr>
        <w:pStyle w:val="2"/>
        <w:ind w:left="0" w:leftChars="0" w:firstLine="0" w:firstLineChars="0"/>
      </w:pPr>
      <w:r>
        <w:rPr>
          <w:rFonts w:hint="eastAsia"/>
        </w:rPr>
        <w:drawing>
          <wp:inline distT="0" distB="0" distL="114300" distR="114300">
            <wp:extent cx="5730875" cy="8104505"/>
            <wp:effectExtent l="0" t="0" r="3175" b="10795"/>
            <wp:docPr id="11" name="图片 2" descr="节能产品政府采购品目清单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descr="节能产品政府采购品目清单_02"/>
                    <pic:cNvPicPr>
                      <a:picLocks noChangeAspect="1"/>
                    </pic:cNvPicPr>
                  </pic:nvPicPr>
                  <pic:blipFill>
                    <a:blip r:embed="rId12"/>
                    <a:stretch>
                      <a:fillRect/>
                    </a:stretch>
                  </pic:blipFill>
                  <pic:spPr>
                    <a:xfrm>
                      <a:off x="0" y="0"/>
                      <a:ext cx="5730875" cy="8104505"/>
                    </a:xfrm>
                    <a:prstGeom prst="rect">
                      <a:avLst/>
                    </a:prstGeom>
                    <a:noFill/>
                    <a:ln>
                      <a:noFill/>
                    </a:ln>
                  </pic:spPr>
                </pic:pic>
              </a:graphicData>
            </a:graphic>
          </wp:inline>
        </w:drawing>
      </w:r>
    </w:p>
    <w:p w14:paraId="23DE2238">
      <w:pPr>
        <w:pStyle w:val="5"/>
      </w:pPr>
      <w:r>
        <w:rPr>
          <w:rFonts w:hint="eastAsia"/>
        </w:rPr>
        <w:drawing>
          <wp:inline distT="0" distB="0" distL="114300" distR="114300">
            <wp:extent cx="5730875" cy="8104505"/>
            <wp:effectExtent l="0" t="0" r="3175" b="10795"/>
            <wp:docPr id="10" name="图片 3" descr="节能产品政府采购品目清单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descr="节能产品政府采购品目清单_03"/>
                    <pic:cNvPicPr>
                      <a:picLocks noChangeAspect="1"/>
                    </pic:cNvPicPr>
                  </pic:nvPicPr>
                  <pic:blipFill>
                    <a:blip r:embed="rId13"/>
                    <a:stretch>
                      <a:fillRect/>
                    </a:stretch>
                  </pic:blipFill>
                  <pic:spPr>
                    <a:xfrm>
                      <a:off x="0" y="0"/>
                      <a:ext cx="5730875" cy="8104505"/>
                    </a:xfrm>
                    <a:prstGeom prst="rect">
                      <a:avLst/>
                    </a:prstGeom>
                    <a:noFill/>
                    <a:ln>
                      <a:noFill/>
                    </a:ln>
                  </pic:spPr>
                </pic:pic>
              </a:graphicData>
            </a:graphic>
          </wp:inline>
        </w:drawing>
      </w:r>
    </w:p>
    <w:p w14:paraId="1BD37B90">
      <w:r>
        <w:rPr>
          <w:rFonts w:hint="eastAsia"/>
        </w:rPr>
        <w:drawing>
          <wp:inline distT="0" distB="0" distL="114300" distR="114300">
            <wp:extent cx="5730875" cy="8104505"/>
            <wp:effectExtent l="0" t="0" r="3175" b="10795"/>
            <wp:docPr id="9" name="图片 4" descr="节能产品政府采购品目清单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节能产品政府采购品目清单_04"/>
                    <pic:cNvPicPr>
                      <a:picLocks noChangeAspect="1"/>
                    </pic:cNvPicPr>
                  </pic:nvPicPr>
                  <pic:blipFill>
                    <a:blip r:embed="rId14"/>
                    <a:stretch>
                      <a:fillRect/>
                    </a:stretch>
                  </pic:blipFill>
                  <pic:spPr>
                    <a:xfrm>
                      <a:off x="0" y="0"/>
                      <a:ext cx="5730875" cy="8104505"/>
                    </a:xfrm>
                    <a:prstGeom prst="rect">
                      <a:avLst/>
                    </a:prstGeom>
                    <a:noFill/>
                    <a:ln>
                      <a:noFill/>
                    </a:ln>
                  </pic:spPr>
                </pic:pic>
              </a:graphicData>
            </a:graphic>
          </wp:inline>
        </w:drawing>
      </w:r>
    </w:p>
    <w:p w14:paraId="1B380627">
      <w:pPr>
        <w:jc w:val="center"/>
        <w:rPr>
          <w:rFonts w:hint="eastAsia" w:hAnsi="宋体" w:cs="宋体"/>
          <w:sz w:val="28"/>
          <w:szCs w:val="28"/>
        </w:rPr>
      </w:pPr>
      <w:r>
        <w:rPr>
          <w:rFonts w:hAnsi="宋体" w:cs="宋体"/>
          <w:sz w:val="28"/>
          <w:szCs w:val="28"/>
        </w:rPr>
        <w:br w:type="page"/>
      </w:r>
      <w:r>
        <w:rPr>
          <w:rFonts w:hint="eastAsia" w:hAnsi="宋体" w:cs="宋体"/>
          <w:sz w:val="28"/>
          <w:szCs w:val="28"/>
        </w:rPr>
        <w:t>环境标志产品政府采购品目清单</w:t>
      </w:r>
    </w:p>
    <w:p w14:paraId="4F50BA8B">
      <w:pPr>
        <w:pStyle w:val="2"/>
        <w:ind w:left="0" w:leftChars="0" w:firstLine="0" w:firstLineChars="0"/>
      </w:pPr>
      <w:r>
        <w:rPr>
          <w:rFonts w:hint="eastAsia"/>
        </w:rPr>
        <w:drawing>
          <wp:inline distT="0" distB="0" distL="114300" distR="114300">
            <wp:extent cx="5730875" cy="8104505"/>
            <wp:effectExtent l="0" t="0" r="3175" b="10795"/>
            <wp:docPr id="8" name="图片 5" descr="环境标志产品政府采购品目清单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descr="环境标志产品政府采购品目清单_01"/>
                    <pic:cNvPicPr>
                      <a:picLocks noChangeAspect="1"/>
                    </pic:cNvPicPr>
                  </pic:nvPicPr>
                  <pic:blipFill>
                    <a:blip r:embed="rId15"/>
                    <a:stretch>
                      <a:fillRect/>
                    </a:stretch>
                  </pic:blipFill>
                  <pic:spPr>
                    <a:xfrm>
                      <a:off x="0" y="0"/>
                      <a:ext cx="5730875" cy="8104505"/>
                    </a:xfrm>
                    <a:prstGeom prst="rect">
                      <a:avLst/>
                    </a:prstGeom>
                    <a:noFill/>
                    <a:ln>
                      <a:noFill/>
                    </a:ln>
                  </pic:spPr>
                </pic:pic>
              </a:graphicData>
            </a:graphic>
          </wp:inline>
        </w:drawing>
      </w:r>
    </w:p>
    <w:p w14:paraId="67113F0F">
      <w:pPr>
        <w:pStyle w:val="5"/>
      </w:pPr>
      <w:r>
        <w:rPr>
          <w:rFonts w:hint="eastAsia"/>
        </w:rPr>
        <w:drawing>
          <wp:inline distT="0" distB="0" distL="114300" distR="114300">
            <wp:extent cx="5730875" cy="8104505"/>
            <wp:effectExtent l="0" t="0" r="3175" b="10795"/>
            <wp:docPr id="7" name="图片 6" descr="环境标志产品政府采购品目清单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环境标志产品政府采购品目清单_02"/>
                    <pic:cNvPicPr>
                      <a:picLocks noChangeAspect="1"/>
                    </pic:cNvPicPr>
                  </pic:nvPicPr>
                  <pic:blipFill>
                    <a:blip r:embed="rId16"/>
                    <a:stretch>
                      <a:fillRect/>
                    </a:stretch>
                  </pic:blipFill>
                  <pic:spPr>
                    <a:xfrm>
                      <a:off x="0" y="0"/>
                      <a:ext cx="5730875" cy="8104505"/>
                    </a:xfrm>
                    <a:prstGeom prst="rect">
                      <a:avLst/>
                    </a:prstGeom>
                    <a:noFill/>
                    <a:ln>
                      <a:noFill/>
                    </a:ln>
                  </pic:spPr>
                </pic:pic>
              </a:graphicData>
            </a:graphic>
          </wp:inline>
        </w:drawing>
      </w:r>
    </w:p>
    <w:p w14:paraId="1BAD171D">
      <w:r>
        <w:rPr>
          <w:rFonts w:hint="eastAsia"/>
        </w:rPr>
        <w:drawing>
          <wp:inline distT="0" distB="0" distL="114300" distR="114300">
            <wp:extent cx="5730875" cy="8104505"/>
            <wp:effectExtent l="0" t="0" r="3175" b="10795"/>
            <wp:docPr id="6" name="图片 7" descr="环境标志产品政府采购品目清单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descr="环境标志产品政府采购品目清单_03"/>
                    <pic:cNvPicPr>
                      <a:picLocks noChangeAspect="1"/>
                    </pic:cNvPicPr>
                  </pic:nvPicPr>
                  <pic:blipFill>
                    <a:blip r:embed="rId17"/>
                    <a:stretch>
                      <a:fillRect/>
                    </a:stretch>
                  </pic:blipFill>
                  <pic:spPr>
                    <a:xfrm>
                      <a:off x="0" y="0"/>
                      <a:ext cx="5730875" cy="8104505"/>
                    </a:xfrm>
                    <a:prstGeom prst="rect">
                      <a:avLst/>
                    </a:prstGeom>
                    <a:noFill/>
                    <a:ln>
                      <a:noFill/>
                    </a:ln>
                  </pic:spPr>
                </pic:pic>
              </a:graphicData>
            </a:graphic>
          </wp:inline>
        </w:drawing>
      </w:r>
    </w:p>
    <w:p w14:paraId="5A5C8641">
      <w:pPr>
        <w:pStyle w:val="2"/>
        <w:ind w:left="0" w:leftChars="0" w:firstLine="0" w:firstLineChars="0"/>
      </w:pPr>
      <w:r>
        <w:rPr>
          <w:rFonts w:hint="eastAsia"/>
        </w:rPr>
        <w:drawing>
          <wp:inline distT="0" distB="0" distL="114300" distR="114300">
            <wp:extent cx="5730875" cy="8104505"/>
            <wp:effectExtent l="0" t="0" r="3175" b="10795"/>
            <wp:docPr id="4" name="图片 8" descr="环境标志产品政府采购品目清单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 descr="环境标志产品政府采购品目清单_04"/>
                    <pic:cNvPicPr>
                      <a:picLocks noChangeAspect="1"/>
                    </pic:cNvPicPr>
                  </pic:nvPicPr>
                  <pic:blipFill>
                    <a:blip r:embed="rId18"/>
                    <a:stretch>
                      <a:fillRect/>
                    </a:stretch>
                  </pic:blipFill>
                  <pic:spPr>
                    <a:xfrm>
                      <a:off x="0" y="0"/>
                      <a:ext cx="5730875" cy="8104505"/>
                    </a:xfrm>
                    <a:prstGeom prst="rect">
                      <a:avLst/>
                    </a:prstGeom>
                    <a:noFill/>
                    <a:ln>
                      <a:noFill/>
                    </a:ln>
                  </pic:spPr>
                </pic:pic>
              </a:graphicData>
            </a:graphic>
          </wp:inline>
        </w:drawing>
      </w:r>
    </w:p>
    <w:p w14:paraId="2A9759D6">
      <w:r>
        <w:rPr>
          <w:rFonts w:hint="eastAsia"/>
        </w:rPr>
        <w:br w:type="page"/>
      </w:r>
    </w:p>
    <w:p w14:paraId="0B5E21A4">
      <w:pPr>
        <w:widowControl/>
        <w:shd w:val="clear" w:color="auto" w:fill="FFFFFF"/>
        <w:spacing w:after="275" w:line="401" w:lineRule="atLeast"/>
        <w:jc w:val="center"/>
        <w:rPr>
          <w:rFonts w:hint="eastAsia" w:ascii="宋体" w:hAnsi="宋体" w:cs="宋体"/>
          <w:color w:val="000000"/>
          <w:kern w:val="0"/>
          <w:sz w:val="24"/>
        </w:rPr>
      </w:pPr>
      <w:r>
        <w:rPr>
          <w:rFonts w:hint="eastAsia" w:ascii="方正小标宋简体" w:hAnsi="微软雅黑" w:eastAsia="方正小标宋简体" w:cs="宋体"/>
          <w:color w:val="000000"/>
          <w:kern w:val="0"/>
          <w:sz w:val="28"/>
          <w:szCs w:val="28"/>
        </w:rPr>
        <w:t>参与实施政府采购节能产品认证机构名录</w:t>
      </w:r>
    </w:p>
    <w:tbl>
      <w:tblPr>
        <w:tblStyle w:val="47"/>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1218"/>
        <w:gridCol w:w="1076"/>
        <w:gridCol w:w="1600"/>
        <w:gridCol w:w="1413"/>
        <w:gridCol w:w="2984"/>
      </w:tblGrid>
      <w:tr w14:paraId="08573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6" w:type="dxa"/>
            <w:vMerge w:val="restart"/>
            <w:tcBorders>
              <w:top w:val="single" w:color="auto" w:sz="4" w:space="0"/>
              <w:left w:val="single" w:color="auto" w:sz="4" w:space="0"/>
              <w:bottom w:val="single" w:color="auto" w:sz="4" w:space="0"/>
              <w:right w:val="single" w:color="auto" w:sz="4" w:space="0"/>
            </w:tcBorders>
            <w:vAlign w:val="center"/>
          </w:tcPr>
          <w:p w14:paraId="353D3B37">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序号</w:t>
            </w:r>
          </w:p>
        </w:tc>
        <w:tc>
          <w:tcPr>
            <w:tcW w:w="3326" w:type="dxa"/>
            <w:gridSpan w:val="2"/>
            <w:tcBorders>
              <w:top w:val="single" w:color="auto" w:sz="4" w:space="0"/>
              <w:left w:val="single" w:color="auto" w:sz="4" w:space="0"/>
              <w:bottom w:val="single" w:color="auto" w:sz="4" w:space="0"/>
              <w:right w:val="single" w:color="auto" w:sz="4" w:space="0"/>
            </w:tcBorders>
            <w:vAlign w:val="center"/>
          </w:tcPr>
          <w:p w14:paraId="09156E06">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一级目录</w:t>
            </w:r>
          </w:p>
        </w:tc>
        <w:tc>
          <w:tcPr>
            <w:tcW w:w="4045" w:type="dxa"/>
            <w:gridSpan w:val="2"/>
            <w:tcBorders>
              <w:top w:val="single" w:color="auto" w:sz="4" w:space="0"/>
              <w:left w:val="single" w:color="auto" w:sz="4" w:space="0"/>
              <w:bottom w:val="single" w:color="auto" w:sz="4" w:space="0"/>
              <w:right w:val="single" w:color="auto" w:sz="4" w:space="0"/>
            </w:tcBorders>
            <w:vAlign w:val="center"/>
          </w:tcPr>
          <w:p w14:paraId="162A82C5">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二级目录</w:t>
            </w:r>
          </w:p>
        </w:tc>
        <w:tc>
          <w:tcPr>
            <w:tcW w:w="5844" w:type="dxa"/>
            <w:vMerge w:val="restart"/>
            <w:tcBorders>
              <w:top w:val="single" w:color="auto" w:sz="4" w:space="0"/>
              <w:left w:val="single" w:color="auto" w:sz="4" w:space="0"/>
              <w:bottom w:val="single" w:color="auto" w:sz="4" w:space="0"/>
              <w:right w:val="single" w:color="auto" w:sz="4" w:space="0"/>
            </w:tcBorders>
            <w:vAlign w:val="center"/>
          </w:tcPr>
          <w:p w14:paraId="77E787F2">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认证机构名录</w:t>
            </w:r>
          </w:p>
        </w:tc>
      </w:tr>
      <w:tr w14:paraId="7F1DE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56F6715">
            <w:pPr>
              <w:widowControl/>
              <w:jc w:val="center"/>
              <w:rPr>
                <w:rFonts w:hint="eastAsia" w:ascii="宋体" w:hAnsi="宋体" w:cs="宋体"/>
                <w:color w:val="000000"/>
                <w:kern w:val="0"/>
                <w:sz w:val="24"/>
              </w:rPr>
            </w:pPr>
          </w:p>
        </w:tc>
        <w:tc>
          <w:tcPr>
            <w:tcW w:w="1432" w:type="dxa"/>
            <w:tcBorders>
              <w:top w:val="single" w:color="auto" w:sz="4" w:space="0"/>
              <w:left w:val="single" w:color="auto" w:sz="4" w:space="0"/>
              <w:bottom w:val="single" w:color="auto" w:sz="4" w:space="0"/>
              <w:right w:val="single" w:color="auto" w:sz="4" w:space="0"/>
            </w:tcBorders>
            <w:vAlign w:val="center"/>
          </w:tcPr>
          <w:p w14:paraId="6DD25B41">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产品代码</w:t>
            </w:r>
          </w:p>
        </w:tc>
        <w:tc>
          <w:tcPr>
            <w:tcW w:w="1894" w:type="dxa"/>
            <w:tcBorders>
              <w:top w:val="single" w:color="auto" w:sz="4" w:space="0"/>
              <w:left w:val="single" w:color="auto" w:sz="4" w:space="0"/>
              <w:bottom w:val="single" w:color="auto" w:sz="4" w:space="0"/>
              <w:right w:val="single" w:color="auto" w:sz="4" w:space="0"/>
            </w:tcBorders>
            <w:vAlign w:val="center"/>
          </w:tcPr>
          <w:p w14:paraId="3A03C985">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产品名称</w:t>
            </w:r>
          </w:p>
        </w:tc>
        <w:tc>
          <w:tcPr>
            <w:tcW w:w="1685" w:type="dxa"/>
            <w:tcBorders>
              <w:top w:val="single" w:color="auto" w:sz="4" w:space="0"/>
              <w:left w:val="single" w:color="auto" w:sz="4" w:space="0"/>
              <w:bottom w:val="single" w:color="auto" w:sz="4" w:space="0"/>
              <w:right w:val="single" w:color="auto" w:sz="4" w:space="0"/>
            </w:tcBorders>
            <w:vAlign w:val="center"/>
          </w:tcPr>
          <w:p w14:paraId="3E56C55D">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产品代码</w:t>
            </w:r>
          </w:p>
        </w:tc>
        <w:tc>
          <w:tcPr>
            <w:tcW w:w="2360" w:type="dxa"/>
            <w:tcBorders>
              <w:top w:val="single" w:color="auto" w:sz="4" w:space="0"/>
              <w:left w:val="single" w:color="auto" w:sz="4" w:space="0"/>
              <w:bottom w:val="single" w:color="auto" w:sz="4" w:space="0"/>
              <w:right w:val="single" w:color="auto" w:sz="4" w:space="0"/>
            </w:tcBorders>
            <w:vAlign w:val="center"/>
          </w:tcPr>
          <w:p w14:paraId="21DE56A8">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产品名称</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9AF24A6">
            <w:pPr>
              <w:widowControl/>
              <w:jc w:val="center"/>
              <w:rPr>
                <w:rFonts w:hint="eastAsia" w:ascii="宋体" w:hAnsi="宋体" w:cs="宋体"/>
                <w:color w:val="000000"/>
                <w:kern w:val="0"/>
                <w:sz w:val="24"/>
              </w:rPr>
            </w:pPr>
          </w:p>
        </w:tc>
      </w:tr>
      <w:tr w14:paraId="7F817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6" w:type="dxa"/>
            <w:vMerge w:val="restart"/>
            <w:tcBorders>
              <w:top w:val="single" w:color="auto" w:sz="4" w:space="0"/>
              <w:left w:val="single" w:color="auto" w:sz="4" w:space="0"/>
              <w:bottom w:val="single" w:color="auto" w:sz="4" w:space="0"/>
              <w:right w:val="single" w:color="auto" w:sz="4" w:space="0"/>
            </w:tcBorders>
            <w:vAlign w:val="center"/>
          </w:tcPr>
          <w:p w14:paraId="396565FB">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1</w:t>
            </w:r>
          </w:p>
        </w:tc>
        <w:tc>
          <w:tcPr>
            <w:tcW w:w="1432" w:type="dxa"/>
            <w:vMerge w:val="restart"/>
            <w:tcBorders>
              <w:top w:val="single" w:color="auto" w:sz="4" w:space="0"/>
              <w:left w:val="single" w:color="auto" w:sz="4" w:space="0"/>
              <w:bottom w:val="single" w:color="auto" w:sz="4" w:space="0"/>
              <w:right w:val="single" w:color="auto" w:sz="4" w:space="0"/>
            </w:tcBorders>
            <w:vAlign w:val="center"/>
          </w:tcPr>
          <w:p w14:paraId="020614D8">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A020101</w:t>
            </w:r>
          </w:p>
        </w:tc>
        <w:tc>
          <w:tcPr>
            <w:tcW w:w="1894" w:type="dxa"/>
            <w:vMerge w:val="restart"/>
            <w:tcBorders>
              <w:top w:val="single" w:color="auto" w:sz="4" w:space="0"/>
              <w:left w:val="single" w:color="auto" w:sz="4" w:space="0"/>
              <w:bottom w:val="single" w:color="auto" w:sz="4" w:space="0"/>
              <w:right w:val="single" w:color="auto" w:sz="4" w:space="0"/>
            </w:tcBorders>
            <w:vAlign w:val="center"/>
          </w:tcPr>
          <w:p w14:paraId="3E5A60F6">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计算机设备</w:t>
            </w:r>
          </w:p>
        </w:tc>
        <w:tc>
          <w:tcPr>
            <w:tcW w:w="1685" w:type="dxa"/>
            <w:tcBorders>
              <w:top w:val="single" w:color="auto" w:sz="4" w:space="0"/>
              <w:left w:val="single" w:color="auto" w:sz="4" w:space="0"/>
              <w:bottom w:val="single" w:color="auto" w:sz="4" w:space="0"/>
              <w:right w:val="single" w:color="auto" w:sz="4" w:space="0"/>
            </w:tcBorders>
            <w:vAlign w:val="center"/>
          </w:tcPr>
          <w:p w14:paraId="2C468394">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A02010104</w:t>
            </w:r>
          </w:p>
        </w:tc>
        <w:tc>
          <w:tcPr>
            <w:tcW w:w="2360" w:type="dxa"/>
            <w:tcBorders>
              <w:top w:val="single" w:color="auto" w:sz="4" w:space="0"/>
              <w:left w:val="single" w:color="auto" w:sz="4" w:space="0"/>
              <w:bottom w:val="single" w:color="auto" w:sz="4" w:space="0"/>
              <w:right w:val="single" w:color="auto" w:sz="4" w:space="0"/>
            </w:tcBorders>
            <w:vAlign w:val="center"/>
          </w:tcPr>
          <w:p w14:paraId="283296D0">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台式计算机</w:t>
            </w:r>
          </w:p>
        </w:tc>
        <w:tc>
          <w:tcPr>
            <w:tcW w:w="5844" w:type="dxa"/>
            <w:vMerge w:val="restart"/>
            <w:tcBorders>
              <w:top w:val="single" w:color="auto" w:sz="4" w:space="0"/>
              <w:left w:val="single" w:color="auto" w:sz="4" w:space="0"/>
              <w:bottom w:val="single" w:color="auto" w:sz="4" w:space="0"/>
              <w:right w:val="single" w:color="auto" w:sz="4" w:space="0"/>
            </w:tcBorders>
            <w:vAlign w:val="center"/>
          </w:tcPr>
          <w:p w14:paraId="37D07F6E">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中国质量认证中心</w:t>
            </w:r>
          </w:p>
          <w:p w14:paraId="54B57EF1">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北京赛西认证有限责任公司</w:t>
            </w:r>
          </w:p>
          <w:p w14:paraId="51D3D78A">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中国网络安全审查技术与认证中心</w:t>
            </w:r>
          </w:p>
          <w:p w14:paraId="4700A9DD">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广州赛宝认证中心服务有限公司</w:t>
            </w:r>
          </w:p>
        </w:tc>
      </w:tr>
      <w:tr w14:paraId="6693B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3BB6552">
            <w:pPr>
              <w:widowControl/>
              <w:jc w:val="center"/>
              <w:rPr>
                <w:rFonts w:hint="eastAsia" w:ascii="宋体" w:hAnsi="宋体" w:cs="宋体"/>
                <w:color w:val="000000"/>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72AC531">
            <w:pPr>
              <w:widowControl/>
              <w:jc w:val="center"/>
              <w:rPr>
                <w:rFonts w:hint="eastAsia" w:ascii="宋体" w:hAnsi="宋体" w:cs="宋体"/>
                <w:color w:val="000000"/>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EDBD0CC">
            <w:pPr>
              <w:widowControl/>
              <w:jc w:val="center"/>
              <w:rPr>
                <w:rFonts w:hint="eastAsia" w:ascii="宋体" w:hAnsi="宋体" w:cs="宋体"/>
                <w:color w:val="000000"/>
                <w:kern w:val="0"/>
                <w:sz w:val="24"/>
              </w:rPr>
            </w:pPr>
          </w:p>
        </w:tc>
        <w:tc>
          <w:tcPr>
            <w:tcW w:w="1685" w:type="dxa"/>
            <w:tcBorders>
              <w:top w:val="single" w:color="auto" w:sz="4" w:space="0"/>
              <w:left w:val="single" w:color="auto" w:sz="4" w:space="0"/>
              <w:bottom w:val="single" w:color="auto" w:sz="4" w:space="0"/>
              <w:right w:val="single" w:color="auto" w:sz="4" w:space="0"/>
            </w:tcBorders>
            <w:vAlign w:val="center"/>
          </w:tcPr>
          <w:p w14:paraId="01E626D0">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A02010105</w:t>
            </w:r>
          </w:p>
        </w:tc>
        <w:tc>
          <w:tcPr>
            <w:tcW w:w="2360" w:type="dxa"/>
            <w:tcBorders>
              <w:top w:val="single" w:color="auto" w:sz="4" w:space="0"/>
              <w:left w:val="single" w:color="auto" w:sz="4" w:space="0"/>
              <w:bottom w:val="single" w:color="auto" w:sz="4" w:space="0"/>
              <w:right w:val="single" w:color="auto" w:sz="4" w:space="0"/>
            </w:tcBorders>
            <w:vAlign w:val="center"/>
          </w:tcPr>
          <w:p w14:paraId="756BA10C">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便携式计算机</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D0E3F00">
            <w:pPr>
              <w:widowControl/>
              <w:jc w:val="center"/>
              <w:rPr>
                <w:rFonts w:hint="eastAsia" w:ascii="宋体" w:hAnsi="宋体" w:cs="宋体"/>
                <w:color w:val="000000"/>
                <w:kern w:val="0"/>
                <w:sz w:val="24"/>
              </w:rPr>
            </w:pPr>
          </w:p>
        </w:tc>
      </w:tr>
      <w:tr w14:paraId="4F72A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B78A485">
            <w:pPr>
              <w:widowControl/>
              <w:jc w:val="center"/>
              <w:rPr>
                <w:rFonts w:hint="eastAsia" w:ascii="宋体" w:hAnsi="宋体" w:cs="宋体"/>
                <w:color w:val="000000"/>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E4C6525">
            <w:pPr>
              <w:widowControl/>
              <w:jc w:val="center"/>
              <w:rPr>
                <w:rFonts w:hint="eastAsia" w:ascii="宋体" w:hAnsi="宋体" w:cs="宋体"/>
                <w:color w:val="000000"/>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3D12CB0">
            <w:pPr>
              <w:widowControl/>
              <w:jc w:val="center"/>
              <w:rPr>
                <w:rFonts w:hint="eastAsia" w:ascii="宋体" w:hAnsi="宋体" w:cs="宋体"/>
                <w:color w:val="000000"/>
                <w:kern w:val="0"/>
                <w:sz w:val="24"/>
              </w:rPr>
            </w:pPr>
          </w:p>
        </w:tc>
        <w:tc>
          <w:tcPr>
            <w:tcW w:w="1685" w:type="dxa"/>
            <w:tcBorders>
              <w:top w:val="single" w:color="auto" w:sz="4" w:space="0"/>
              <w:left w:val="single" w:color="auto" w:sz="4" w:space="0"/>
              <w:bottom w:val="single" w:color="auto" w:sz="4" w:space="0"/>
              <w:right w:val="single" w:color="auto" w:sz="4" w:space="0"/>
            </w:tcBorders>
            <w:vAlign w:val="center"/>
          </w:tcPr>
          <w:p w14:paraId="0AAC1350">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A02010107</w:t>
            </w:r>
          </w:p>
        </w:tc>
        <w:tc>
          <w:tcPr>
            <w:tcW w:w="2360" w:type="dxa"/>
            <w:tcBorders>
              <w:top w:val="single" w:color="auto" w:sz="4" w:space="0"/>
              <w:left w:val="single" w:color="auto" w:sz="4" w:space="0"/>
              <w:bottom w:val="single" w:color="auto" w:sz="4" w:space="0"/>
              <w:right w:val="single" w:color="auto" w:sz="4" w:space="0"/>
            </w:tcBorders>
            <w:vAlign w:val="center"/>
          </w:tcPr>
          <w:p w14:paraId="066DA075">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平板式微型计算机</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6B16B6A">
            <w:pPr>
              <w:widowControl/>
              <w:jc w:val="center"/>
              <w:rPr>
                <w:rFonts w:hint="eastAsia" w:ascii="宋体" w:hAnsi="宋体" w:cs="宋体"/>
                <w:color w:val="000000"/>
                <w:kern w:val="0"/>
                <w:sz w:val="24"/>
              </w:rPr>
            </w:pPr>
          </w:p>
        </w:tc>
      </w:tr>
      <w:tr w14:paraId="5D03D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6" w:type="dxa"/>
            <w:vMerge w:val="restart"/>
            <w:tcBorders>
              <w:top w:val="single" w:color="auto" w:sz="4" w:space="0"/>
              <w:left w:val="single" w:color="auto" w:sz="4" w:space="0"/>
              <w:bottom w:val="single" w:color="auto" w:sz="4" w:space="0"/>
              <w:right w:val="single" w:color="auto" w:sz="4" w:space="0"/>
            </w:tcBorders>
            <w:vAlign w:val="center"/>
          </w:tcPr>
          <w:p w14:paraId="7BEC496C">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2</w:t>
            </w:r>
          </w:p>
        </w:tc>
        <w:tc>
          <w:tcPr>
            <w:tcW w:w="1432" w:type="dxa"/>
            <w:vMerge w:val="restart"/>
            <w:tcBorders>
              <w:top w:val="single" w:color="auto" w:sz="4" w:space="0"/>
              <w:left w:val="single" w:color="auto" w:sz="4" w:space="0"/>
              <w:bottom w:val="single" w:color="auto" w:sz="4" w:space="0"/>
              <w:right w:val="single" w:color="auto" w:sz="4" w:space="0"/>
            </w:tcBorders>
            <w:vAlign w:val="center"/>
          </w:tcPr>
          <w:p w14:paraId="32C9A946">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A020106</w:t>
            </w:r>
          </w:p>
        </w:tc>
        <w:tc>
          <w:tcPr>
            <w:tcW w:w="1894" w:type="dxa"/>
            <w:vMerge w:val="restart"/>
            <w:tcBorders>
              <w:top w:val="single" w:color="auto" w:sz="4" w:space="0"/>
              <w:left w:val="single" w:color="auto" w:sz="4" w:space="0"/>
              <w:bottom w:val="single" w:color="auto" w:sz="4" w:space="0"/>
              <w:right w:val="single" w:color="auto" w:sz="4" w:space="0"/>
            </w:tcBorders>
            <w:vAlign w:val="center"/>
          </w:tcPr>
          <w:p w14:paraId="7D6FB1C6">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输入输出设备</w:t>
            </w:r>
          </w:p>
        </w:tc>
        <w:tc>
          <w:tcPr>
            <w:tcW w:w="1685" w:type="dxa"/>
            <w:tcBorders>
              <w:top w:val="single" w:color="auto" w:sz="4" w:space="0"/>
              <w:left w:val="single" w:color="auto" w:sz="4" w:space="0"/>
              <w:bottom w:val="single" w:color="auto" w:sz="4" w:space="0"/>
              <w:right w:val="single" w:color="auto" w:sz="4" w:space="0"/>
            </w:tcBorders>
            <w:vAlign w:val="center"/>
          </w:tcPr>
          <w:p w14:paraId="410406D8">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A02010601</w:t>
            </w:r>
          </w:p>
        </w:tc>
        <w:tc>
          <w:tcPr>
            <w:tcW w:w="2360" w:type="dxa"/>
            <w:tcBorders>
              <w:top w:val="single" w:color="auto" w:sz="4" w:space="0"/>
              <w:left w:val="single" w:color="auto" w:sz="4" w:space="0"/>
              <w:bottom w:val="single" w:color="auto" w:sz="4" w:space="0"/>
              <w:right w:val="single" w:color="auto" w:sz="4" w:space="0"/>
            </w:tcBorders>
            <w:vAlign w:val="center"/>
          </w:tcPr>
          <w:p w14:paraId="52876781">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打印设备</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F9AB44E">
            <w:pPr>
              <w:widowControl/>
              <w:jc w:val="center"/>
              <w:rPr>
                <w:rFonts w:hint="eastAsia" w:ascii="宋体" w:hAnsi="宋体" w:cs="宋体"/>
                <w:color w:val="000000"/>
                <w:kern w:val="0"/>
                <w:sz w:val="24"/>
              </w:rPr>
            </w:pPr>
          </w:p>
        </w:tc>
      </w:tr>
      <w:tr w14:paraId="5AFCD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6A1F662">
            <w:pPr>
              <w:widowControl/>
              <w:jc w:val="center"/>
              <w:rPr>
                <w:rFonts w:hint="eastAsia" w:ascii="宋体" w:hAnsi="宋体" w:cs="宋体"/>
                <w:color w:val="000000"/>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E761419">
            <w:pPr>
              <w:widowControl/>
              <w:jc w:val="center"/>
              <w:rPr>
                <w:rFonts w:hint="eastAsia" w:ascii="宋体" w:hAnsi="宋体" w:cs="宋体"/>
                <w:color w:val="000000"/>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2EDDEB8">
            <w:pPr>
              <w:widowControl/>
              <w:jc w:val="center"/>
              <w:rPr>
                <w:rFonts w:hint="eastAsia" w:ascii="宋体" w:hAnsi="宋体" w:cs="宋体"/>
                <w:color w:val="000000"/>
                <w:kern w:val="0"/>
                <w:sz w:val="24"/>
              </w:rPr>
            </w:pPr>
          </w:p>
        </w:tc>
        <w:tc>
          <w:tcPr>
            <w:tcW w:w="1685" w:type="dxa"/>
            <w:tcBorders>
              <w:top w:val="single" w:color="auto" w:sz="4" w:space="0"/>
              <w:left w:val="single" w:color="auto" w:sz="4" w:space="0"/>
              <w:bottom w:val="single" w:color="auto" w:sz="4" w:space="0"/>
              <w:right w:val="single" w:color="auto" w:sz="4" w:space="0"/>
            </w:tcBorders>
            <w:vAlign w:val="center"/>
          </w:tcPr>
          <w:p w14:paraId="0A86184E">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A02010604</w:t>
            </w:r>
          </w:p>
        </w:tc>
        <w:tc>
          <w:tcPr>
            <w:tcW w:w="2360" w:type="dxa"/>
            <w:tcBorders>
              <w:top w:val="single" w:color="auto" w:sz="4" w:space="0"/>
              <w:left w:val="single" w:color="auto" w:sz="4" w:space="0"/>
              <w:bottom w:val="single" w:color="auto" w:sz="4" w:space="0"/>
              <w:right w:val="single" w:color="auto" w:sz="4" w:space="0"/>
            </w:tcBorders>
            <w:vAlign w:val="center"/>
          </w:tcPr>
          <w:p w14:paraId="555F2B8C">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显示设备</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F167114">
            <w:pPr>
              <w:widowControl/>
              <w:jc w:val="center"/>
              <w:rPr>
                <w:rFonts w:hint="eastAsia" w:ascii="宋体" w:hAnsi="宋体" w:cs="宋体"/>
                <w:color w:val="000000"/>
                <w:kern w:val="0"/>
                <w:sz w:val="24"/>
              </w:rPr>
            </w:pPr>
          </w:p>
        </w:tc>
      </w:tr>
      <w:tr w14:paraId="1E55E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FCD113F">
            <w:pPr>
              <w:widowControl/>
              <w:jc w:val="center"/>
              <w:rPr>
                <w:rFonts w:hint="eastAsia" w:ascii="宋体" w:hAnsi="宋体" w:cs="宋体"/>
                <w:color w:val="000000"/>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91B5EFF">
            <w:pPr>
              <w:widowControl/>
              <w:jc w:val="center"/>
              <w:rPr>
                <w:rFonts w:hint="eastAsia" w:ascii="宋体" w:hAnsi="宋体" w:cs="宋体"/>
                <w:color w:val="000000"/>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A1856EB">
            <w:pPr>
              <w:widowControl/>
              <w:jc w:val="center"/>
              <w:rPr>
                <w:rFonts w:hint="eastAsia" w:ascii="宋体" w:hAnsi="宋体" w:cs="宋体"/>
                <w:color w:val="000000"/>
                <w:kern w:val="0"/>
                <w:sz w:val="24"/>
              </w:rPr>
            </w:pPr>
          </w:p>
        </w:tc>
        <w:tc>
          <w:tcPr>
            <w:tcW w:w="1685" w:type="dxa"/>
            <w:tcBorders>
              <w:top w:val="single" w:color="auto" w:sz="4" w:space="0"/>
              <w:left w:val="single" w:color="auto" w:sz="4" w:space="0"/>
              <w:bottom w:val="single" w:color="auto" w:sz="4" w:space="0"/>
              <w:right w:val="single" w:color="auto" w:sz="4" w:space="0"/>
            </w:tcBorders>
            <w:vAlign w:val="center"/>
          </w:tcPr>
          <w:p w14:paraId="72CB5FFE">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A02010609</w:t>
            </w:r>
          </w:p>
        </w:tc>
        <w:tc>
          <w:tcPr>
            <w:tcW w:w="2360" w:type="dxa"/>
            <w:tcBorders>
              <w:top w:val="single" w:color="auto" w:sz="4" w:space="0"/>
              <w:left w:val="single" w:color="auto" w:sz="4" w:space="0"/>
              <w:bottom w:val="single" w:color="auto" w:sz="4" w:space="0"/>
              <w:right w:val="single" w:color="auto" w:sz="4" w:space="0"/>
            </w:tcBorders>
            <w:vAlign w:val="center"/>
          </w:tcPr>
          <w:p w14:paraId="7F2E7F51">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图形图像输入设备</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5D743EE">
            <w:pPr>
              <w:widowControl/>
              <w:jc w:val="center"/>
              <w:rPr>
                <w:rFonts w:hint="eastAsia" w:ascii="宋体" w:hAnsi="宋体" w:cs="宋体"/>
                <w:color w:val="000000"/>
                <w:kern w:val="0"/>
                <w:sz w:val="24"/>
              </w:rPr>
            </w:pPr>
          </w:p>
        </w:tc>
      </w:tr>
      <w:tr w14:paraId="58FE6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6" w:type="dxa"/>
            <w:tcBorders>
              <w:top w:val="single" w:color="auto" w:sz="4" w:space="0"/>
              <w:left w:val="single" w:color="auto" w:sz="4" w:space="0"/>
              <w:bottom w:val="single" w:color="auto" w:sz="4" w:space="0"/>
              <w:right w:val="single" w:color="auto" w:sz="4" w:space="0"/>
            </w:tcBorders>
            <w:vAlign w:val="center"/>
          </w:tcPr>
          <w:p w14:paraId="603ADA17">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3</w:t>
            </w:r>
          </w:p>
        </w:tc>
        <w:tc>
          <w:tcPr>
            <w:tcW w:w="1432" w:type="dxa"/>
            <w:tcBorders>
              <w:top w:val="single" w:color="auto" w:sz="4" w:space="0"/>
              <w:left w:val="single" w:color="auto" w:sz="4" w:space="0"/>
              <w:bottom w:val="single" w:color="auto" w:sz="4" w:space="0"/>
              <w:right w:val="single" w:color="auto" w:sz="4" w:space="0"/>
            </w:tcBorders>
            <w:vAlign w:val="center"/>
          </w:tcPr>
          <w:p w14:paraId="4CCD8756">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A020202</w:t>
            </w:r>
          </w:p>
        </w:tc>
        <w:tc>
          <w:tcPr>
            <w:tcW w:w="1894" w:type="dxa"/>
            <w:tcBorders>
              <w:top w:val="single" w:color="auto" w:sz="4" w:space="0"/>
              <w:left w:val="single" w:color="auto" w:sz="4" w:space="0"/>
              <w:bottom w:val="single" w:color="auto" w:sz="4" w:space="0"/>
              <w:right w:val="single" w:color="auto" w:sz="4" w:space="0"/>
            </w:tcBorders>
            <w:vAlign w:val="center"/>
          </w:tcPr>
          <w:p w14:paraId="03CDC610">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投影仪</w:t>
            </w:r>
          </w:p>
        </w:tc>
        <w:tc>
          <w:tcPr>
            <w:tcW w:w="1685" w:type="dxa"/>
            <w:tcBorders>
              <w:top w:val="single" w:color="auto" w:sz="4" w:space="0"/>
              <w:left w:val="single" w:color="auto" w:sz="4" w:space="0"/>
              <w:bottom w:val="single" w:color="auto" w:sz="4" w:space="0"/>
              <w:right w:val="single" w:color="auto" w:sz="4" w:space="0"/>
            </w:tcBorders>
            <w:vAlign w:val="center"/>
          </w:tcPr>
          <w:p w14:paraId="083402CC">
            <w:pPr>
              <w:widowControl/>
              <w:spacing w:before="63" w:after="275" w:line="240" w:lineRule="atLeast"/>
              <w:jc w:val="center"/>
              <w:rPr>
                <w:rFonts w:hint="eastAsia" w:ascii="宋体" w:hAnsi="宋体" w:cs="宋体"/>
                <w:color w:val="000000"/>
                <w:kern w:val="0"/>
                <w:sz w:val="24"/>
              </w:rPr>
            </w:pPr>
          </w:p>
        </w:tc>
        <w:tc>
          <w:tcPr>
            <w:tcW w:w="2360" w:type="dxa"/>
            <w:tcBorders>
              <w:top w:val="single" w:color="auto" w:sz="4" w:space="0"/>
              <w:left w:val="single" w:color="auto" w:sz="4" w:space="0"/>
              <w:bottom w:val="single" w:color="auto" w:sz="4" w:space="0"/>
              <w:right w:val="single" w:color="auto" w:sz="4" w:space="0"/>
            </w:tcBorders>
            <w:vAlign w:val="center"/>
          </w:tcPr>
          <w:p w14:paraId="4E5BFB50">
            <w:pPr>
              <w:widowControl/>
              <w:spacing w:before="63" w:after="275" w:line="240" w:lineRule="atLeast"/>
              <w:jc w:val="center"/>
              <w:rPr>
                <w:rFonts w:hint="eastAsia" w:ascii="宋体" w:hAnsi="宋体" w:cs="宋体"/>
                <w:color w:val="000000"/>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9C51689">
            <w:pPr>
              <w:widowControl/>
              <w:jc w:val="center"/>
              <w:rPr>
                <w:rFonts w:hint="eastAsia" w:ascii="宋体" w:hAnsi="宋体" w:cs="宋体"/>
                <w:color w:val="000000"/>
                <w:kern w:val="0"/>
                <w:sz w:val="24"/>
              </w:rPr>
            </w:pPr>
          </w:p>
        </w:tc>
      </w:tr>
      <w:tr w14:paraId="2A18F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6" w:type="dxa"/>
            <w:tcBorders>
              <w:top w:val="single" w:color="auto" w:sz="4" w:space="0"/>
              <w:left w:val="single" w:color="auto" w:sz="4" w:space="0"/>
              <w:bottom w:val="single" w:color="auto" w:sz="4" w:space="0"/>
              <w:right w:val="single" w:color="auto" w:sz="4" w:space="0"/>
            </w:tcBorders>
            <w:vAlign w:val="center"/>
          </w:tcPr>
          <w:p w14:paraId="324A8DF9">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4</w:t>
            </w:r>
          </w:p>
        </w:tc>
        <w:tc>
          <w:tcPr>
            <w:tcW w:w="1432" w:type="dxa"/>
            <w:tcBorders>
              <w:top w:val="single" w:color="auto" w:sz="4" w:space="0"/>
              <w:left w:val="single" w:color="auto" w:sz="4" w:space="0"/>
              <w:bottom w:val="single" w:color="auto" w:sz="4" w:space="0"/>
              <w:right w:val="single" w:color="auto" w:sz="4" w:space="0"/>
            </w:tcBorders>
            <w:vAlign w:val="center"/>
          </w:tcPr>
          <w:p w14:paraId="71355E20">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A020204</w:t>
            </w:r>
          </w:p>
        </w:tc>
        <w:tc>
          <w:tcPr>
            <w:tcW w:w="1894" w:type="dxa"/>
            <w:tcBorders>
              <w:top w:val="single" w:color="auto" w:sz="4" w:space="0"/>
              <w:left w:val="single" w:color="auto" w:sz="4" w:space="0"/>
              <w:bottom w:val="single" w:color="auto" w:sz="4" w:space="0"/>
              <w:right w:val="single" w:color="auto" w:sz="4" w:space="0"/>
            </w:tcBorders>
            <w:vAlign w:val="center"/>
          </w:tcPr>
          <w:p w14:paraId="2768D535">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多功能一体机</w:t>
            </w:r>
          </w:p>
        </w:tc>
        <w:tc>
          <w:tcPr>
            <w:tcW w:w="1685" w:type="dxa"/>
            <w:tcBorders>
              <w:top w:val="single" w:color="auto" w:sz="4" w:space="0"/>
              <w:left w:val="single" w:color="auto" w:sz="4" w:space="0"/>
              <w:bottom w:val="single" w:color="auto" w:sz="4" w:space="0"/>
              <w:right w:val="single" w:color="auto" w:sz="4" w:space="0"/>
            </w:tcBorders>
            <w:vAlign w:val="center"/>
          </w:tcPr>
          <w:p w14:paraId="7BC81529">
            <w:pPr>
              <w:widowControl/>
              <w:spacing w:before="63" w:after="275" w:line="240" w:lineRule="atLeast"/>
              <w:jc w:val="center"/>
              <w:rPr>
                <w:rFonts w:hint="eastAsia" w:ascii="宋体" w:hAnsi="宋体" w:cs="宋体"/>
                <w:color w:val="000000"/>
                <w:kern w:val="0"/>
                <w:sz w:val="24"/>
              </w:rPr>
            </w:pPr>
          </w:p>
        </w:tc>
        <w:tc>
          <w:tcPr>
            <w:tcW w:w="2360" w:type="dxa"/>
            <w:tcBorders>
              <w:top w:val="single" w:color="auto" w:sz="4" w:space="0"/>
              <w:left w:val="single" w:color="auto" w:sz="4" w:space="0"/>
              <w:bottom w:val="single" w:color="auto" w:sz="4" w:space="0"/>
              <w:right w:val="single" w:color="auto" w:sz="4" w:space="0"/>
            </w:tcBorders>
            <w:vAlign w:val="center"/>
          </w:tcPr>
          <w:p w14:paraId="45E0CDF7">
            <w:pPr>
              <w:widowControl/>
              <w:spacing w:before="63" w:after="275" w:line="240" w:lineRule="atLeast"/>
              <w:jc w:val="center"/>
              <w:rPr>
                <w:rFonts w:hint="eastAsia" w:ascii="宋体" w:hAnsi="宋体" w:cs="宋体"/>
                <w:color w:val="000000"/>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C4A512C">
            <w:pPr>
              <w:widowControl/>
              <w:jc w:val="center"/>
              <w:rPr>
                <w:rFonts w:hint="eastAsia" w:ascii="宋体" w:hAnsi="宋体" w:cs="宋体"/>
                <w:color w:val="000000"/>
                <w:kern w:val="0"/>
                <w:sz w:val="24"/>
              </w:rPr>
            </w:pPr>
          </w:p>
        </w:tc>
      </w:tr>
      <w:tr w14:paraId="548B3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9" w:hRule="atLeast"/>
        </w:trPr>
        <w:tc>
          <w:tcPr>
            <w:tcW w:w="866" w:type="dxa"/>
            <w:tcBorders>
              <w:top w:val="single" w:color="auto" w:sz="4" w:space="0"/>
              <w:left w:val="single" w:color="auto" w:sz="4" w:space="0"/>
              <w:bottom w:val="single" w:color="auto" w:sz="4" w:space="0"/>
              <w:right w:val="single" w:color="auto" w:sz="4" w:space="0"/>
            </w:tcBorders>
            <w:vAlign w:val="center"/>
          </w:tcPr>
          <w:p w14:paraId="1B3C8762">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5</w:t>
            </w:r>
          </w:p>
        </w:tc>
        <w:tc>
          <w:tcPr>
            <w:tcW w:w="1432" w:type="dxa"/>
            <w:tcBorders>
              <w:top w:val="single" w:color="auto" w:sz="4" w:space="0"/>
              <w:left w:val="single" w:color="auto" w:sz="4" w:space="0"/>
              <w:bottom w:val="single" w:color="auto" w:sz="4" w:space="0"/>
              <w:right w:val="single" w:color="auto" w:sz="4" w:space="0"/>
            </w:tcBorders>
            <w:vAlign w:val="center"/>
          </w:tcPr>
          <w:p w14:paraId="7C226DD9">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A020519</w:t>
            </w:r>
          </w:p>
        </w:tc>
        <w:tc>
          <w:tcPr>
            <w:tcW w:w="1894" w:type="dxa"/>
            <w:tcBorders>
              <w:top w:val="single" w:color="auto" w:sz="4" w:space="0"/>
              <w:left w:val="single" w:color="auto" w:sz="4" w:space="0"/>
              <w:bottom w:val="single" w:color="auto" w:sz="4" w:space="0"/>
              <w:right w:val="single" w:color="auto" w:sz="4" w:space="0"/>
            </w:tcBorders>
            <w:vAlign w:val="center"/>
          </w:tcPr>
          <w:p w14:paraId="4FDD2753">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泵</w:t>
            </w:r>
          </w:p>
        </w:tc>
        <w:tc>
          <w:tcPr>
            <w:tcW w:w="1685" w:type="dxa"/>
            <w:tcBorders>
              <w:top w:val="single" w:color="auto" w:sz="4" w:space="0"/>
              <w:left w:val="single" w:color="auto" w:sz="4" w:space="0"/>
              <w:bottom w:val="single" w:color="auto" w:sz="4" w:space="0"/>
              <w:right w:val="single" w:color="auto" w:sz="4" w:space="0"/>
            </w:tcBorders>
            <w:vAlign w:val="center"/>
          </w:tcPr>
          <w:p w14:paraId="723A80FA">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A02051901</w:t>
            </w:r>
          </w:p>
        </w:tc>
        <w:tc>
          <w:tcPr>
            <w:tcW w:w="2360" w:type="dxa"/>
            <w:tcBorders>
              <w:top w:val="single" w:color="auto" w:sz="4" w:space="0"/>
              <w:left w:val="single" w:color="auto" w:sz="4" w:space="0"/>
              <w:bottom w:val="single" w:color="auto" w:sz="4" w:space="0"/>
              <w:right w:val="single" w:color="auto" w:sz="4" w:space="0"/>
            </w:tcBorders>
            <w:vAlign w:val="center"/>
          </w:tcPr>
          <w:p w14:paraId="4972F141">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离心泵</w:t>
            </w:r>
          </w:p>
        </w:tc>
        <w:tc>
          <w:tcPr>
            <w:tcW w:w="5844" w:type="dxa"/>
            <w:tcBorders>
              <w:top w:val="single" w:color="auto" w:sz="4" w:space="0"/>
              <w:left w:val="single" w:color="auto" w:sz="4" w:space="0"/>
              <w:bottom w:val="single" w:color="auto" w:sz="4" w:space="0"/>
              <w:right w:val="single" w:color="auto" w:sz="4" w:space="0"/>
            </w:tcBorders>
            <w:vAlign w:val="center"/>
          </w:tcPr>
          <w:p w14:paraId="599E1CF5">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中国质量认证中心</w:t>
            </w:r>
          </w:p>
          <w:p w14:paraId="21C9D4BF">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电能（北京）认证中心有限公司</w:t>
            </w:r>
          </w:p>
          <w:p w14:paraId="56F372E2">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方圆标志认证集团有限公司</w:t>
            </w:r>
          </w:p>
        </w:tc>
      </w:tr>
      <w:tr w14:paraId="26C77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6" w:type="dxa"/>
            <w:vMerge w:val="restart"/>
            <w:tcBorders>
              <w:top w:val="single" w:color="auto" w:sz="4" w:space="0"/>
              <w:left w:val="single" w:color="auto" w:sz="4" w:space="0"/>
              <w:bottom w:val="single" w:color="auto" w:sz="4" w:space="0"/>
              <w:right w:val="single" w:color="auto" w:sz="4" w:space="0"/>
            </w:tcBorders>
            <w:vAlign w:val="center"/>
          </w:tcPr>
          <w:p w14:paraId="7CC69C7F">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6</w:t>
            </w:r>
          </w:p>
        </w:tc>
        <w:tc>
          <w:tcPr>
            <w:tcW w:w="1432" w:type="dxa"/>
            <w:vMerge w:val="restart"/>
            <w:tcBorders>
              <w:top w:val="single" w:color="auto" w:sz="4" w:space="0"/>
              <w:left w:val="single" w:color="auto" w:sz="4" w:space="0"/>
              <w:bottom w:val="single" w:color="auto" w:sz="4" w:space="0"/>
              <w:right w:val="single" w:color="auto" w:sz="4" w:space="0"/>
            </w:tcBorders>
            <w:vAlign w:val="center"/>
          </w:tcPr>
          <w:p w14:paraId="6A6EC1C0">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A020523</w:t>
            </w:r>
          </w:p>
        </w:tc>
        <w:tc>
          <w:tcPr>
            <w:tcW w:w="1894" w:type="dxa"/>
            <w:vMerge w:val="restart"/>
            <w:tcBorders>
              <w:top w:val="single" w:color="auto" w:sz="4" w:space="0"/>
              <w:left w:val="single" w:color="auto" w:sz="4" w:space="0"/>
              <w:bottom w:val="single" w:color="auto" w:sz="4" w:space="0"/>
              <w:right w:val="single" w:color="auto" w:sz="4" w:space="0"/>
            </w:tcBorders>
            <w:vAlign w:val="center"/>
          </w:tcPr>
          <w:p w14:paraId="360BC847">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制冷空调设备</w:t>
            </w:r>
          </w:p>
        </w:tc>
        <w:tc>
          <w:tcPr>
            <w:tcW w:w="1685" w:type="dxa"/>
            <w:tcBorders>
              <w:top w:val="single" w:color="auto" w:sz="4" w:space="0"/>
              <w:left w:val="single" w:color="auto" w:sz="4" w:space="0"/>
              <w:bottom w:val="single" w:color="auto" w:sz="4" w:space="0"/>
              <w:right w:val="single" w:color="auto" w:sz="4" w:space="0"/>
            </w:tcBorders>
            <w:vAlign w:val="center"/>
          </w:tcPr>
          <w:p w14:paraId="7D0F2A59">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A02052301</w:t>
            </w:r>
          </w:p>
        </w:tc>
        <w:tc>
          <w:tcPr>
            <w:tcW w:w="2360" w:type="dxa"/>
            <w:tcBorders>
              <w:top w:val="single" w:color="auto" w:sz="4" w:space="0"/>
              <w:left w:val="single" w:color="auto" w:sz="4" w:space="0"/>
              <w:bottom w:val="single" w:color="auto" w:sz="4" w:space="0"/>
              <w:right w:val="single" w:color="auto" w:sz="4" w:space="0"/>
            </w:tcBorders>
            <w:vAlign w:val="center"/>
          </w:tcPr>
          <w:p w14:paraId="49D8A160">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制冷压缩机</w:t>
            </w:r>
          </w:p>
        </w:tc>
        <w:tc>
          <w:tcPr>
            <w:tcW w:w="5844" w:type="dxa"/>
            <w:vMerge w:val="restart"/>
            <w:tcBorders>
              <w:top w:val="single" w:color="auto" w:sz="4" w:space="0"/>
              <w:left w:val="single" w:color="auto" w:sz="4" w:space="0"/>
              <w:bottom w:val="single" w:color="auto" w:sz="4" w:space="0"/>
              <w:right w:val="single" w:color="auto" w:sz="4" w:space="0"/>
            </w:tcBorders>
            <w:vAlign w:val="center"/>
          </w:tcPr>
          <w:p w14:paraId="16B3C242">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中国质量认证中心</w:t>
            </w:r>
          </w:p>
          <w:p w14:paraId="0930246A">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威凯认证检测有限公司</w:t>
            </w:r>
          </w:p>
          <w:p w14:paraId="16F1A019">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合肥通用机械产品认证有限公司</w:t>
            </w:r>
          </w:p>
          <w:p w14:paraId="4E978B4A">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北京中冷通质量认证中心有限公司</w:t>
            </w:r>
          </w:p>
        </w:tc>
      </w:tr>
      <w:tr w14:paraId="488A8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D0D12C2">
            <w:pPr>
              <w:widowControl/>
              <w:jc w:val="center"/>
              <w:rPr>
                <w:rFonts w:hint="eastAsia" w:ascii="宋体" w:hAnsi="宋体" w:cs="宋体"/>
                <w:color w:val="000000"/>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9956CBA">
            <w:pPr>
              <w:widowControl/>
              <w:jc w:val="center"/>
              <w:rPr>
                <w:rFonts w:hint="eastAsia" w:ascii="宋体" w:hAnsi="宋体" w:cs="宋体"/>
                <w:color w:val="000000"/>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478E3A7">
            <w:pPr>
              <w:widowControl/>
              <w:jc w:val="center"/>
              <w:rPr>
                <w:rFonts w:hint="eastAsia" w:ascii="宋体" w:hAnsi="宋体" w:cs="宋体"/>
                <w:color w:val="000000"/>
                <w:kern w:val="0"/>
                <w:sz w:val="24"/>
              </w:rPr>
            </w:pPr>
          </w:p>
        </w:tc>
        <w:tc>
          <w:tcPr>
            <w:tcW w:w="1685" w:type="dxa"/>
            <w:tcBorders>
              <w:top w:val="single" w:color="auto" w:sz="4" w:space="0"/>
              <w:left w:val="single" w:color="auto" w:sz="4" w:space="0"/>
              <w:bottom w:val="single" w:color="auto" w:sz="4" w:space="0"/>
              <w:right w:val="single" w:color="auto" w:sz="4" w:space="0"/>
            </w:tcBorders>
            <w:vAlign w:val="center"/>
          </w:tcPr>
          <w:p w14:paraId="6CC24D77">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A02052305</w:t>
            </w:r>
          </w:p>
        </w:tc>
        <w:tc>
          <w:tcPr>
            <w:tcW w:w="2360" w:type="dxa"/>
            <w:tcBorders>
              <w:top w:val="single" w:color="auto" w:sz="4" w:space="0"/>
              <w:left w:val="single" w:color="auto" w:sz="4" w:space="0"/>
              <w:bottom w:val="single" w:color="auto" w:sz="4" w:space="0"/>
              <w:right w:val="single" w:color="auto" w:sz="4" w:space="0"/>
            </w:tcBorders>
            <w:vAlign w:val="center"/>
          </w:tcPr>
          <w:p w14:paraId="7522B93A">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空调机组</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028CE98">
            <w:pPr>
              <w:widowControl/>
              <w:jc w:val="center"/>
              <w:rPr>
                <w:rFonts w:hint="eastAsia" w:ascii="宋体" w:hAnsi="宋体" w:cs="宋体"/>
                <w:color w:val="000000"/>
                <w:kern w:val="0"/>
                <w:sz w:val="24"/>
              </w:rPr>
            </w:pPr>
          </w:p>
        </w:tc>
      </w:tr>
      <w:tr w14:paraId="1AC8A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5453243">
            <w:pPr>
              <w:widowControl/>
              <w:jc w:val="center"/>
              <w:rPr>
                <w:rFonts w:hint="eastAsia" w:ascii="宋体" w:hAnsi="宋体" w:cs="宋体"/>
                <w:color w:val="000000"/>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AA5D4C9">
            <w:pPr>
              <w:widowControl/>
              <w:jc w:val="center"/>
              <w:rPr>
                <w:rFonts w:hint="eastAsia" w:ascii="宋体" w:hAnsi="宋体" w:cs="宋体"/>
                <w:color w:val="000000"/>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6E0EF72">
            <w:pPr>
              <w:widowControl/>
              <w:jc w:val="center"/>
              <w:rPr>
                <w:rFonts w:hint="eastAsia" w:ascii="宋体" w:hAnsi="宋体" w:cs="宋体"/>
                <w:color w:val="000000"/>
                <w:kern w:val="0"/>
                <w:sz w:val="24"/>
              </w:rPr>
            </w:pPr>
          </w:p>
        </w:tc>
        <w:tc>
          <w:tcPr>
            <w:tcW w:w="1685" w:type="dxa"/>
            <w:tcBorders>
              <w:top w:val="single" w:color="auto" w:sz="4" w:space="0"/>
              <w:left w:val="single" w:color="auto" w:sz="4" w:space="0"/>
              <w:bottom w:val="single" w:color="auto" w:sz="4" w:space="0"/>
              <w:right w:val="single" w:color="auto" w:sz="4" w:space="0"/>
            </w:tcBorders>
            <w:vAlign w:val="center"/>
          </w:tcPr>
          <w:p w14:paraId="0E4ECCBF">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A02052309</w:t>
            </w:r>
          </w:p>
        </w:tc>
        <w:tc>
          <w:tcPr>
            <w:tcW w:w="2360" w:type="dxa"/>
            <w:tcBorders>
              <w:top w:val="single" w:color="auto" w:sz="4" w:space="0"/>
              <w:left w:val="single" w:color="auto" w:sz="4" w:space="0"/>
              <w:bottom w:val="single" w:color="auto" w:sz="4" w:space="0"/>
              <w:right w:val="single" w:color="auto" w:sz="4" w:space="0"/>
            </w:tcBorders>
            <w:vAlign w:val="center"/>
          </w:tcPr>
          <w:p w14:paraId="0011772F">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专用制冷、空调设备</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915F79A">
            <w:pPr>
              <w:widowControl/>
              <w:jc w:val="center"/>
              <w:rPr>
                <w:rFonts w:hint="eastAsia" w:ascii="宋体" w:hAnsi="宋体" w:cs="宋体"/>
                <w:color w:val="000000"/>
                <w:kern w:val="0"/>
                <w:sz w:val="24"/>
              </w:rPr>
            </w:pPr>
          </w:p>
        </w:tc>
      </w:tr>
      <w:tr w14:paraId="184EC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F5EE210">
            <w:pPr>
              <w:widowControl/>
              <w:jc w:val="center"/>
              <w:rPr>
                <w:rFonts w:hint="eastAsia" w:ascii="宋体" w:hAnsi="宋体" w:cs="宋体"/>
                <w:color w:val="000000"/>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613468C">
            <w:pPr>
              <w:widowControl/>
              <w:jc w:val="center"/>
              <w:rPr>
                <w:rFonts w:hint="eastAsia" w:ascii="宋体" w:hAnsi="宋体" w:cs="宋体"/>
                <w:color w:val="000000"/>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C862E51">
            <w:pPr>
              <w:widowControl/>
              <w:jc w:val="center"/>
              <w:rPr>
                <w:rFonts w:hint="eastAsia" w:ascii="宋体" w:hAnsi="宋体" w:cs="宋体"/>
                <w:color w:val="000000"/>
                <w:kern w:val="0"/>
                <w:sz w:val="24"/>
              </w:rPr>
            </w:pPr>
          </w:p>
        </w:tc>
        <w:tc>
          <w:tcPr>
            <w:tcW w:w="1685" w:type="dxa"/>
            <w:tcBorders>
              <w:top w:val="single" w:color="auto" w:sz="4" w:space="0"/>
              <w:left w:val="single" w:color="auto" w:sz="4" w:space="0"/>
              <w:bottom w:val="single" w:color="auto" w:sz="4" w:space="0"/>
              <w:right w:val="single" w:color="auto" w:sz="4" w:space="0"/>
            </w:tcBorders>
            <w:vAlign w:val="center"/>
          </w:tcPr>
          <w:p w14:paraId="42ABC1E0">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A02052399</w:t>
            </w:r>
          </w:p>
        </w:tc>
        <w:tc>
          <w:tcPr>
            <w:tcW w:w="2360" w:type="dxa"/>
            <w:tcBorders>
              <w:top w:val="single" w:color="auto" w:sz="4" w:space="0"/>
              <w:left w:val="single" w:color="auto" w:sz="4" w:space="0"/>
              <w:bottom w:val="single" w:color="auto" w:sz="4" w:space="0"/>
              <w:right w:val="single" w:color="auto" w:sz="4" w:space="0"/>
            </w:tcBorders>
            <w:vAlign w:val="center"/>
          </w:tcPr>
          <w:p w14:paraId="5239904E">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其他制冷空调设备</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561E9B0">
            <w:pPr>
              <w:widowControl/>
              <w:jc w:val="center"/>
              <w:rPr>
                <w:rFonts w:hint="eastAsia" w:ascii="宋体" w:hAnsi="宋体" w:cs="宋体"/>
                <w:color w:val="000000"/>
                <w:kern w:val="0"/>
                <w:sz w:val="24"/>
              </w:rPr>
            </w:pPr>
          </w:p>
        </w:tc>
      </w:tr>
      <w:tr w14:paraId="2B57E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3" w:hRule="atLeast"/>
        </w:trPr>
        <w:tc>
          <w:tcPr>
            <w:tcW w:w="866" w:type="dxa"/>
            <w:tcBorders>
              <w:top w:val="single" w:color="auto" w:sz="4" w:space="0"/>
              <w:left w:val="single" w:color="auto" w:sz="4" w:space="0"/>
              <w:bottom w:val="single" w:color="auto" w:sz="4" w:space="0"/>
              <w:right w:val="single" w:color="auto" w:sz="4" w:space="0"/>
            </w:tcBorders>
            <w:vAlign w:val="center"/>
          </w:tcPr>
          <w:p w14:paraId="213EB293">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7</w:t>
            </w:r>
          </w:p>
        </w:tc>
        <w:tc>
          <w:tcPr>
            <w:tcW w:w="1432" w:type="dxa"/>
            <w:tcBorders>
              <w:top w:val="single" w:color="auto" w:sz="4" w:space="0"/>
              <w:left w:val="single" w:color="auto" w:sz="4" w:space="0"/>
              <w:bottom w:val="single" w:color="auto" w:sz="4" w:space="0"/>
              <w:right w:val="single" w:color="auto" w:sz="4" w:space="0"/>
            </w:tcBorders>
            <w:vAlign w:val="center"/>
          </w:tcPr>
          <w:p w14:paraId="7D558073">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A020601</w:t>
            </w:r>
          </w:p>
        </w:tc>
        <w:tc>
          <w:tcPr>
            <w:tcW w:w="1894" w:type="dxa"/>
            <w:tcBorders>
              <w:top w:val="single" w:color="auto" w:sz="4" w:space="0"/>
              <w:left w:val="single" w:color="auto" w:sz="4" w:space="0"/>
              <w:bottom w:val="single" w:color="auto" w:sz="4" w:space="0"/>
              <w:right w:val="single" w:color="auto" w:sz="4" w:space="0"/>
            </w:tcBorders>
            <w:vAlign w:val="center"/>
          </w:tcPr>
          <w:p w14:paraId="542DADD1">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电机</w:t>
            </w:r>
          </w:p>
        </w:tc>
        <w:tc>
          <w:tcPr>
            <w:tcW w:w="1685" w:type="dxa"/>
            <w:tcBorders>
              <w:top w:val="single" w:color="auto" w:sz="4" w:space="0"/>
              <w:left w:val="single" w:color="auto" w:sz="4" w:space="0"/>
              <w:bottom w:val="single" w:color="auto" w:sz="4" w:space="0"/>
              <w:right w:val="single" w:color="auto" w:sz="4" w:space="0"/>
            </w:tcBorders>
            <w:vAlign w:val="center"/>
          </w:tcPr>
          <w:p w14:paraId="77721672">
            <w:pPr>
              <w:widowControl/>
              <w:spacing w:before="63" w:after="275" w:line="240" w:lineRule="atLeast"/>
              <w:jc w:val="center"/>
              <w:rPr>
                <w:rFonts w:hint="eastAsia" w:ascii="宋体" w:hAnsi="宋体" w:cs="宋体"/>
                <w:color w:val="000000"/>
                <w:kern w:val="0"/>
                <w:sz w:val="24"/>
              </w:rPr>
            </w:pPr>
          </w:p>
        </w:tc>
        <w:tc>
          <w:tcPr>
            <w:tcW w:w="2360" w:type="dxa"/>
            <w:tcBorders>
              <w:top w:val="single" w:color="auto" w:sz="4" w:space="0"/>
              <w:left w:val="single" w:color="auto" w:sz="4" w:space="0"/>
              <w:bottom w:val="single" w:color="auto" w:sz="4" w:space="0"/>
              <w:right w:val="single" w:color="auto" w:sz="4" w:space="0"/>
            </w:tcBorders>
            <w:vAlign w:val="center"/>
          </w:tcPr>
          <w:p w14:paraId="6ED4065A">
            <w:pPr>
              <w:widowControl/>
              <w:spacing w:before="63" w:after="275" w:line="240" w:lineRule="atLeast"/>
              <w:jc w:val="center"/>
              <w:rPr>
                <w:rFonts w:hint="eastAsia" w:ascii="宋体" w:hAnsi="宋体" w:cs="宋体"/>
                <w:color w:val="000000"/>
                <w:kern w:val="0"/>
                <w:sz w:val="24"/>
              </w:rPr>
            </w:pPr>
          </w:p>
        </w:tc>
        <w:tc>
          <w:tcPr>
            <w:tcW w:w="5844" w:type="dxa"/>
            <w:tcBorders>
              <w:top w:val="single" w:color="auto" w:sz="4" w:space="0"/>
              <w:left w:val="single" w:color="auto" w:sz="4" w:space="0"/>
              <w:bottom w:val="single" w:color="auto" w:sz="4" w:space="0"/>
              <w:right w:val="single" w:color="auto" w:sz="4" w:space="0"/>
            </w:tcBorders>
            <w:vAlign w:val="center"/>
          </w:tcPr>
          <w:p w14:paraId="57049D1C">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中国质量认证中心</w:t>
            </w:r>
          </w:p>
          <w:p w14:paraId="670C2318">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威凯认证检测有限公司</w:t>
            </w:r>
          </w:p>
          <w:p w14:paraId="57AB4D73">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电能（北京）认证中心有限公司</w:t>
            </w:r>
          </w:p>
          <w:p w14:paraId="61C706AC">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中国船级社质量认证公司</w:t>
            </w:r>
          </w:p>
        </w:tc>
      </w:tr>
      <w:tr w14:paraId="2B423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1" w:hRule="atLeast"/>
        </w:trPr>
        <w:tc>
          <w:tcPr>
            <w:tcW w:w="866" w:type="dxa"/>
            <w:tcBorders>
              <w:top w:val="single" w:color="auto" w:sz="4" w:space="0"/>
              <w:left w:val="single" w:color="auto" w:sz="4" w:space="0"/>
              <w:bottom w:val="single" w:color="auto" w:sz="4" w:space="0"/>
              <w:right w:val="single" w:color="auto" w:sz="4" w:space="0"/>
            </w:tcBorders>
            <w:vAlign w:val="center"/>
          </w:tcPr>
          <w:p w14:paraId="65A3D484">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8</w:t>
            </w:r>
          </w:p>
        </w:tc>
        <w:tc>
          <w:tcPr>
            <w:tcW w:w="1432" w:type="dxa"/>
            <w:tcBorders>
              <w:top w:val="single" w:color="auto" w:sz="4" w:space="0"/>
              <w:left w:val="single" w:color="auto" w:sz="4" w:space="0"/>
              <w:bottom w:val="single" w:color="auto" w:sz="4" w:space="0"/>
              <w:right w:val="single" w:color="auto" w:sz="4" w:space="0"/>
            </w:tcBorders>
            <w:vAlign w:val="center"/>
          </w:tcPr>
          <w:p w14:paraId="591CBF31">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A020602</w:t>
            </w:r>
          </w:p>
        </w:tc>
        <w:tc>
          <w:tcPr>
            <w:tcW w:w="1894" w:type="dxa"/>
            <w:tcBorders>
              <w:top w:val="single" w:color="auto" w:sz="4" w:space="0"/>
              <w:left w:val="single" w:color="auto" w:sz="4" w:space="0"/>
              <w:bottom w:val="single" w:color="auto" w:sz="4" w:space="0"/>
              <w:right w:val="single" w:color="auto" w:sz="4" w:space="0"/>
            </w:tcBorders>
            <w:vAlign w:val="center"/>
          </w:tcPr>
          <w:p w14:paraId="3EDFA294">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变压器</w:t>
            </w:r>
          </w:p>
        </w:tc>
        <w:tc>
          <w:tcPr>
            <w:tcW w:w="1685" w:type="dxa"/>
            <w:tcBorders>
              <w:top w:val="single" w:color="auto" w:sz="4" w:space="0"/>
              <w:left w:val="single" w:color="auto" w:sz="4" w:space="0"/>
              <w:bottom w:val="single" w:color="auto" w:sz="4" w:space="0"/>
              <w:right w:val="single" w:color="auto" w:sz="4" w:space="0"/>
            </w:tcBorders>
            <w:vAlign w:val="center"/>
          </w:tcPr>
          <w:p w14:paraId="246CD133">
            <w:pPr>
              <w:widowControl/>
              <w:spacing w:before="63" w:after="275" w:line="240" w:lineRule="atLeast"/>
              <w:jc w:val="center"/>
              <w:rPr>
                <w:rFonts w:hint="eastAsia" w:ascii="宋体" w:hAnsi="宋体" w:cs="宋体"/>
                <w:color w:val="000000"/>
                <w:kern w:val="0"/>
                <w:sz w:val="24"/>
              </w:rPr>
            </w:pPr>
          </w:p>
        </w:tc>
        <w:tc>
          <w:tcPr>
            <w:tcW w:w="2360" w:type="dxa"/>
            <w:tcBorders>
              <w:top w:val="single" w:color="auto" w:sz="4" w:space="0"/>
              <w:left w:val="single" w:color="auto" w:sz="4" w:space="0"/>
              <w:bottom w:val="single" w:color="auto" w:sz="4" w:space="0"/>
              <w:right w:val="single" w:color="auto" w:sz="4" w:space="0"/>
            </w:tcBorders>
            <w:vAlign w:val="center"/>
          </w:tcPr>
          <w:p w14:paraId="7DA2454D">
            <w:pPr>
              <w:widowControl/>
              <w:spacing w:before="63" w:after="275" w:line="240" w:lineRule="atLeast"/>
              <w:jc w:val="center"/>
              <w:rPr>
                <w:rFonts w:hint="eastAsia" w:ascii="宋体" w:hAnsi="宋体" w:cs="宋体"/>
                <w:color w:val="000000"/>
                <w:kern w:val="0"/>
                <w:sz w:val="24"/>
              </w:rPr>
            </w:pPr>
          </w:p>
        </w:tc>
        <w:tc>
          <w:tcPr>
            <w:tcW w:w="5844" w:type="dxa"/>
            <w:tcBorders>
              <w:top w:val="single" w:color="auto" w:sz="4" w:space="0"/>
              <w:left w:val="single" w:color="auto" w:sz="4" w:space="0"/>
              <w:bottom w:val="single" w:color="auto" w:sz="4" w:space="0"/>
              <w:right w:val="single" w:color="auto" w:sz="4" w:space="0"/>
            </w:tcBorders>
            <w:vAlign w:val="center"/>
          </w:tcPr>
          <w:p w14:paraId="55498884">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中国质量认证中心</w:t>
            </w:r>
          </w:p>
          <w:p w14:paraId="01071F60">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电能（北京）认证中心有限公司</w:t>
            </w:r>
          </w:p>
          <w:p w14:paraId="094B5D2D">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方圆标志认证集团有限公司</w:t>
            </w:r>
          </w:p>
        </w:tc>
      </w:tr>
      <w:tr w14:paraId="39139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4" w:hRule="atLeast"/>
        </w:trPr>
        <w:tc>
          <w:tcPr>
            <w:tcW w:w="866" w:type="dxa"/>
            <w:tcBorders>
              <w:top w:val="single" w:color="auto" w:sz="4" w:space="0"/>
              <w:left w:val="single" w:color="auto" w:sz="4" w:space="0"/>
              <w:bottom w:val="single" w:color="auto" w:sz="4" w:space="0"/>
              <w:right w:val="single" w:color="auto" w:sz="4" w:space="0"/>
            </w:tcBorders>
            <w:vAlign w:val="center"/>
          </w:tcPr>
          <w:p w14:paraId="27224A77">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9</w:t>
            </w:r>
          </w:p>
        </w:tc>
        <w:tc>
          <w:tcPr>
            <w:tcW w:w="1432" w:type="dxa"/>
            <w:tcBorders>
              <w:top w:val="single" w:color="auto" w:sz="4" w:space="0"/>
              <w:left w:val="single" w:color="auto" w:sz="4" w:space="0"/>
              <w:bottom w:val="single" w:color="auto" w:sz="4" w:space="0"/>
              <w:right w:val="single" w:color="auto" w:sz="4" w:space="0"/>
            </w:tcBorders>
            <w:vAlign w:val="center"/>
          </w:tcPr>
          <w:p w14:paraId="698F80D8">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A020609</w:t>
            </w:r>
          </w:p>
        </w:tc>
        <w:tc>
          <w:tcPr>
            <w:tcW w:w="1894" w:type="dxa"/>
            <w:tcBorders>
              <w:top w:val="single" w:color="auto" w:sz="4" w:space="0"/>
              <w:left w:val="single" w:color="auto" w:sz="4" w:space="0"/>
              <w:bottom w:val="single" w:color="auto" w:sz="4" w:space="0"/>
              <w:right w:val="single" w:color="auto" w:sz="4" w:space="0"/>
            </w:tcBorders>
            <w:vAlign w:val="center"/>
          </w:tcPr>
          <w:p w14:paraId="414EDD36">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镇流器</w:t>
            </w:r>
          </w:p>
        </w:tc>
        <w:tc>
          <w:tcPr>
            <w:tcW w:w="1685" w:type="dxa"/>
            <w:tcBorders>
              <w:top w:val="single" w:color="auto" w:sz="4" w:space="0"/>
              <w:left w:val="single" w:color="auto" w:sz="4" w:space="0"/>
              <w:bottom w:val="single" w:color="auto" w:sz="4" w:space="0"/>
              <w:right w:val="single" w:color="auto" w:sz="4" w:space="0"/>
            </w:tcBorders>
            <w:vAlign w:val="center"/>
          </w:tcPr>
          <w:p w14:paraId="098930A5">
            <w:pPr>
              <w:widowControl/>
              <w:spacing w:before="63" w:after="275" w:line="240" w:lineRule="atLeast"/>
              <w:jc w:val="center"/>
              <w:rPr>
                <w:rFonts w:hint="eastAsia" w:ascii="宋体" w:hAnsi="宋体" w:cs="宋体"/>
                <w:color w:val="000000"/>
                <w:kern w:val="0"/>
                <w:sz w:val="24"/>
              </w:rPr>
            </w:pPr>
          </w:p>
        </w:tc>
        <w:tc>
          <w:tcPr>
            <w:tcW w:w="2360" w:type="dxa"/>
            <w:tcBorders>
              <w:top w:val="single" w:color="auto" w:sz="4" w:space="0"/>
              <w:left w:val="single" w:color="auto" w:sz="4" w:space="0"/>
              <w:bottom w:val="single" w:color="auto" w:sz="4" w:space="0"/>
              <w:right w:val="single" w:color="auto" w:sz="4" w:space="0"/>
            </w:tcBorders>
            <w:vAlign w:val="center"/>
          </w:tcPr>
          <w:p w14:paraId="6F1BDD1D">
            <w:pPr>
              <w:widowControl/>
              <w:spacing w:before="63" w:after="275" w:line="240" w:lineRule="atLeast"/>
              <w:jc w:val="center"/>
              <w:rPr>
                <w:rFonts w:hint="eastAsia" w:ascii="宋体" w:hAnsi="宋体" w:cs="宋体"/>
                <w:color w:val="000000"/>
                <w:kern w:val="0"/>
                <w:sz w:val="24"/>
              </w:rPr>
            </w:pPr>
          </w:p>
        </w:tc>
        <w:tc>
          <w:tcPr>
            <w:tcW w:w="5844" w:type="dxa"/>
            <w:tcBorders>
              <w:top w:val="single" w:color="auto" w:sz="4" w:space="0"/>
              <w:left w:val="single" w:color="auto" w:sz="4" w:space="0"/>
              <w:bottom w:val="single" w:color="auto" w:sz="4" w:space="0"/>
              <w:right w:val="single" w:color="auto" w:sz="4" w:space="0"/>
            </w:tcBorders>
            <w:vAlign w:val="center"/>
          </w:tcPr>
          <w:p w14:paraId="1AFEA410">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中国质量认证中心</w:t>
            </w:r>
          </w:p>
          <w:p w14:paraId="35E8BD79">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深圳市计量质量检测研究院</w:t>
            </w:r>
          </w:p>
          <w:p w14:paraId="3CB9A59F">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中标合信（北京）认证有限公司</w:t>
            </w:r>
          </w:p>
        </w:tc>
      </w:tr>
      <w:tr w14:paraId="588A5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0" w:hRule="atLeast"/>
        </w:trPr>
        <w:tc>
          <w:tcPr>
            <w:tcW w:w="866" w:type="dxa"/>
            <w:vMerge w:val="restart"/>
            <w:tcBorders>
              <w:top w:val="single" w:color="auto" w:sz="4" w:space="0"/>
              <w:left w:val="single" w:color="auto" w:sz="4" w:space="0"/>
              <w:bottom w:val="single" w:color="auto" w:sz="4" w:space="0"/>
              <w:right w:val="single" w:color="auto" w:sz="4" w:space="0"/>
            </w:tcBorders>
            <w:vAlign w:val="center"/>
          </w:tcPr>
          <w:p w14:paraId="3F7C19D8">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10</w:t>
            </w:r>
          </w:p>
        </w:tc>
        <w:tc>
          <w:tcPr>
            <w:tcW w:w="1432" w:type="dxa"/>
            <w:vMerge w:val="restart"/>
            <w:tcBorders>
              <w:top w:val="single" w:color="auto" w:sz="4" w:space="0"/>
              <w:left w:val="single" w:color="auto" w:sz="4" w:space="0"/>
              <w:bottom w:val="single" w:color="auto" w:sz="4" w:space="0"/>
              <w:right w:val="single" w:color="auto" w:sz="4" w:space="0"/>
            </w:tcBorders>
            <w:vAlign w:val="center"/>
          </w:tcPr>
          <w:p w14:paraId="16F845D1">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A020618</w:t>
            </w:r>
          </w:p>
        </w:tc>
        <w:tc>
          <w:tcPr>
            <w:tcW w:w="1894" w:type="dxa"/>
            <w:vMerge w:val="restart"/>
            <w:tcBorders>
              <w:top w:val="single" w:color="auto" w:sz="4" w:space="0"/>
              <w:left w:val="single" w:color="auto" w:sz="4" w:space="0"/>
              <w:bottom w:val="single" w:color="auto" w:sz="4" w:space="0"/>
              <w:right w:val="single" w:color="auto" w:sz="4" w:space="0"/>
            </w:tcBorders>
            <w:vAlign w:val="center"/>
          </w:tcPr>
          <w:p w14:paraId="4D9B2E4E">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生活用电器</w:t>
            </w:r>
          </w:p>
        </w:tc>
        <w:tc>
          <w:tcPr>
            <w:tcW w:w="1685" w:type="dxa"/>
            <w:tcBorders>
              <w:top w:val="single" w:color="auto" w:sz="4" w:space="0"/>
              <w:left w:val="single" w:color="auto" w:sz="4" w:space="0"/>
              <w:bottom w:val="single" w:color="auto" w:sz="4" w:space="0"/>
              <w:right w:val="single" w:color="auto" w:sz="4" w:space="0"/>
            </w:tcBorders>
            <w:vAlign w:val="center"/>
          </w:tcPr>
          <w:p w14:paraId="554C35D5">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A0206180101</w:t>
            </w:r>
          </w:p>
        </w:tc>
        <w:tc>
          <w:tcPr>
            <w:tcW w:w="2360" w:type="dxa"/>
            <w:tcBorders>
              <w:top w:val="single" w:color="auto" w:sz="4" w:space="0"/>
              <w:left w:val="single" w:color="auto" w:sz="4" w:space="0"/>
              <w:bottom w:val="single" w:color="auto" w:sz="4" w:space="0"/>
              <w:right w:val="single" w:color="auto" w:sz="4" w:space="0"/>
            </w:tcBorders>
            <w:vAlign w:val="center"/>
          </w:tcPr>
          <w:p w14:paraId="67BA21DD">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电冰箱</w:t>
            </w:r>
          </w:p>
        </w:tc>
        <w:tc>
          <w:tcPr>
            <w:tcW w:w="5844" w:type="dxa"/>
            <w:tcBorders>
              <w:top w:val="single" w:color="auto" w:sz="4" w:space="0"/>
              <w:left w:val="single" w:color="auto" w:sz="4" w:space="0"/>
              <w:bottom w:val="single" w:color="auto" w:sz="4" w:space="0"/>
              <w:right w:val="single" w:color="auto" w:sz="4" w:space="0"/>
            </w:tcBorders>
            <w:vAlign w:val="center"/>
          </w:tcPr>
          <w:p w14:paraId="6AB2144B">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中国质量认证中心</w:t>
            </w:r>
          </w:p>
          <w:p w14:paraId="4CC1687F">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威凯认证检测有限公司</w:t>
            </w:r>
          </w:p>
          <w:p w14:paraId="32D2B584">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中家院（北京）检测认证有限公司</w:t>
            </w:r>
          </w:p>
        </w:tc>
      </w:tr>
      <w:tr w14:paraId="7908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E9B4753">
            <w:pPr>
              <w:widowControl/>
              <w:jc w:val="center"/>
              <w:rPr>
                <w:rFonts w:hint="eastAsia" w:ascii="宋体" w:hAnsi="宋体" w:cs="宋体"/>
                <w:color w:val="000000"/>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60C1CB6">
            <w:pPr>
              <w:widowControl/>
              <w:jc w:val="center"/>
              <w:rPr>
                <w:rFonts w:hint="eastAsia" w:ascii="宋体" w:hAnsi="宋体" w:cs="宋体"/>
                <w:color w:val="000000"/>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9B638A1">
            <w:pPr>
              <w:widowControl/>
              <w:jc w:val="center"/>
              <w:rPr>
                <w:rFonts w:hint="eastAsia" w:ascii="宋体" w:hAnsi="宋体" w:cs="宋体"/>
                <w:color w:val="000000"/>
                <w:kern w:val="0"/>
                <w:sz w:val="24"/>
              </w:rPr>
            </w:pPr>
          </w:p>
        </w:tc>
        <w:tc>
          <w:tcPr>
            <w:tcW w:w="1685" w:type="dxa"/>
            <w:tcBorders>
              <w:top w:val="single" w:color="auto" w:sz="4" w:space="0"/>
              <w:left w:val="single" w:color="auto" w:sz="4" w:space="0"/>
              <w:bottom w:val="single" w:color="auto" w:sz="4" w:space="0"/>
              <w:right w:val="single" w:color="auto" w:sz="4" w:space="0"/>
            </w:tcBorders>
            <w:vAlign w:val="center"/>
          </w:tcPr>
          <w:p w14:paraId="2EA7290B">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A0206180203</w:t>
            </w:r>
          </w:p>
        </w:tc>
        <w:tc>
          <w:tcPr>
            <w:tcW w:w="2360" w:type="dxa"/>
            <w:tcBorders>
              <w:top w:val="single" w:color="auto" w:sz="4" w:space="0"/>
              <w:left w:val="single" w:color="auto" w:sz="4" w:space="0"/>
              <w:bottom w:val="single" w:color="auto" w:sz="4" w:space="0"/>
              <w:right w:val="single" w:color="auto" w:sz="4" w:space="0"/>
            </w:tcBorders>
            <w:vAlign w:val="center"/>
          </w:tcPr>
          <w:p w14:paraId="5DDE5972">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空调机</w:t>
            </w:r>
          </w:p>
        </w:tc>
        <w:tc>
          <w:tcPr>
            <w:tcW w:w="5844" w:type="dxa"/>
            <w:tcBorders>
              <w:top w:val="single" w:color="auto" w:sz="4" w:space="0"/>
              <w:left w:val="single" w:color="auto" w:sz="4" w:space="0"/>
              <w:bottom w:val="single" w:color="auto" w:sz="4" w:space="0"/>
              <w:right w:val="single" w:color="auto" w:sz="4" w:space="0"/>
            </w:tcBorders>
            <w:vAlign w:val="center"/>
          </w:tcPr>
          <w:p w14:paraId="361A4B13">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中国质量认证中心</w:t>
            </w:r>
          </w:p>
          <w:p w14:paraId="29BED785">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威凯认证检测有限公司</w:t>
            </w:r>
          </w:p>
          <w:p w14:paraId="195EC4F6">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中家院（北京）检测认证有限公司</w:t>
            </w:r>
          </w:p>
          <w:p w14:paraId="63B6DB52">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合肥通用机械产品认证有限公司</w:t>
            </w:r>
          </w:p>
        </w:tc>
      </w:tr>
      <w:tr w14:paraId="42EF0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F54A9AA">
            <w:pPr>
              <w:widowControl/>
              <w:jc w:val="center"/>
              <w:rPr>
                <w:rFonts w:hint="eastAsia" w:ascii="宋体" w:hAnsi="宋体" w:cs="宋体"/>
                <w:color w:val="000000"/>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DFDD0B9">
            <w:pPr>
              <w:widowControl/>
              <w:jc w:val="center"/>
              <w:rPr>
                <w:rFonts w:hint="eastAsia" w:ascii="宋体" w:hAnsi="宋体" w:cs="宋体"/>
                <w:color w:val="000000"/>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D3D2D9D">
            <w:pPr>
              <w:widowControl/>
              <w:jc w:val="center"/>
              <w:rPr>
                <w:rFonts w:hint="eastAsia" w:ascii="宋体" w:hAnsi="宋体" w:cs="宋体"/>
                <w:color w:val="000000"/>
                <w:kern w:val="0"/>
                <w:sz w:val="24"/>
              </w:rPr>
            </w:pPr>
          </w:p>
        </w:tc>
        <w:tc>
          <w:tcPr>
            <w:tcW w:w="1685" w:type="dxa"/>
            <w:tcBorders>
              <w:top w:val="single" w:color="auto" w:sz="4" w:space="0"/>
              <w:left w:val="single" w:color="auto" w:sz="4" w:space="0"/>
              <w:bottom w:val="single" w:color="auto" w:sz="4" w:space="0"/>
              <w:right w:val="single" w:color="auto" w:sz="4" w:space="0"/>
            </w:tcBorders>
            <w:vAlign w:val="center"/>
          </w:tcPr>
          <w:p w14:paraId="4F0BA2CC">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A0206180301</w:t>
            </w:r>
          </w:p>
        </w:tc>
        <w:tc>
          <w:tcPr>
            <w:tcW w:w="2360" w:type="dxa"/>
            <w:tcBorders>
              <w:top w:val="single" w:color="auto" w:sz="4" w:space="0"/>
              <w:left w:val="single" w:color="auto" w:sz="4" w:space="0"/>
              <w:bottom w:val="single" w:color="auto" w:sz="4" w:space="0"/>
              <w:right w:val="single" w:color="auto" w:sz="4" w:space="0"/>
            </w:tcBorders>
            <w:vAlign w:val="center"/>
          </w:tcPr>
          <w:p w14:paraId="0C713FE2">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洗衣机</w:t>
            </w:r>
          </w:p>
        </w:tc>
        <w:tc>
          <w:tcPr>
            <w:tcW w:w="5844" w:type="dxa"/>
            <w:tcBorders>
              <w:top w:val="single" w:color="auto" w:sz="4" w:space="0"/>
              <w:left w:val="single" w:color="auto" w:sz="4" w:space="0"/>
              <w:bottom w:val="single" w:color="auto" w:sz="4" w:space="0"/>
              <w:right w:val="single" w:color="auto" w:sz="4" w:space="0"/>
            </w:tcBorders>
            <w:vAlign w:val="center"/>
          </w:tcPr>
          <w:p w14:paraId="6FAC776C">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中国质量认证中心</w:t>
            </w:r>
          </w:p>
          <w:p w14:paraId="466E5E86">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威凯认证检测有限公司</w:t>
            </w:r>
          </w:p>
          <w:p w14:paraId="132D10ED">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中家院（北京）检测认证有限公司</w:t>
            </w:r>
          </w:p>
        </w:tc>
      </w:tr>
      <w:tr w14:paraId="68A61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766FF8C">
            <w:pPr>
              <w:widowControl/>
              <w:jc w:val="center"/>
              <w:rPr>
                <w:rFonts w:hint="eastAsia" w:ascii="宋体" w:hAnsi="宋体" w:cs="宋体"/>
                <w:color w:val="000000"/>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5668076">
            <w:pPr>
              <w:widowControl/>
              <w:jc w:val="center"/>
              <w:rPr>
                <w:rFonts w:hint="eastAsia" w:ascii="宋体" w:hAnsi="宋体" w:cs="宋体"/>
                <w:color w:val="000000"/>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85B3091">
            <w:pPr>
              <w:widowControl/>
              <w:jc w:val="center"/>
              <w:rPr>
                <w:rFonts w:hint="eastAsia" w:ascii="宋体" w:hAnsi="宋体" w:cs="宋体"/>
                <w:color w:val="000000"/>
                <w:kern w:val="0"/>
                <w:sz w:val="24"/>
              </w:rPr>
            </w:pPr>
          </w:p>
        </w:tc>
        <w:tc>
          <w:tcPr>
            <w:tcW w:w="1685" w:type="dxa"/>
            <w:tcBorders>
              <w:top w:val="single" w:color="auto" w:sz="4" w:space="0"/>
              <w:left w:val="single" w:color="auto" w:sz="4" w:space="0"/>
              <w:bottom w:val="single" w:color="auto" w:sz="4" w:space="0"/>
              <w:right w:val="single" w:color="auto" w:sz="4" w:space="0"/>
            </w:tcBorders>
            <w:vAlign w:val="center"/>
          </w:tcPr>
          <w:p w14:paraId="5D6314B3">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A02061808</w:t>
            </w:r>
          </w:p>
        </w:tc>
        <w:tc>
          <w:tcPr>
            <w:tcW w:w="2360" w:type="dxa"/>
            <w:tcBorders>
              <w:top w:val="single" w:color="auto" w:sz="4" w:space="0"/>
              <w:left w:val="single" w:color="auto" w:sz="4" w:space="0"/>
              <w:bottom w:val="single" w:color="auto" w:sz="4" w:space="0"/>
              <w:right w:val="single" w:color="auto" w:sz="4" w:space="0"/>
            </w:tcBorders>
            <w:vAlign w:val="center"/>
          </w:tcPr>
          <w:p w14:paraId="3D1DF1C4">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热水器</w:t>
            </w:r>
          </w:p>
        </w:tc>
        <w:tc>
          <w:tcPr>
            <w:tcW w:w="5844" w:type="dxa"/>
            <w:tcBorders>
              <w:top w:val="single" w:color="auto" w:sz="4" w:space="0"/>
              <w:left w:val="single" w:color="auto" w:sz="4" w:space="0"/>
              <w:bottom w:val="single" w:color="auto" w:sz="4" w:space="0"/>
              <w:right w:val="single" w:color="auto" w:sz="4" w:space="0"/>
            </w:tcBorders>
            <w:vAlign w:val="center"/>
          </w:tcPr>
          <w:p w14:paraId="40D0C4C5">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中国质量认证中心</w:t>
            </w:r>
          </w:p>
          <w:p w14:paraId="241987DE">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威凯认证检测有限公司</w:t>
            </w:r>
          </w:p>
          <w:p w14:paraId="027E2260">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中家院（北京）检测认证有限公司</w:t>
            </w:r>
          </w:p>
          <w:p w14:paraId="3BF95E5E">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合肥通用机械产品认证有限公司(范围仅限于“热泵热水器”)</w:t>
            </w:r>
          </w:p>
        </w:tc>
      </w:tr>
      <w:tr w14:paraId="3E4BF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7" w:hRule="atLeast"/>
        </w:trPr>
        <w:tc>
          <w:tcPr>
            <w:tcW w:w="866" w:type="dxa"/>
            <w:tcBorders>
              <w:top w:val="single" w:color="auto" w:sz="4" w:space="0"/>
              <w:left w:val="single" w:color="auto" w:sz="4" w:space="0"/>
              <w:bottom w:val="single" w:color="auto" w:sz="4" w:space="0"/>
              <w:right w:val="single" w:color="auto" w:sz="4" w:space="0"/>
            </w:tcBorders>
            <w:vAlign w:val="center"/>
          </w:tcPr>
          <w:p w14:paraId="47C306C8">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11</w:t>
            </w:r>
          </w:p>
        </w:tc>
        <w:tc>
          <w:tcPr>
            <w:tcW w:w="1432" w:type="dxa"/>
            <w:tcBorders>
              <w:top w:val="single" w:color="auto" w:sz="4" w:space="0"/>
              <w:left w:val="single" w:color="auto" w:sz="4" w:space="0"/>
              <w:bottom w:val="single" w:color="auto" w:sz="4" w:space="0"/>
              <w:right w:val="single" w:color="auto" w:sz="4" w:space="0"/>
            </w:tcBorders>
            <w:vAlign w:val="center"/>
          </w:tcPr>
          <w:p w14:paraId="1FE804FE">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A020619</w:t>
            </w:r>
          </w:p>
        </w:tc>
        <w:tc>
          <w:tcPr>
            <w:tcW w:w="1894" w:type="dxa"/>
            <w:tcBorders>
              <w:top w:val="single" w:color="auto" w:sz="4" w:space="0"/>
              <w:left w:val="single" w:color="auto" w:sz="4" w:space="0"/>
              <w:bottom w:val="single" w:color="auto" w:sz="4" w:space="0"/>
              <w:right w:val="single" w:color="auto" w:sz="4" w:space="0"/>
            </w:tcBorders>
            <w:vAlign w:val="center"/>
          </w:tcPr>
          <w:p w14:paraId="2314520D">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照明设备</w:t>
            </w:r>
          </w:p>
        </w:tc>
        <w:tc>
          <w:tcPr>
            <w:tcW w:w="1685" w:type="dxa"/>
            <w:tcBorders>
              <w:top w:val="single" w:color="auto" w:sz="4" w:space="0"/>
              <w:left w:val="single" w:color="auto" w:sz="4" w:space="0"/>
              <w:bottom w:val="single" w:color="auto" w:sz="4" w:space="0"/>
              <w:right w:val="single" w:color="auto" w:sz="4" w:space="0"/>
            </w:tcBorders>
            <w:vAlign w:val="center"/>
          </w:tcPr>
          <w:p w14:paraId="5D9C8507">
            <w:pPr>
              <w:widowControl/>
              <w:spacing w:before="63" w:after="275" w:line="240" w:lineRule="atLeast"/>
              <w:jc w:val="center"/>
              <w:rPr>
                <w:rFonts w:hint="eastAsia" w:ascii="宋体" w:hAnsi="宋体" w:cs="宋体"/>
                <w:color w:val="000000"/>
                <w:kern w:val="0"/>
                <w:sz w:val="24"/>
              </w:rPr>
            </w:pPr>
          </w:p>
        </w:tc>
        <w:tc>
          <w:tcPr>
            <w:tcW w:w="2360" w:type="dxa"/>
            <w:tcBorders>
              <w:top w:val="single" w:color="auto" w:sz="4" w:space="0"/>
              <w:left w:val="single" w:color="auto" w:sz="4" w:space="0"/>
              <w:bottom w:val="single" w:color="auto" w:sz="4" w:space="0"/>
              <w:right w:val="single" w:color="auto" w:sz="4" w:space="0"/>
            </w:tcBorders>
            <w:vAlign w:val="center"/>
          </w:tcPr>
          <w:p w14:paraId="58A8423F">
            <w:pPr>
              <w:widowControl/>
              <w:spacing w:before="63" w:after="275" w:line="240" w:lineRule="atLeast"/>
              <w:jc w:val="center"/>
              <w:rPr>
                <w:rFonts w:hint="eastAsia" w:ascii="宋体" w:hAnsi="宋体" w:cs="宋体"/>
                <w:color w:val="000000"/>
                <w:kern w:val="0"/>
                <w:sz w:val="24"/>
              </w:rPr>
            </w:pPr>
          </w:p>
        </w:tc>
        <w:tc>
          <w:tcPr>
            <w:tcW w:w="5844" w:type="dxa"/>
            <w:tcBorders>
              <w:top w:val="single" w:color="auto" w:sz="4" w:space="0"/>
              <w:left w:val="single" w:color="auto" w:sz="4" w:space="0"/>
              <w:bottom w:val="single" w:color="auto" w:sz="4" w:space="0"/>
              <w:right w:val="single" w:color="auto" w:sz="4" w:space="0"/>
            </w:tcBorders>
            <w:vAlign w:val="center"/>
          </w:tcPr>
          <w:p w14:paraId="4A024985">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中国质量认证中心</w:t>
            </w:r>
          </w:p>
          <w:p w14:paraId="54CB5CF7">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深圳市计量质量检测研究院</w:t>
            </w:r>
          </w:p>
          <w:p w14:paraId="18BA4DEB">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中标合信（北京）认证有限公司</w:t>
            </w:r>
          </w:p>
        </w:tc>
      </w:tr>
      <w:tr w14:paraId="1C764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9" w:hRule="atLeast"/>
        </w:trPr>
        <w:tc>
          <w:tcPr>
            <w:tcW w:w="866" w:type="dxa"/>
            <w:tcBorders>
              <w:top w:val="single" w:color="auto" w:sz="4" w:space="0"/>
              <w:left w:val="single" w:color="auto" w:sz="4" w:space="0"/>
              <w:bottom w:val="single" w:color="auto" w:sz="4" w:space="0"/>
              <w:right w:val="single" w:color="auto" w:sz="4" w:space="0"/>
            </w:tcBorders>
            <w:vAlign w:val="center"/>
          </w:tcPr>
          <w:p w14:paraId="024B182B">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12</w:t>
            </w:r>
          </w:p>
        </w:tc>
        <w:tc>
          <w:tcPr>
            <w:tcW w:w="1432" w:type="dxa"/>
            <w:tcBorders>
              <w:top w:val="single" w:color="auto" w:sz="4" w:space="0"/>
              <w:left w:val="single" w:color="auto" w:sz="4" w:space="0"/>
              <w:bottom w:val="single" w:color="auto" w:sz="4" w:space="0"/>
              <w:right w:val="single" w:color="auto" w:sz="4" w:space="0"/>
            </w:tcBorders>
            <w:vAlign w:val="center"/>
          </w:tcPr>
          <w:p w14:paraId="15EAE737">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A020910</w:t>
            </w:r>
          </w:p>
        </w:tc>
        <w:tc>
          <w:tcPr>
            <w:tcW w:w="1894" w:type="dxa"/>
            <w:tcBorders>
              <w:top w:val="single" w:color="auto" w:sz="4" w:space="0"/>
              <w:left w:val="single" w:color="auto" w:sz="4" w:space="0"/>
              <w:bottom w:val="single" w:color="auto" w:sz="4" w:space="0"/>
              <w:right w:val="single" w:color="auto" w:sz="4" w:space="0"/>
            </w:tcBorders>
            <w:vAlign w:val="center"/>
          </w:tcPr>
          <w:p w14:paraId="6FB4E84B">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电视设备</w:t>
            </w:r>
          </w:p>
        </w:tc>
        <w:tc>
          <w:tcPr>
            <w:tcW w:w="1685" w:type="dxa"/>
            <w:tcBorders>
              <w:top w:val="single" w:color="auto" w:sz="4" w:space="0"/>
              <w:left w:val="single" w:color="auto" w:sz="4" w:space="0"/>
              <w:bottom w:val="single" w:color="auto" w:sz="4" w:space="0"/>
              <w:right w:val="single" w:color="auto" w:sz="4" w:space="0"/>
            </w:tcBorders>
            <w:vAlign w:val="center"/>
          </w:tcPr>
          <w:p w14:paraId="0A4088C0">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A02091001</w:t>
            </w:r>
          </w:p>
        </w:tc>
        <w:tc>
          <w:tcPr>
            <w:tcW w:w="2360" w:type="dxa"/>
            <w:tcBorders>
              <w:top w:val="single" w:color="auto" w:sz="4" w:space="0"/>
              <w:left w:val="single" w:color="auto" w:sz="4" w:space="0"/>
              <w:bottom w:val="single" w:color="auto" w:sz="4" w:space="0"/>
              <w:right w:val="single" w:color="auto" w:sz="4" w:space="0"/>
            </w:tcBorders>
            <w:vAlign w:val="center"/>
          </w:tcPr>
          <w:p w14:paraId="68CAD8D5">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普通电视设备（电视机）</w:t>
            </w:r>
          </w:p>
        </w:tc>
        <w:tc>
          <w:tcPr>
            <w:tcW w:w="5844" w:type="dxa"/>
            <w:vMerge w:val="restart"/>
            <w:tcBorders>
              <w:top w:val="single" w:color="auto" w:sz="4" w:space="0"/>
              <w:left w:val="single" w:color="auto" w:sz="4" w:space="0"/>
              <w:bottom w:val="single" w:color="auto" w:sz="4" w:space="0"/>
              <w:right w:val="single" w:color="auto" w:sz="4" w:space="0"/>
            </w:tcBorders>
            <w:vAlign w:val="center"/>
          </w:tcPr>
          <w:p w14:paraId="48ED4E3A">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中国质量认证中心</w:t>
            </w:r>
          </w:p>
          <w:p w14:paraId="52DEE1A8">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北京泰瑞特认证有限责任公司</w:t>
            </w:r>
          </w:p>
          <w:p w14:paraId="4B83DB06">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广州赛宝认证中心服务有限公司</w:t>
            </w:r>
          </w:p>
        </w:tc>
      </w:tr>
      <w:tr w14:paraId="55179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trPr>
        <w:tc>
          <w:tcPr>
            <w:tcW w:w="866" w:type="dxa"/>
            <w:tcBorders>
              <w:top w:val="single" w:color="auto" w:sz="4" w:space="0"/>
              <w:left w:val="single" w:color="auto" w:sz="4" w:space="0"/>
              <w:bottom w:val="single" w:color="auto" w:sz="4" w:space="0"/>
              <w:right w:val="single" w:color="auto" w:sz="4" w:space="0"/>
            </w:tcBorders>
            <w:vAlign w:val="center"/>
          </w:tcPr>
          <w:p w14:paraId="0143CA2F">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13</w:t>
            </w:r>
          </w:p>
        </w:tc>
        <w:tc>
          <w:tcPr>
            <w:tcW w:w="1432" w:type="dxa"/>
            <w:tcBorders>
              <w:top w:val="single" w:color="auto" w:sz="4" w:space="0"/>
              <w:left w:val="single" w:color="auto" w:sz="4" w:space="0"/>
              <w:bottom w:val="single" w:color="auto" w:sz="4" w:space="0"/>
              <w:right w:val="single" w:color="auto" w:sz="4" w:space="0"/>
            </w:tcBorders>
            <w:vAlign w:val="center"/>
          </w:tcPr>
          <w:p w14:paraId="20B0159D">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A020911</w:t>
            </w:r>
          </w:p>
        </w:tc>
        <w:tc>
          <w:tcPr>
            <w:tcW w:w="1894" w:type="dxa"/>
            <w:tcBorders>
              <w:top w:val="single" w:color="auto" w:sz="4" w:space="0"/>
              <w:left w:val="single" w:color="auto" w:sz="4" w:space="0"/>
              <w:bottom w:val="single" w:color="auto" w:sz="4" w:space="0"/>
              <w:right w:val="single" w:color="auto" w:sz="4" w:space="0"/>
            </w:tcBorders>
            <w:vAlign w:val="center"/>
          </w:tcPr>
          <w:p w14:paraId="1E39E5C8">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视频设备</w:t>
            </w:r>
          </w:p>
        </w:tc>
        <w:tc>
          <w:tcPr>
            <w:tcW w:w="1685" w:type="dxa"/>
            <w:tcBorders>
              <w:top w:val="single" w:color="auto" w:sz="4" w:space="0"/>
              <w:left w:val="single" w:color="auto" w:sz="4" w:space="0"/>
              <w:bottom w:val="single" w:color="auto" w:sz="4" w:space="0"/>
              <w:right w:val="single" w:color="auto" w:sz="4" w:space="0"/>
            </w:tcBorders>
            <w:vAlign w:val="center"/>
          </w:tcPr>
          <w:p w14:paraId="2E30DC0C">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A02091107</w:t>
            </w:r>
          </w:p>
        </w:tc>
        <w:tc>
          <w:tcPr>
            <w:tcW w:w="2360" w:type="dxa"/>
            <w:tcBorders>
              <w:top w:val="single" w:color="auto" w:sz="4" w:space="0"/>
              <w:left w:val="single" w:color="auto" w:sz="4" w:space="0"/>
              <w:bottom w:val="single" w:color="auto" w:sz="4" w:space="0"/>
              <w:right w:val="single" w:color="auto" w:sz="4" w:space="0"/>
            </w:tcBorders>
            <w:vAlign w:val="center"/>
          </w:tcPr>
          <w:p w14:paraId="237684E7">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视频监控设备</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4D54728">
            <w:pPr>
              <w:widowControl/>
              <w:jc w:val="center"/>
              <w:rPr>
                <w:rFonts w:hint="eastAsia" w:ascii="宋体" w:hAnsi="宋体" w:cs="宋体"/>
                <w:color w:val="000000"/>
                <w:kern w:val="0"/>
                <w:sz w:val="24"/>
              </w:rPr>
            </w:pPr>
          </w:p>
        </w:tc>
      </w:tr>
      <w:tr w14:paraId="41FE7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5" w:hRule="atLeast"/>
        </w:trPr>
        <w:tc>
          <w:tcPr>
            <w:tcW w:w="866" w:type="dxa"/>
            <w:tcBorders>
              <w:top w:val="single" w:color="auto" w:sz="4" w:space="0"/>
              <w:left w:val="single" w:color="auto" w:sz="4" w:space="0"/>
              <w:bottom w:val="single" w:color="auto" w:sz="4" w:space="0"/>
              <w:right w:val="single" w:color="auto" w:sz="4" w:space="0"/>
            </w:tcBorders>
            <w:vAlign w:val="center"/>
          </w:tcPr>
          <w:p w14:paraId="0455529C">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14</w:t>
            </w:r>
          </w:p>
        </w:tc>
        <w:tc>
          <w:tcPr>
            <w:tcW w:w="1432" w:type="dxa"/>
            <w:tcBorders>
              <w:top w:val="single" w:color="auto" w:sz="4" w:space="0"/>
              <w:left w:val="single" w:color="auto" w:sz="4" w:space="0"/>
              <w:bottom w:val="single" w:color="auto" w:sz="4" w:space="0"/>
              <w:right w:val="single" w:color="auto" w:sz="4" w:space="0"/>
            </w:tcBorders>
            <w:vAlign w:val="center"/>
          </w:tcPr>
          <w:p w14:paraId="584EDB60">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A031210</w:t>
            </w:r>
          </w:p>
        </w:tc>
        <w:tc>
          <w:tcPr>
            <w:tcW w:w="1894" w:type="dxa"/>
            <w:tcBorders>
              <w:top w:val="single" w:color="auto" w:sz="4" w:space="0"/>
              <w:left w:val="single" w:color="auto" w:sz="4" w:space="0"/>
              <w:bottom w:val="single" w:color="auto" w:sz="4" w:space="0"/>
              <w:right w:val="single" w:color="auto" w:sz="4" w:space="0"/>
            </w:tcBorders>
            <w:vAlign w:val="center"/>
          </w:tcPr>
          <w:p w14:paraId="6442CE42">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饮食炊事机械</w:t>
            </w:r>
          </w:p>
        </w:tc>
        <w:tc>
          <w:tcPr>
            <w:tcW w:w="1685" w:type="dxa"/>
            <w:tcBorders>
              <w:top w:val="single" w:color="auto" w:sz="4" w:space="0"/>
              <w:left w:val="single" w:color="auto" w:sz="4" w:space="0"/>
              <w:bottom w:val="single" w:color="auto" w:sz="4" w:space="0"/>
              <w:right w:val="single" w:color="auto" w:sz="4" w:space="0"/>
            </w:tcBorders>
            <w:vAlign w:val="center"/>
          </w:tcPr>
          <w:p w14:paraId="71EFB8C1">
            <w:pPr>
              <w:widowControl/>
              <w:spacing w:before="63" w:after="275" w:line="240" w:lineRule="atLeast"/>
              <w:jc w:val="center"/>
              <w:rPr>
                <w:rFonts w:hint="eastAsia" w:ascii="宋体" w:hAnsi="宋体" w:cs="宋体"/>
                <w:color w:val="000000"/>
                <w:kern w:val="0"/>
                <w:sz w:val="24"/>
              </w:rPr>
            </w:pPr>
          </w:p>
        </w:tc>
        <w:tc>
          <w:tcPr>
            <w:tcW w:w="2360" w:type="dxa"/>
            <w:tcBorders>
              <w:top w:val="single" w:color="auto" w:sz="4" w:space="0"/>
              <w:left w:val="single" w:color="auto" w:sz="4" w:space="0"/>
              <w:bottom w:val="single" w:color="auto" w:sz="4" w:space="0"/>
              <w:right w:val="single" w:color="auto" w:sz="4" w:space="0"/>
            </w:tcBorders>
            <w:vAlign w:val="center"/>
          </w:tcPr>
          <w:p w14:paraId="148FAAD8">
            <w:pPr>
              <w:widowControl/>
              <w:spacing w:before="63" w:after="275" w:line="240" w:lineRule="atLeast"/>
              <w:jc w:val="center"/>
              <w:rPr>
                <w:rFonts w:hint="eastAsia" w:ascii="宋体" w:hAnsi="宋体" w:cs="宋体"/>
                <w:color w:val="000000"/>
                <w:kern w:val="0"/>
                <w:sz w:val="24"/>
              </w:rPr>
            </w:pPr>
          </w:p>
        </w:tc>
        <w:tc>
          <w:tcPr>
            <w:tcW w:w="5844" w:type="dxa"/>
            <w:tcBorders>
              <w:top w:val="single" w:color="auto" w:sz="4" w:space="0"/>
              <w:left w:val="single" w:color="auto" w:sz="4" w:space="0"/>
              <w:bottom w:val="single" w:color="auto" w:sz="4" w:space="0"/>
              <w:right w:val="single" w:color="auto" w:sz="4" w:space="0"/>
            </w:tcBorders>
            <w:vAlign w:val="center"/>
          </w:tcPr>
          <w:p w14:paraId="6699D524">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中国质量认证中心</w:t>
            </w:r>
          </w:p>
          <w:p w14:paraId="3692BA85">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北京鉴衡认证中心</w:t>
            </w:r>
          </w:p>
          <w:p w14:paraId="360A3E22">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中国市政工程华北设计研究总院有限公司</w:t>
            </w:r>
          </w:p>
        </w:tc>
      </w:tr>
      <w:tr w14:paraId="35323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6" w:type="dxa"/>
            <w:tcBorders>
              <w:top w:val="single" w:color="auto" w:sz="4" w:space="0"/>
              <w:left w:val="single" w:color="auto" w:sz="4" w:space="0"/>
              <w:bottom w:val="single" w:color="auto" w:sz="4" w:space="0"/>
              <w:right w:val="single" w:color="auto" w:sz="4" w:space="0"/>
            </w:tcBorders>
            <w:vAlign w:val="center"/>
          </w:tcPr>
          <w:p w14:paraId="597E2B2C">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15</w:t>
            </w:r>
          </w:p>
        </w:tc>
        <w:tc>
          <w:tcPr>
            <w:tcW w:w="1432" w:type="dxa"/>
            <w:tcBorders>
              <w:top w:val="single" w:color="auto" w:sz="4" w:space="0"/>
              <w:left w:val="single" w:color="auto" w:sz="4" w:space="0"/>
              <w:bottom w:val="single" w:color="auto" w:sz="4" w:space="0"/>
              <w:right w:val="single" w:color="auto" w:sz="4" w:space="0"/>
            </w:tcBorders>
            <w:vAlign w:val="center"/>
          </w:tcPr>
          <w:p w14:paraId="584B128C">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A060805</w:t>
            </w:r>
          </w:p>
        </w:tc>
        <w:tc>
          <w:tcPr>
            <w:tcW w:w="1894" w:type="dxa"/>
            <w:tcBorders>
              <w:top w:val="single" w:color="auto" w:sz="4" w:space="0"/>
              <w:left w:val="single" w:color="auto" w:sz="4" w:space="0"/>
              <w:bottom w:val="single" w:color="auto" w:sz="4" w:space="0"/>
              <w:right w:val="single" w:color="auto" w:sz="4" w:space="0"/>
            </w:tcBorders>
            <w:vAlign w:val="center"/>
          </w:tcPr>
          <w:p w14:paraId="53135D59">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便器</w:t>
            </w:r>
          </w:p>
        </w:tc>
        <w:tc>
          <w:tcPr>
            <w:tcW w:w="1685" w:type="dxa"/>
            <w:tcBorders>
              <w:top w:val="single" w:color="auto" w:sz="4" w:space="0"/>
              <w:left w:val="single" w:color="auto" w:sz="4" w:space="0"/>
              <w:bottom w:val="single" w:color="auto" w:sz="4" w:space="0"/>
              <w:right w:val="single" w:color="auto" w:sz="4" w:space="0"/>
            </w:tcBorders>
            <w:vAlign w:val="center"/>
          </w:tcPr>
          <w:p w14:paraId="28F10D07">
            <w:pPr>
              <w:widowControl/>
              <w:spacing w:before="63" w:after="275" w:line="240" w:lineRule="atLeast"/>
              <w:jc w:val="center"/>
              <w:rPr>
                <w:rFonts w:hint="eastAsia" w:ascii="宋体" w:hAnsi="宋体" w:cs="宋体"/>
                <w:color w:val="000000"/>
                <w:kern w:val="0"/>
                <w:sz w:val="24"/>
              </w:rPr>
            </w:pPr>
          </w:p>
        </w:tc>
        <w:tc>
          <w:tcPr>
            <w:tcW w:w="2360" w:type="dxa"/>
            <w:tcBorders>
              <w:top w:val="single" w:color="auto" w:sz="4" w:space="0"/>
              <w:left w:val="single" w:color="auto" w:sz="4" w:space="0"/>
              <w:bottom w:val="single" w:color="auto" w:sz="4" w:space="0"/>
              <w:right w:val="single" w:color="auto" w:sz="4" w:space="0"/>
            </w:tcBorders>
            <w:vAlign w:val="center"/>
          </w:tcPr>
          <w:p w14:paraId="428D9C63">
            <w:pPr>
              <w:widowControl/>
              <w:spacing w:before="63" w:after="275" w:line="240" w:lineRule="atLeast"/>
              <w:jc w:val="center"/>
              <w:rPr>
                <w:rFonts w:hint="eastAsia" w:ascii="宋体" w:hAnsi="宋体" w:cs="宋体"/>
                <w:color w:val="000000"/>
                <w:kern w:val="0"/>
                <w:sz w:val="24"/>
              </w:rPr>
            </w:pPr>
          </w:p>
        </w:tc>
        <w:tc>
          <w:tcPr>
            <w:tcW w:w="5844" w:type="dxa"/>
            <w:vMerge w:val="restart"/>
            <w:tcBorders>
              <w:top w:val="single" w:color="auto" w:sz="4" w:space="0"/>
              <w:left w:val="single" w:color="auto" w:sz="4" w:space="0"/>
              <w:bottom w:val="single" w:color="auto" w:sz="4" w:space="0"/>
              <w:right w:val="single" w:color="auto" w:sz="4" w:space="0"/>
            </w:tcBorders>
            <w:vAlign w:val="center"/>
          </w:tcPr>
          <w:p w14:paraId="4DB54972">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中国质量认证中心</w:t>
            </w:r>
          </w:p>
          <w:p w14:paraId="3ECF7F31">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北京新华节水产品认证有限公司</w:t>
            </w:r>
          </w:p>
          <w:p w14:paraId="394F6067">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方圆标志认证集团有限公司</w:t>
            </w:r>
          </w:p>
        </w:tc>
      </w:tr>
      <w:tr w14:paraId="22564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6" w:type="dxa"/>
            <w:tcBorders>
              <w:top w:val="single" w:color="auto" w:sz="4" w:space="0"/>
              <w:left w:val="single" w:color="auto" w:sz="4" w:space="0"/>
              <w:bottom w:val="single" w:color="auto" w:sz="4" w:space="0"/>
              <w:right w:val="single" w:color="auto" w:sz="4" w:space="0"/>
            </w:tcBorders>
            <w:vAlign w:val="center"/>
          </w:tcPr>
          <w:p w14:paraId="62260679">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16</w:t>
            </w:r>
          </w:p>
        </w:tc>
        <w:tc>
          <w:tcPr>
            <w:tcW w:w="1432" w:type="dxa"/>
            <w:tcBorders>
              <w:top w:val="single" w:color="auto" w:sz="4" w:space="0"/>
              <w:left w:val="single" w:color="auto" w:sz="4" w:space="0"/>
              <w:bottom w:val="single" w:color="auto" w:sz="4" w:space="0"/>
              <w:right w:val="single" w:color="auto" w:sz="4" w:space="0"/>
            </w:tcBorders>
            <w:vAlign w:val="center"/>
          </w:tcPr>
          <w:p w14:paraId="67D332A3">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A060806</w:t>
            </w:r>
          </w:p>
        </w:tc>
        <w:tc>
          <w:tcPr>
            <w:tcW w:w="1894" w:type="dxa"/>
            <w:tcBorders>
              <w:top w:val="single" w:color="auto" w:sz="4" w:space="0"/>
              <w:left w:val="single" w:color="auto" w:sz="4" w:space="0"/>
              <w:bottom w:val="single" w:color="auto" w:sz="4" w:space="0"/>
              <w:right w:val="single" w:color="auto" w:sz="4" w:space="0"/>
            </w:tcBorders>
            <w:vAlign w:val="center"/>
          </w:tcPr>
          <w:p w14:paraId="2C4A7986">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水嘴</w:t>
            </w:r>
          </w:p>
        </w:tc>
        <w:tc>
          <w:tcPr>
            <w:tcW w:w="1685" w:type="dxa"/>
            <w:tcBorders>
              <w:top w:val="single" w:color="auto" w:sz="4" w:space="0"/>
              <w:left w:val="single" w:color="auto" w:sz="4" w:space="0"/>
              <w:bottom w:val="single" w:color="auto" w:sz="4" w:space="0"/>
              <w:right w:val="single" w:color="auto" w:sz="4" w:space="0"/>
            </w:tcBorders>
            <w:vAlign w:val="center"/>
          </w:tcPr>
          <w:p w14:paraId="4024C925">
            <w:pPr>
              <w:widowControl/>
              <w:spacing w:before="63" w:after="275" w:line="240" w:lineRule="atLeast"/>
              <w:jc w:val="center"/>
              <w:rPr>
                <w:rFonts w:hint="eastAsia" w:ascii="宋体" w:hAnsi="宋体" w:cs="宋体"/>
                <w:color w:val="000000"/>
                <w:kern w:val="0"/>
                <w:sz w:val="24"/>
              </w:rPr>
            </w:pPr>
          </w:p>
        </w:tc>
        <w:tc>
          <w:tcPr>
            <w:tcW w:w="2360" w:type="dxa"/>
            <w:tcBorders>
              <w:top w:val="single" w:color="auto" w:sz="4" w:space="0"/>
              <w:left w:val="single" w:color="auto" w:sz="4" w:space="0"/>
              <w:bottom w:val="single" w:color="auto" w:sz="4" w:space="0"/>
              <w:right w:val="single" w:color="auto" w:sz="4" w:space="0"/>
            </w:tcBorders>
            <w:vAlign w:val="center"/>
          </w:tcPr>
          <w:p w14:paraId="5E456482">
            <w:pPr>
              <w:widowControl/>
              <w:spacing w:before="63" w:after="275" w:line="240" w:lineRule="atLeast"/>
              <w:jc w:val="center"/>
              <w:rPr>
                <w:rFonts w:hint="eastAsia" w:ascii="宋体" w:hAnsi="宋体" w:cs="宋体"/>
                <w:color w:val="000000"/>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72DC7CA">
            <w:pPr>
              <w:widowControl/>
              <w:jc w:val="center"/>
              <w:rPr>
                <w:rFonts w:hint="eastAsia" w:ascii="宋体" w:hAnsi="宋体" w:cs="宋体"/>
                <w:color w:val="000000"/>
                <w:kern w:val="0"/>
                <w:sz w:val="24"/>
              </w:rPr>
            </w:pPr>
          </w:p>
        </w:tc>
      </w:tr>
      <w:tr w14:paraId="73197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6" w:type="dxa"/>
            <w:tcBorders>
              <w:top w:val="single" w:color="auto" w:sz="4" w:space="0"/>
              <w:left w:val="single" w:color="auto" w:sz="4" w:space="0"/>
              <w:bottom w:val="single" w:color="auto" w:sz="4" w:space="0"/>
              <w:right w:val="single" w:color="auto" w:sz="4" w:space="0"/>
            </w:tcBorders>
            <w:vAlign w:val="center"/>
          </w:tcPr>
          <w:p w14:paraId="63F46F64">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17</w:t>
            </w:r>
          </w:p>
        </w:tc>
        <w:tc>
          <w:tcPr>
            <w:tcW w:w="1432" w:type="dxa"/>
            <w:tcBorders>
              <w:top w:val="single" w:color="auto" w:sz="4" w:space="0"/>
              <w:left w:val="single" w:color="auto" w:sz="4" w:space="0"/>
              <w:bottom w:val="single" w:color="auto" w:sz="4" w:space="0"/>
              <w:right w:val="single" w:color="auto" w:sz="4" w:space="0"/>
            </w:tcBorders>
            <w:vAlign w:val="center"/>
          </w:tcPr>
          <w:p w14:paraId="33624411">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A060807</w:t>
            </w:r>
          </w:p>
        </w:tc>
        <w:tc>
          <w:tcPr>
            <w:tcW w:w="1894" w:type="dxa"/>
            <w:tcBorders>
              <w:top w:val="single" w:color="auto" w:sz="4" w:space="0"/>
              <w:left w:val="single" w:color="auto" w:sz="4" w:space="0"/>
              <w:bottom w:val="single" w:color="auto" w:sz="4" w:space="0"/>
              <w:right w:val="single" w:color="auto" w:sz="4" w:space="0"/>
            </w:tcBorders>
            <w:vAlign w:val="center"/>
          </w:tcPr>
          <w:p w14:paraId="5BDA19DD">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便器冲洗阀</w:t>
            </w:r>
          </w:p>
        </w:tc>
        <w:tc>
          <w:tcPr>
            <w:tcW w:w="1685" w:type="dxa"/>
            <w:tcBorders>
              <w:top w:val="single" w:color="auto" w:sz="4" w:space="0"/>
              <w:left w:val="single" w:color="auto" w:sz="4" w:space="0"/>
              <w:bottom w:val="single" w:color="auto" w:sz="4" w:space="0"/>
              <w:right w:val="single" w:color="auto" w:sz="4" w:space="0"/>
            </w:tcBorders>
            <w:vAlign w:val="center"/>
          </w:tcPr>
          <w:p w14:paraId="591F1D62">
            <w:pPr>
              <w:widowControl/>
              <w:spacing w:before="63" w:after="275" w:line="240" w:lineRule="atLeast"/>
              <w:jc w:val="center"/>
              <w:rPr>
                <w:rFonts w:hint="eastAsia" w:ascii="宋体" w:hAnsi="宋体" w:cs="宋体"/>
                <w:color w:val="000000"/>
                <w:kern w:val="0"/>
                <w:sz w:val="24"/>
              </w:rPr>
            </w:pPr>
          </w:p>
        </w:tc>
        <w:tc>
          <w:tcPr>
            <w:tcW w:w="2360" w:type="dxa"/>
            <w:tcBorders>
              <w:top w:val="single" w:color="auto" w:sz="4" w:space="0"/>
              <w:left w:val="single" w:color="auto" w:sz="4" w:space="0"/>
              <w:bottom w:val="single" w:color="auto" w:sz="4" w:space="0"/>
              <w:right w:val="single" w:color="auto" w:sz="4" w:space="0"/>
            </w:tcBorders>
            <w:vAlign w:val="center"/>
          </w:tcPr>
          <w:p w14:paraId="19B71A3C">
            <w:pPr>
              <w:widowControl/>
              <w:spacing w:before="63" w:after="275" w:line="240" w:lineRule="atLeast"/>
              <w:jc w:val="center"/>
              <w:rPr>
                <w:rFonts w:hint="eastAsia" w:ascii="宋体" w:hAnsi="宋体" w:cs="宋体"/>
                <w:color w:val="000000"/>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0763D46">
            <w:pPr>
              <w:widowControl/>
              <w:jc w:val="center"/>
              <w:rPr>
                <w:rFonts w:hint="eastAsia" w:ascii="宋体" w:hAnsi="宋体" w:cs="宋体"/>
                <w:color w:val="000000"/>
                <w:kern w:val="0"/>
                <w:sz w:val="24"/>
              </w:rPr>
            </w:pPr>
          </w:p>
        </w:tc>
      </w:tr>
      <w:tr w14:paraId="495B7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4" w:hRule="atLeast"/>
        </w:trPr>
        <w:tc>
          <w:tcPr>
            <w:tcW w:w="866" w:type="dxa"/>
            <w:tcBorders>
              <w:top w:val="single" w:color="auto" w:sz="4" w:space="0"/>
              <w:left w:val="single" w:color="auto" w:sz="4" w:space="0"/>
              <w:bottom w:val="single" w:color="auto" w:sz="4" w:space="0"/>
              <w:right w:val="single" w:color="auto" w:sz="4" w:space="0"/>
            </w:tcBorders>
            <w:vAlign w:val="center"/>
          </w:tcPr>
          <w:p w14:paraId="334C74E5">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18</w:t>
            </w:r>
          </w:p>
        </w:tc>
        <w:tc>
          <w:tcPr>
            <w:tcW w:w="1432" w:type="dxa"/>
            <w:tcBorders>
              <w:top w:val="single" w:color="auto" w:sz="4" w:space="0"/>
              <w:left w:val="single" w:color="auto" w:sz="4" w:space="0"/>
              <w:bottom w:val="single" w:color="auto" w:sz="4" w:space="0"/>
              <w:right w:val="single" w:color="auto" w:sz="4" w:space="0"/>
            </w:tcBorders>
            <w:vAlign w:val="center"/>
          </w:tcPr>
          <w:p w14:paraId="172D5255">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A060810</w:t>
            </w:r>
          </w:p>
        </w:tc>
        <w:tc>
          <w:tcPr>
            <w:tcW w:w="1894" w:type="dxa"/>
            <w:tcBorders>
              <w:top w:val="single" w:color="auto" w:sz="4" w:space="0"/>
              <w:left w:val="single" w:color="auto" w:sz="4" w:space="0"/>
              <w:bottom w:val="single" w:color="auto" w:sz="4" w:space="0"/>
              <w:right w:val="single" w:color="auto" w:sz="4" w:space="0"/>
            </w:tcBorders>
            <w:vAlign w:val="center"/>
          </w:tcPr>
          <w:p w14:paraId="40BC31E3">
            <w:pPr>
              <w:widowControl/>
              <w:spacing w:before="63" w:after="275" w:line="240" w:lineRule="atLeast"/>
              <w:jc w:val="center"/>
              <w:rPr>
                <w:rFonts w:hint="eastAsia" w:ascii="宋体" w:hAnsi="宋体" w:cs="宋体"/>
                <w:color w:val="000000"/>
                <w:kern w:val="0"/>
                <w:sz w:val="24"/>
              </w:rPr>
            </w:pPr>
            <w:r>
              <w:rPr>
                <w:rFonts w:hint="eastAsia" w:ascii="仿宋_GB2312" w:hAnsi="宋体" w:eastAsia="仿宋_GB2312" w:cs="宋体"/>
                <w:color w:val="000000"/>
                <w:kern w:val="0"/>
                <w:sz w:val="24"/>
              </w:rPr>
              <w:t>淋浴器</w:t>
            </w:r>
          </w:p>
        </w:tc>
        <w:tc>
          <w:tcPr>
            <w:tcW w:w="1685" w:type="dxa"/>
            <w:tcBorders>
              <w:top w:val="single" w:color="auto" w:sz="4" w:space="0"/>
              <w:left w:val="single" w:color="auto" w:sz="4" w:space="0"/>
              <w:bottom w:val="single" w:color="auto" w:sz="4" w:space="0"/>
              <w:right w:val="single" w:color="auto" w:sz="4" w:space="0"/>
            </w:tcBorders>
            <w:vAlign w:val="center"/>
          </w:tcPr>
          <w:p w14:paraId="0ED2B559">
            <w:pPr>
              <w:widowControl/>
              <w:spacing w:before="63" w:after="275" w:line="240" w:lineRule="atLeast"/>
              <w:jc w:val="center"/>
              <w:rPr>
                <w:rFonts w:hint="eastAsia" w:ascii="宋体" w:hAnsi="宋体" w:cs="宋体"/>
                <w:color w:val="000000"/>
                <w:kern w:val="0"/>
                <w:sz w:val="24"/>
              </w:rPr>
            </w:pPr>
          </w:p>
        </w:tc>
        <w:tc>
          <w:tcPr>
            <w:tcW w:w="2360" w:type="dxa"/>
            <w:tcBorders>
              <w:top w:val="single" w:color="auto" w:sz="4" w:space="0"/>
              <w:left w:val="single" w:color="auto" w:sz="4" w:space="0"/>
              <w:bottom w:val="single" w:color="auto" w:sz="4" w:space="0"/>
              <w:right w:val="single" w:color="auto" w:sz="4" w:space="0"/>
            </w:tcBorders>
            <w:vAlign w:val="center"/>
          </w:tcPr>
          <w:p w14:paraId="4483CFAE">
            <w:pPr>
              <w:widowControl/>
              <w:spacing w:before="63" w:after="275" w:line="240" w:lineRule="atLeast"/>
              <w:jc w:val="center"/>
              <w:rPr>
                <w:rFonts w:hint="eastAsia" w:ascii="宋体" w:hAnsi="宋体" w:cs="宋体"/>
                <w:color w:val="000000"/>
                <w:kern w:val="0"/>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FC31078">
            <w:pPr>
              <w:widowControl/>
              <w:jc w:val="center"/>
              <w:rPr>
                <w:rFonts w:hint="eastAsia" w:ascii="宋体" w:hAnsi="宋体" w:cs="宋体"/>
                <w:color w:val="000000"/>
                <w:kern w:val="0"/>
                <w:sz w:val="24"/>
              </w:rPr>
            </w:pPr>
          </w:p>
        </w:tc>
      </w:tr>
    </w:tbl>
    <w:p w14:paraId="562F46D2">
      <w:pPr>
        <w:widowControl/>
        <w:shd w:val="clear" w:color="auto" w:fill="FFFFFF"/>
        <w:spacing w:before="63" w:after="275" w:line="401" w:lineRule="atLeast"/>
        <w:jc w:val="center"/>
        <w:rPr>
          <w:rFonts w:hint="eastAsia" w:ascii="宋体" w:hAnsi="宋体" w:cs="宋体"/>
          <w:color w:val="000000"/>
          <w:kern w:val="0"/>
          <w:sz w:val="24"/>
        </w:rPr>
      </w:pPr>
      <w:r>
        <w:rPr>
          <w:rFonts w:ascii="宋体" w:hAnsi="宋体" w:cs="宋体"/>
          <w:color w:val="000000"/>
          <w:kern w:val="0"/>
          <w:sz w:val="24"/>
        </w:rPr>
        <w:t> </w:t>
      </w:r>
    </w:p>
    <w:p w14:paraId="6EBCD9AD">
      <w:pPr>
        <w:widowControl/>
        <w:shd w:val="clear" w:color="auto" w:fill="FFFFFF"/>
        <w:spacing w:before="63" w:after="275" w:line="401" w:lineRule="atLeast"/>
        <w:jc w:val="center"/>
        <w:rPr>
          <w:rFonts w:hint="eastAsia" w:ascii="宋体" w:hAnsi="宋体" w:cs="宋体"/>
          <w:color w:val="000000"/>
          <w:kern w:val="0"/>
          <w:sz w:val="24"/>
        </w:rPr>
      </w:pPr>
      <w:r>
        <w:rPr>
          <w:rFonts w:hint="eastAsia" w:ascii="方正小标宋简体" w:hAnsi="微软雅黑" w:eastAsia="方正小标宋简体" w:cs="宋体"/>
          <w:color w:val="000000"/>
          <w:kern w:val="0"/>
          <w:sz w:val="28"/>
          <w:szCs w:val="28"/>
        </w:rPr>
        <w:t>参与实施政府采购环境标志产品认证机构名录</w:t>
      </w:r>
      <w:r>
        <w:rPr>
          <w:rFonts w:ascii="宋体" w:hAnsi="宋体" w:cs="宋体"/>
          <w:color w:val="000000"/>
          <w:kern w:val="0"/>
          <w:sz w:val="24"/>
        </w:rPr>
        <w:t> </w:t>
      </w:r>
    </w:p>
    <w:tbl>
      <w:tblPr>
        <w:tblStyle w:val="47"/>
        <w:tblW w:w="0" w:type="auto"/>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6"/>
        <w:gridCol w:w="2139"/>
        <w:gridCol w:w="6089"/>
      </w:tblGrid>
      <w:tr w14:paraId="68DFB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4" w:hRule="atLeast"/>
        </w:trPr>
        <w:tc>
          <w:tcPr>
            <w:tcW w:w="866" w:type="dxa"/>
            <w:tcBorders>
              <w:top w:val="single" w:color="auto" w:sz="4" w:space="0"/>
              <w:left w:val="single" w:color="auto" w:sz="4" w:space="0"/>
              <w:bottom w:val="single" w:color="auto" w:sz="4" w:space="0"/>
              <w:right w:val="single" w:color="auto" w:sz="4" w:space="0"/>
            </w:tcBorders>
            <w:vAlign w:val="center"/>
          </w:tcPr>
          <w:p w14:paraId="5DF7B78F">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序号</w:t>
            </w:r>
          </w:p>
        </w:tc>
        <w:tc>
          <w:tcPr>
            <w:tcW w:w="3326" w:type="dxa"/>
            <w:tcBorders>
              <w:top w:val="single" w:color="auto" w:sz="4" w:space="0"/>
              <w:left w:val="single" w:color="auto" w:sz="4" w:space="0"/>
              <w:bottom w:val="single" w:color="auto" w:sz="4" w:space="0"/>
              <w:right w:val="single" w:color="auto" w:sz="4" w:space="0"/>
            </w:tcBorders>
            <w:vAlign w:val="center"/>
          </w:tcPr>
          <w:p w14:paraId="0349D094">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目录</w:t>
            </w:r>
          </w:p>
        </w:tc>
        <w:tc>
          <w:tcPr>
            <w:tcW w:w="9889" w:type="dxa"/>
            <w:tcBorders>
              <w:top w:val="single" w:color="auto" w:sz="4" w:space="0"/>
              <w:left w:val="single" w:color="auto" w:sz="4" w:space="0"/>
              <w:bottom w:val="single" w:color="auto" w:sz="4" w:space="0"/>
              <w:right w:val="single" w:color="auto" w:sz="4" w:space="0"/>
            </w:tcBorders>
            <w:vAlign w:val="center"/>
          </w:tcPr>
          <w:p w14:paraId="41D37942">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认证机构名录</w:t>
            </w:r>
          </w:p>
        </w:tc>
      </w:tr>
      <w:tr w14:paraId="68222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1" w:hRule="atLeast"/>
        </w:trPr>
        <w:tc>
          <w:tcPr>
            <w:tcW w:w="866" w:type="dxa"/>
            <w:tcBorders>
              <w:top w:val="single" w:color="auto" w:sz="4" w:space="0"/>
              <w:left w:val="single" w:color="auto" w:sz="4" w:space="0"/>
              <w:bottom w:val="single" w:color="auto" w:sz="4" w:space="0"/>
              <w:right w:val="single" w:color="auto" w:sz="4" w:space="0"/>
            </w:tcBorders>
            <w:vAlign w:val="center"/>
          </w:tcPr>
          <w:p w14:paraId="6A2395DB">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1</w:t>
            </w:r>
          </w:p>
        </w:tc>
        <w:tc>
          <w:tcPr>
            <w:tcW w:w="3326" w:type="dxa"/>
            <w:tcBorders>
              <w:top w:val="single" w:color="auto" w:sz="4" w:space="0"/>
              <w:left w:val="single" w:color="auto" w:sz="4" w:space="0"/>
              <w:bottom w:val="single" w:color="auto" w:sz="4" w:space="0"/>
              <w:right w:val="single" w:color="auto" w:sz="4" w:space="0"/>
            </w:tcBorders>
            <w:vAlign w:val="center"/>
          </w:tcPr>
          <w:p w14:paraId="7238DFCD">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环境标志产品</w:t>
            </w:r>
          </w:p>
        </w:tc>
        <w:tc>
          <w:tcPr>
            <w:tcW w:w="9889" w:type="dxa"/>
            <w:tcBorders>
              <w:top w:val="single" w:color="auto" w:sz="4" w:space="0"/>
              <w:left w:val="single" w:color="auto" w:sz="4" w:space="0"/>
              <w:bottom w:val="single" w:color="auto" w:sz="4" w:space="0"/>
              <w:right w:val="single" w:color="auto" w:sz="4" w:space="0"/>
            </w:tcBorders>
            <w:vAlign w:val="center"/>
          </w:tcPr>
          <w:p w14:paraId="0AEEB53C">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中环联合（北京）认证中心有限公司</w:t>
            </w:r>
          </w:p>
          <w:p w14:paraId="02AB78B8">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中标合信（北京）认证有限公司</w:t>
            </w:r>
          </w:p>
          <w:p w14:paraId="0742EDFC">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中环协（北京）认证有限公司</w:t>
            </w:r>
          </w:p>
          <w:p w14:paraId="2DB08670">
            <w:pPr>
              <w:widowControl/>
              <w:spacing w:before="63" w:after="275" w:line="240" w:lineRule="exact"/>
              <w:jc w:val="center"/>
              <w:rPr>
                <w:rFonts w:hint="eastAsia" w:ascii="宋体" w:hAnsi="宋体" w:cs="宋体"/>
                <w:color w:val="000000"/>
                <w:kern w:val="0"/>
                <w:sz w:val="24"/>
              </w:rPr>
            </w:pPr>
            <w:r>
              <w:rPr>
                <w:rFonts w:hint="eastAsia" w:ascii="仿宋_GB2312" w:hAnsi="宋体" w:eastAsia="仿宋_GB2312" w:cs="宋体"/>
                <w:color w:val="000000"/>
                <w:kern w:val="0"/>
                <w:sz w:val="24"/>
              </w:rPr>
              <w:t>天津华诚认证有限公司</w:t>
            </w:r>
          </w:p>
        </w:tc>
      </w:tr>
    </w:tbl>
    <w:p w14:paraId="028139E8">
      <w:pPr>
        <w:pStyle w:val="5"/>
      </w:pPr>
    </w:p>
    <w:sectPr>
      <w:headerReference r:id="rId7" w:type="default"/>
      <w:footerReference r:id="rId8" w:type="even"/>
      <w:pgSz w:w="11907" w:h="16840"/>
      <w:pgMar w:top="1440" w:right="1440" w:bottom="1440" w:left="1440" w:header="1077" w:footer="1021" w:gutter="0"/>
      <w:pgNumType w:fmt="decimal"/>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幼圆">
    <w:altName w:val="宋体"/>
    <w:panose1 w:val="02010509060101010101"/>
    <w:charset w:val="86"/>
    <w:family w:val="modern"/>
    <w:pitch w:val="default"/>
    <w:sig w:usb0="00000000" w:usb1="00000000" w:usb2="00000010" w:usb3="00000000" w:csb0="00040000" w:csb1="00000000"/>
  </w:font>
  <w:font w:name="PMingLiU">
    <w:panose1 w:val="02020500000000000000"/>
    <w:charset w:val="88"/>
    <w:family w:val="roman"/>
    <w:pitch w:val="default"/>
    <w:sig w:usb0="A00002FF" w:usb1="28CFFCFA" w:usb2="00000016" w:usb3="00000000" w:csb0="00100001" w:csb1="00000000"/>
  </w:font>
  <w:font w:name="ˎ̥">
    <w:altName w:val="Times New Roman"/>
    <w:panose1 w:val="00000000000000000000"/>
    <w:charset w:val="00"/>
    <w:family w:val="roman"/>
    <w:pitch w:val="default"/>
    <w:sig w:usb0="00000000" w:usb1="00000000" w:usb2="00000000" w:usb3="00000000" w:csb0="00040001" w:csb1="00000000"/>
  </w:font>
  <w:font w:name="Verdana">
    <w:panose1 w:val="020B0604030504040204"/>
    <w:charset w:val="00"/>
    <w:family w:val="swiss"/>
    <w:pitch w:val="default"/>
    <w:sig w:usb0="A10006FF" w:usb1="4000205B" w:usb2="00000010" w:usb3="00000000" w:csb0="2000019F" w:csb1="00000000"/>
  </w:font>
  <w:font w:name="华文细黑">
    <w:altName w:val="微软雅黑"/>
    <w:panose1 w:val="02010600040101010101"/>
    <w:charset w:val="86"/>
    <w:family w:val="auto"/>
    <w:pitch w:val="default"/>
    <w:sig w:usb0="00000000" w:usb1="00000000" w:usb2="00000010" w:usb3="00000000" w:csb0="0004009F" w:csb1="00000000"/>
  </w:font>
  <w:font w:name="微软雅黑">
    <w:panose1 w:val="020B0503020204020204"/>
    <w:charset w:val="86"/>
    <w:family w:val="swiss"/>
    <w:pitch w:val="default"/>
    <w:sig w:usb0="80000287" w:usb1="280F3C52" w:usb2="00000016" w:usb3="00000000" w:csb0="0004001F" w:csb1="00000000"/>
  </w:font>
  <w:font w:name="华文楷体">
    <w:altName w:val="宋体"/>
    <w:panose1 w:val="02010600040101010101"/>
    <w:charset w:val="86"/>
    <w:family w:val="auto"/>
    <w:pitch w:val="default"/>
    <w:sig w:usb0="00000000" w:usb1="00000000" w:usb2="00000010" w:usb3="00000000" w:csb0="0004009F" w:csb1="00000000"/>
  </w:font>
  <w:font w:name="华文新魏">
    <w:altName w:val="宋体"/>
    <w:panose1 w:val="02010800040101010101"/>
    <w:charset w:val="86"/>
    <w:family w:val="auto"/>
    <w:pitch w:val="default"/>
    <w:sig w:usb0="00000000" w:usb1="00000000" w:usb2="0000001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Microsoft JhengHei">
    <w:panose1 w:val="020B0604030504040204"/>
    <w:charset w:val="88"/>
    <w:family w:val="swiss"/>
    <w:pitch w:val="default"/>
    <w:sig w:usb0="00000087" w:usb1="28AF4000" w:usb2="00000016" w:usb3="00000000" w:csb0="00100009" w:csb1="00000000"/>
  </w:font>
  <w:font w:name="Segoe UI">
    <w:panose1 w:val="020B0502040204020203"/>
    <w:charset w:val="00"/>
    <w:family w:val="swiss"/>
    <w:pitch w:val="default"/>
    <w:sig w:usb0="E10022FF" w:usb1="C000E47F" w:usb2="00000029" w:usb3="00000000" w:csb0="200001DF" w:csb1="20000000"/>
  </w:font>
  <w:font w:name="汉鼎简楷体">
    <w:altName w:val="Calibri"/>
    <w:panose1 w:val="00000000000000000000"/>
    <w:charset w:val="00"/>
    <w:family w:val="auto"/>
    <w:pitch w:val="default"/>
    <w:sig w:usb0="00000000" w:usb1="00000000" w:usb2="00000000" w:usb3="00000000" w:csb0="00000000" w:csb1="00000000"/>
  </w:font>
  <w:font w:name="华文中宋">
    <w:altName w:val="宋体"/>
    <w:panose1 w:val="02010600040101010101"/>
    <w:charset w:val="86"/>
    <w:family w:val="auto"/>
    <w:pitch w:val="default"/>
    <w:sig w:usb0="00000000" w:usb1="00000000" w:usb2="00000010" w:usb3="00000000" w:csb0="0004009F" w:csb1="00000000"/>
  </w:font>
  <w:font w:name="Segoe UI Symbol">
    <w:panose1 w:val="020B0502040204020203"/>
    <w:charset w:val="00"/>
    <w:family w:val="swiss"/>
    <w:pitch w:val="default"/>
    <w:sig w:usb0="8000006F" w:usb1="1200FBEF" w:usb2="0064C000" w:usb3="00000002" w:csb0="00000001" w:csb1="40000000"/>
  </w:font>
  <w:font w:name="方正小标宋简体">
    <w:altName w:val="宋体"/>
    <w:panose1 w:val="02010601030101010101"/>
    <w:charset w:val="86"/>
    <w:family w:val="auto"/>
    <w:pitch w:val="default"/>
    <w:sig w:usb0="00000000" w:usb1="00000000" w:usb2="00000010" w:usb3="00000000" w:csb0="00040000" w:csb1="00000000"/>
  </w:font>
  <w:font w:name="Kingsoft UE">
    <w:panose1 w:val="02000100010000000000"/>
    <w:charset w:val="00"/>
    <w:family w:val="auto"/>
    <w:pitch w:val="default"/>
    <w:sig w:usb0="00000001" w:usb1="00004000" w:usb2="00000000" w:usb3="00000000" w:csb0="0000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8F1FE3">
    <w:pPr>
      <w:pStyle w:val="3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43FA3E">
                          <w:pPr>
                            <w:pStyle w:val="31"/>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lxGWcABAACN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ZyDUgvDkmLFz6yagT1FwMp1QYzRuV1+DxvWQ9/EXb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M6pebnPAAAABQEAAA8AAAAAAAAAAQAgAAAAIgAAAGRycy9kb3ducmV2LnhtbFBLAQIUABQA&#10;AAAIAIdO4kBaXEZZwAEAAI0DAAAOAAAAAAAAAAEAIAAAAB4BAABkcnMvZTJvRG9jLnhtbFBLBQYA&#10;AAAABgAGAFkBAABQBQAAAAA=&#10;">
              <v:fill on="f" focussize="0,0"/>
              <v:stroke on="f"/>
              <v:imagedata o:title=""/>
              <o:lock v:ext="edit" aspectratio="f"/>
              <v:textbox inset="0mm,0mm,0mm,0mm" style="mso-fit-shape-to-text:t;">
                <w:txbxContent>
                  <w:p w14:paraId="2E43FA3E">
                    <w:pPr>
                      <w:pStyle w:val="3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18B50B">
    <w:pPr>
      <w:pStyle w:val="3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CB9024">
                          <w:pPr>
                            <w:pStyle w:val="3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7CB9024">
                    <w:pPr>
                      <w:pStyle w:val="3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6026C">
    <w:pPr>
      <w:pStyle w:val="3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A9897A">
                          <w:pPr>
                            <w:pStyle w:val="31"/>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1A9897A">
                    <w:pPr>
                      <w:pStyle w:val="31"/>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D8869">
    <w:pPr>
      <w:pStyle w:val="31"/>
      <w:framePr w:wrap="around" w:vAnchor="text" w:hAnchor="margin" w:xAlign="center" w:y="1"/>
      <w:rPr>
        <w:rStyle w:val="51"/>
      </w:rPr>
    </w:pPr>
    <w:r>
      <w:rPr>
        <w:rStyle w:val="51"/>
      </w:rPr>
      <w:fldChar w:fldCharType="begin"/>
    </w:r>
    <w:r>
      <w:rPr>
        <w:rStyle w:val="51"/>
      </w:rPr>
      <w:instrText xml:space="preserve">PAGE  </w:instrText>
    </w:r>
    <w:r>
      <w:rPr>
        <w:rStyle w:val="51"/>
      </w:rPr>
      <w:fldChar w:fldCharType="separate"/>
    </w:r>
    <w:r>
      <w:rPr>
        <w:rStyle w:val="51"/>
      </w:rPr>
      <w:t>122</w:t>
    </w:r>
    <w:r>
      <w:rPr>
        <w:rStyle w:val="51"/>
      </w:rPr>
      <w:fldChar w:fldCharType="end"/>
    </w:r>
  </w:p>
  <w:p w14:paraId="6086F5D1">
    <w:pPr>
      <w:pStyle w:val="3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90853">
    <w:pPr>
      <w:pStyle w:val="3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E9B00">
    <w:pPr>
      <w:pStyle w:val="32"/>
      <w:pBdr>
        <w:bottom w:val="none" w:color="auto" w:sz="0" w:space="1"/>
      </w:pBdr>
      <w:jc w:val="right"/>
      <w:rPr>
        <w:rFonts w:eastAsia="楷体_GB23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56BDF"/>
    <w:multiLevelType w:val="singleLevel"/>
    <w:tmpl w:val="89B56BDF"/>
    <w:lvl w:ilvl="0" w:tentative="0">
      <w:start w:val="2"/>
      <w:numFmt w:val="chineseCounting"/>
      <w:suff w:val="space"/>
      <w:lvlText w:val="%1."/>
      <w:lvlJc w:val="left"/>
      <w:rPr>
        <w:rFonts w:hint="eastAsia"/>
      </w:rPr>
    </w:lvl>
  </w:abstractNum>
  <w:abstractNum w:abstractNumId="1">
    <w:nsid w:val="03807FC6"/>
    <w:multiLevelType w:val="multilevel"/>
    <w:tmpl w:val="03807FC6"/>
    <w:lvl w:ilvl="0" w:tentative="0">
      <w:start w:val="1"/>
      <w:numFmt w:val="decimal"/>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33D6C551"/>
    <w:multiLevelType w:val="singleLevel"/>
    <w:tmpl w:val="33D6C551"/>
    <w:lvl w:ilvl="0" w:tentative="0">
      <w:start w:val="5"/>
      <w:numFmt w:val="decimal"/>
      <w:lvlText w:val="%1."/>
      <w:lvlJc w:val="left"/>
      <w:pPr>
        <w:tabs>
          <w:tab w:val="left" w:pos="312"/>
        </w:tabs>
      </w:pPr>
    </w:lvl>
  </w:abstractNum>
  <w:abstractNum w:abstractNumId="3">
    <w:nsid w:val="3B9327C8"/>
    <w:multiLevelType w:val="multilevel"/>
    <w:tmpl w:val="3B9327C8"/>
    <w:lvl w:ilvl="0" w:tentative="0">
      <w:start w:val="3"/>
      <w:numFmt w:val="chineseCounting"/>
      <w:suff w:val="nothing"/>
      <w:lvlText w:val="%1、"/>
      <w:lvlJc w:val="left"/>
      <w:pPr>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63D3569F"/>
    <w:multiLevelType w:val="multilevel"/>
    <w:tmpl w:val="63D3569F"/>
    <w:lvl w:ilvl="0" w:tentative="0">
      <w:start w:val="1"/>
      <w:numFmt w:val="decimalEnclosedCircleChinese"/>
      <w:suff w:val="nothing"/>
      <w:lvlText w:val="%1　"/>
      <w:lvlJc w:val="left"/>
      <w:pPr>
        <w:ind w:left="0" w:firstLine="400"/>
      </w:pPr>
      <w:rPr>
        <w:rFonts w:hint="eastAsia" w:ascii="宋体" w:hAnsi="宋体" w:eastAsia="宋体"/>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3FA"/>
    <w:rsid w:val="00000936"/>
    <w:rsid w:val="00000C34"/>
    <w:rsid w:val="000035A0"/>
    <w:rsid w:val="00003EDA"/>
    <w:rsid w:val="00004936"/>
    <w:rsid w:val="000062B7"/>
    <w:rsid w:val="000063DC"/>
    <w:rsid w:val="000069A1"/>
    <w:rsid w:val="00006EEB"/>
    <w:rsid w:val="00006FE0"/>
    <w:rsid w:val="0000739A"/>
    <w:rsid w:val="00010C5A"/>
    <w:rsid w:val="00010E22"/>
    <w:rsid w:val="000115D5"/>
    <w:rsid w:val="00012376"/>
    <w:rsid w:val="000154A6"/>
    <w:rsid w:val="00016146"/>
    <w:rsid w:val="00017027"/>
    <w:rsid w:val="0001707A"/>
    <w:rsid w:val="000179A7"/>
    <w:rsid w:val="000201A3"/>
    <w:rsid w:val="00020CB7"/>
    <w:rsid w:val="00020E0A"/>
    <w:rsid w:val="0002398A"/>
    <w:rsid w:val="00024B65"/>
    <w:rsid w:val="00026A7C"/>
    <w:rsid w:val="00026B21"/>
    <w:rsid w:val="00026DA1"/>
    <w:rsid w:val="00026DE7"/>
    <w:rsid w:val="00030380"/>
    <w:rsid w:val="000305EE"/>
    <w:rsid w:val="00030656"/>
    <w:rsid w:val="00030C65"/>
    <w:rsid w:val="00030CFD"/>
    <w:rsid w:val="0003236F"/>
    <w:rsid w:val="000323BD"/>
    <w:rsid w:val="000327F0"/>
    <w:rsid w:val="00032ACE"/>
    <w:rsid w:val="0003435A"/>
    <w:rsid w:val="000349C7"/>
    <w:rsid w:val="00034DCB"/>
    <w:rsid w:val="000353CB"/>
    <w:rsid w:val="0003551A"/>
    <w:rsid w:val="00035685"/>
    <w:rsid w:val="00035C65"/>
    <w:rsid w:val="00035D13"/>
    <w:rsid w:val="00036275"/>
    <w:rsid w:val="0003637F"/>
    <w:rsid w:val="0003715A"/>
    <w:rsid w:val="00037C9E"/>
    <w:rsid w:val="00037EB7"/>
    <w:rsid w:val="00040674"/>
    <w:rsid w:val="00040C13"/>
    <w:rsid w:val="00040DDB"/>
    <w:rsid w:val="000415F1"/>
    <w:rsid w:val="0004338D"/>
    <w:rsid w:val="00044CCA"/>
    <w:rsid w:val="00045769"/>
    <w:rsid w:val="00045CD5"/>
    <w:rsid w:val="00045E5A"/>
    <w:rsid w:val="000461E1"/>
    <w:rsid w:val="00046E88"/>
    <w:rsid w:val="000533EB"/>
    <w:rsid w:val="00054092"/>
    <w:rsid w:val="000549BB"/>
    <w:rsid w:val="0005588D"/>
    <w:rsid w:val="00055D8F"/>
    <w:rsid w:val="000560B7"/>
    <w:rsid w:val="000567E6"/>
    <w:rsid w:val="00056993"/>
    <w:rsid w:val="000615C8"/>
    <w:rsid w:val="000615E4"/>
    <w:rsid w:val="00062A4A"/>
    <w:rsid w:val="000646E4"/>
    <w:rsid w:val="0006509F"/>
    <w:rsid w:val="00067BB2"/>
    <w:rsid w:val="00070070"/>
    <w:rsid w:val="000724AC"/>
    <w:rsid w:val="0007284C"/>
    <w:rsid w:val="000735B2"/>
    <w:rsid w:val="000739BA"/>
    <w:rsid w:val="00074182"/>
    <w:rsid w:val="00074522"/>
    <w:rsid w:val="0007466D"/>
    <w:rsid w:val="000748E9"/>
    <w:rsid w:val="0007586A"/>
    <w:rsid w:val="00075BC4"/>
    <w:rsid w:val="00076967"/>
    <w:rsid w:val="00080D59"/>
    <w:rsid w:val="00080DDB"/>
    <w:rsid w:val="000815DE"/>
    <w:rsid w:val="000818DC"/>
    <w:rsid w:val="0008209F"/>
    <w:rsid w:val="0008224F"/>
    <w:rsid w:val="00082970"/>
    <w:rsid w:val="0008556C"/>
    <w:rsid w:val="000857CF"/>
    <w:rsid w:val="00085F50"/>
    <w:rsid w:val="00086B2E"/>
    <w:rsid w:val="00086D72"/>
    <w:rsid w:val="00087D5C"/>
    <w:rsid w:val="00090853"/>
    <w:rsid w:val="00090C01"/>
    <w:rsid w:val="00090D8F"/>
    <w:rsid w:val="000911B6"/>
    <w:rsid w:val="0009121A"/>
    <w:rsid w:val="000925A3"/>
    <w:rsid w:val="00092623"/>
    <w:rsid w:val="00093252"/>
    <w:rsid w:val="00095756"/>
    <w:rsid w:val="00095C79"/>
    <w:rsid w:val="000975BA"/>
    <w:rsid w:val="00097E09"/>
    <w:rsid w:val="000A0535"/>
    <w:rsid w:val="000A1FC6"/>
    <w:rsid w:val="000A208D"/>
    <w:rsid w:val="000A382D"/>
    <w:rsid w:val="000A41F1"/>
    <w:rsid w:val="000A52B2"/>
    <w:rsid w:val="000A5AA4"/>
    <w:rsid w:val="000B034F"/>
    <w:rsid w:val="000B04DE"/>
    <w:rsid w:val="000B0733"/>
    <w:rsid w:val="000B138E"/>
    <w:rsid w:val="000B148C"/>
    <w:rsid w:val="000B1872"/>
    <w:rsid w:val="000B251B"/>
    <w:rsid w:val="000B4734"/>
    <w:rsid w:val="000B5022"/>
    <w:rsid w:val="000B5AF3"/>
    <w:rsid w:val="000B604C"/>
    <w:rsid w:val="000B7B1B"/>
    <w:rsid w:val="000B7E0E"/>
    <w:rsid w:val="000C02F8"/>
    <w:rsid w:val="000C058E"/>
    <w:rsid w:val="000C0A86"/>
    <w:rsid w:val="000C0FBB"/>
    <w:rsid w:val="000C2785"/>
    <w:rsid w:val="000C2C25"/>
    <w:rsid w:val="000C2CCA"/>
    <w:rsid w:val="000C3183"/>
    <w:rsid w:val="000C3455"/>
    <w:rsid w:val="000C366C"/>
    <w:rsid w:val="000C4F32"/>
    <w:rsid w:val="000C5FF4"/>
    <w:rsid w:val="000C6CFE"/>
    <w:rsid w:val="000C77E7"/>
    <w:rsid w:val="000D07C9"/>
    <w:rsid w:val="000D143E"/>
    <w:rsid w:val="000D19FD"/>
    <w:rsid w:val="000D1BDB"/>
    <w:rsid w:val="000D372D"/>
    <w:rsid w:val="000D4687"/>
    <w:rsid w:val="000D4837"/>
    <w:rsid w:val="000D585F"/>
    <w:rsid w:val="000E0B57"/>
    <w:rsid w:val="000E243C"/>
    <w:rsid w:val="000E2AD2"/>
    <w:rsid w:val="000E314F"/>
    <w:rsid w:val="000E4091"/>
    <w:rsid w:val="000E411B"/>
    <w:rsid w:val="000E5E4F"/>
    <w:rsid w:val="000E79A3"/>
    <w:rsid w:val="000F11D1"/>
    <w:rsid w:val="000F14B9"/>
    <w:rsid w:val="000F296F"/>
    <w:rsid w:val="000F2C5C"/>
    <w:rsid w:val="000F3DEC"/>
    <w:rsid w:val="000F442C"/>
    <w:rsid w:val="000F5D1D"/>
    <w:rsid w:val="000F5EA2"/>
    <w:rsid w:val="000F6692"/>
    <w:rsid w:val="000F68D5"/>
    <w:rsid w:val="000F6C81"/>
    <w:rsid w:val="000F6CCD"/>
    <w:rsid w:val="000F7714"/>
    <w:rsid w:val="0010100C"/>
    <w:rsid w:val="001011C6"/>
    <w:rsid w:val="00101A71"/>
    <w:rsid w:val="00101B86"/>
    <w:rsid w:val="00101E49"/>
    <w:rsid w:val="0010272F"/>
    <w:rsid w:val="00102F1E"/>
    <w:rsid w:val="0010429F"/>
    <w:rsid w:val="00104ED3"/>
    <w:rsid w:val="00105317"/>
    <w:rsid w:val="001058AC"/>
    <w:rsid w:val="00105AA3"/>
    <w:rsid w:val="001063C0"/>
    <w:rsid w:val="00106797"/>
    <w:rsid w:val="001072CB"/>
    <w:rsid w:val="0010799C"/>
    <w:rsid w:val="00110B74"/>
    <w:rsid w:val="00111129"/>
    <w:rsid w:val="00112175"/>
    <w:rsid w:val="00115B12"/>
    <w:rsid w:val="001206BF"/>
    <w:rsid w:val="0012246F"/>
    <w:rsid w:val="00123518"/>
    <w:rsid w:val="00123ECB"/>
    <w:rsid w:val="00124EB9"/>
    <w:rsid w:val="00125060"/>
    <w:rsid w:val="00126304"/>
    <w:rsid w:val="00127721"/>
    <w:rsid w:val="00127869"/>
    <w:rsid w:val="00127C2F"/>
    <w:rsid w:val="00130248"/>
    <w:rsid w:val="00130D74"/>
    <w:rsid w:val="00132131"/>
    <w:rsid w:val="00132F92"/>
    <w:rsid w:val="00136261"/>
    <w:rsid w:val="00136832"/>
    <w:rsid w:val="001372D0"/>
    <w:rsid w:val="001375E1"/>
    <w:rsid w:val="00137EC2"/>
    <w:rsid w:val="00137FDB"/>
    <w:rsid w:val="00142277"/>
    <w:rsid w:val="001436A2"/>
    <w:rsid w:val="0014455A"/>
    <w:rsid w:val="00144E00"/>
    <w:rsid w:val="001477B1"/>
    <w:rsid w:val="001479D4"/>
    <w:rsid w:val="0015110B"/>
    <w:rsid w:val="001520D1"/>
    <w:rsid w:val="00152C63"/>
    <w:rsid w:val="00152EC8"/>
    <w:rsid w:val="001538F1"/>
    <w:rsid w:val="001546A2"/>
    <w:rsid w:val="0015498E"/>
    <w:rsid w:val="00156D74"/>
    <w:rsid w:val="00157A3D"/>
    <w:rsid w:val="00157D1A"/>
    <w:rsid w:val="001631E0"/>
    <w:rsid w:val="00163216"/>
    <w:rsid w:val="00164AE1"/>
    <w:rsid w:val="00171DE0"/>
    <w:rsid w:val="00172A27"/>
    <w:rsid w:val="0017340E"/>
    <w:rsid w:val="00173C6F"/>
    <w:rsid w:val="001746D1"/>
    <w:rsid w:val="00174AA5"/>
    <w:rsid w:val="001750F1"/>
    <w:rsid w:val="0017536C"/>
    <w:rsid w:val="00176B13"/>
    <w:rsid w:val="00177171"/>
    <w:rsid w:val="00177B5B"/>
    <w:rsid w:val="001805ED"/>
    <w:rsid w:val="001821A1"/>
    <w:rsid w:val="00182332"/>
    <w:rsid w:val="0018320C"/>
    <w:rsid w:val="001853BC"/>
    <w:rsid w:val="00185780"/>
    <w:rsid w:val="0018758E"/>
    <w:rsid w:val="00190F61"/>
    <w:rsid w:val="001915DB"/>
    <w:rsid w:val="00191F1C"/>
    <w:rsid w:val="00192364"/>
    <w:rsid w:val="001931F1"/>
    <w:rsid w:val="0019441F"/>
    <w:rsid w:val="00194CF1"/>
    <w:rsid w:val="001956FC"/>
    <w:rsid w:val="001957C8"/>
    <w:rsid w:val="0019591F"/>
    <w:rsid w:val="00196875"/>
    <w:rsid w:val="00196FE5"/>
    <w:rsid w:val="00197011"/>
    <w:rsid w:val="00197340"/>
    <w:rsid w:val="00197EF5"/>
    <w:rsid w:val="001A01B7"/>
    <w:rsid w:val="001A060A"/>
    <w:rsid w:val="001A1275"/>
    <w:rsid w:val="001A209F"/>
    <w:rsid w:val="001A3EC4"/>
    <w:rsid w:val="001A67B3"/>
    <w:rsid w:val="001B00A3"/>
    <w:rsid w:val="001B0473"/>
    <w:rsid w:val="001B0762"/>
    <w:rsid w:val="001B114A"/>
    <w:rsid w:val="001B1477"/>
    <w:rsid w:val="001B1D05"/>
    <w:rsid w:val="001B4A1D"/>
    <w:rsid w:val="001B548C"/>
    <w:rsid w:val="001B59C4"/>
    <w:rsid w:val="001B5DC7"/>
    <w:rsid w:val="001B626F"/>
    <w:rsid w:val="001B7290"/>
    <w:rsid w:val="001B77C2"/>
    <w:rsid w:val="001C0037"/>
    <w:rsid w:val="001C01F1"/>
    <w:rsid w:val="001C065D"/>
    <w:rsid w:val="001C2A3D"/>
    <w:rsid w:val="001C2AD8"/>
    <w:rsid w:val="001C2D90"/>
    <w:rsid w:val="001C3896"/>
    <w:rsid w:val="001C3A85"/>
    <w:rsid w:val="001C4077"/>
    <w:rsid w:val="001C4184"/>
    <w:rsid w:val="001C4A67"/>
    <w:rsid w:val="001C4A82"/>
    <w:rsid w:val="001C65B0"/>
    <w:rsid w:val="001D097D"/>
    <w:rsid w:val="001D0E26"/>
    <w:rsid w:val="001D114E"/>
    <w:rsid w:val="001D2A79"/>
    <w:rsid w:val="001D30C3"/>
    <w:rsid w:val="001D3DC2"/>
    <w:rsid w:val="001D4C86"/>
    <w:rsid w:val="001D4F31"/>
    <w:rsid w:val="001D50B6"/>
    <w:rsid w:val="001D6004"/>
    <w:rsid w:val="001D61AB"/>
    <w:rsid w:val="001D7389"/>
    <w:rsid w:val="001E03B2"/>
    <w:rsid w:val="001E11CC"/>
    <w:rsid w:val="001E14FD"/>
    <w:rsid w:val="001E1BEB"/>
    <w:rsid w:val="001E260C"/>
    <w:rsid w:val="001E2C8D"/>
    <w:rsid w:val="001E3122"/>
    <w:rsid w:val="001E368A"/>
    <w:rsid w:val="001E4C1B"/>
    <w:rsid w:val="001E600A"/>
    <w:rsid w:val="001E6267"/>
    <w:rsid w:val="001E679B"/>
    <w:rsid w:val="001E7321"/>
    <w:rsid w:val="001F0C52"/>
    <w:rsid w:val="001F0C73"/>
    <w:rsid w:val="001F13C0"/>
    <w:rsid w:val="001F1791"/>
    <w:rsid w:val="001F342C"/>
    <w:rsid w:val="001F3AAE"/>
    <w:rsid w:val="001F48F0"/>
    <w:rsid w:val="001F4F3A"/>
    <w:rsid w:val="001F55AE"/>
    <w:rsid w:val="001F5B19"/>
    <w:rsid w:val="001F62A5"/>
    <w:rsid w:val="002007D7"/>
    <w:rsid w:val="0020087F"/>
    <w:rsid w:val="00200F18"/>
    <w:rsid w:val="002010E0"/>
    <w:rsid w:val="0020110B"/>
    <w:rsid w:val="00201338"/>
    <w:rsid w:val="00202D9A"/>
    <w:rsid w:val="00203232"/>
    <w:rsid w:val="00204101"/>
    <w:rsid w:val="00206A13"/>
    <w:rsid w:val="00206AC3"/>
    <w:rsid w:val="002100D9"/>
    <w:rsid w:val="00210B6B"/>
    <w:rsid w:val="00212C7E"/>
    <w:rsid w:val="00214626"/>
    <w:rsid w:val="002147B2"/>
    <w:rsid w:val="00214B00"/>
    <w:rsid w:val="00214E6B"/>
    <w:rsid w:val="00216353"/>
    <w:rsid w:val="00216B33"/>
    <w:rsid w:val="00216CB6"/>
    <w:rsid w:val="00216D5A"/>
    <w:rsid w:val="0022042C"/>
    <w:rsid w:val="00220D3F"/>
    <w:rsid w:val="00221547"/>
    <w:rsid w:val="002218C9"/>
    <w:rsid w:val="00221BFF"/>
    <w:rsid w:val="002225F2"/>
    <w:rsid w:val="00222F3C"/>
    <w:rsid w:val="002238DB"/>
    <w:rsid w:val="00226721"/>
    <w:rsid w:val="00226A33"/>
    <w:rsid w:val="00226F42"/>
    <w:rsid w:val="00230D16"/>
    <w:rsid w:val="002314AD"/>
    <w:rsid w:val="0023184A"/>
    <w:rsid w:val="00231A8C"/>
    <w:rsid w:val="0023321F"/>
    <w:rsid w:val="00234588"/>
    <w:rsid w:val="00234EEE"/>
    <w:rsid w:val="00235930"/>
    <w:rsid w:val="002369D4"/>
    <w:rsid w:val="00242B95"/>
    <w:rsid w:val="0024324E"/>
    <w:rsid w:val="0024344D"/>
    <w:rsid w:val="0024360E"/>
    <w:rsid w:val="002438C3"/>
    <w:rsid w:val="0024416E"/>
    <w:rsid w:val="00244352"/>
    <w:rsid w:val="002454B9"/>
    <w:rsid w:val="00245D18"/>
    <w:rsid w:val="00246C33"/>
    <w:rsid w:val="00247647"/>
    <w:rsid w:val="00247A12"/>
    <w:rsid w:val="00254475"/>
    <w:rsid w:val="00254A82"/>
    <w:rsid w:val="00254CCC"/>
    <w:rsid w:val="00254F5C"/>
    <w:rsid w:val="0025563C"/>
    <w:rsid w:val="00255FBD"/>
    <w:rsid w:val="0025756F"/>
    <w:rsid w:val="002606B0"/>
    <w:rsid w:val="002617E8"/>
    <w:rsid w:val="00261864"/>
    <w:rsid w:val="002619F6"/>
    <w:rsid w:val="00261D0D"/>
    <w:rsid w:val="00262BEC"/>
    <w:rsid w:val="002640CE"/>
    <w:rsid w:val="00264225"/>
    <w:rsid w:val="002649E3"/>
    <w:rsid w:val="00264D02"/>
    <w:rsid w:val="00264E69"/>
    <w:rsid w:val="00266945"/>
    <w:rsid w:val="002712F8"/>
    <w:rsid w:val="00271593"/>
    <w:rsid w:val="00271DD4"/>
    <w:rsid w:val="0027242D"/>
    <w:rsid w:val="002724EB"/>
    <w:rsid w:val="00272BA9"/>
    <w:rsid w:val="002730EF"/>
    <w:rsid w:val="0027400C"/>
    <w:rsid w:val="00274143"/>
    <w:rsid w:val="00275400"/>
    <w:rsid w:val="00275423"/>
    <w:rsid w:val="002770FB"/>
    <w:rsid w:val="0027787E"/>
    <w:rsid w:val="00277FDC"/>
    <w:rsid w:val="002806A7"/>
    <w:rsid w:val="002810A8"/>
    <w:rsid w:val="00281214"/>
    <w:rsid w:val="002818AF"/>
    <w:rsid w:val="00282443"/>
    <w:rsid w:val="00283943"/>
    <w:rsid w:val="00283A1B"/>
    <w:rsid w:val="00283D5D"/>
    <w:rsid w:val="002842F8"/>
    <w:rsid w:val="00284C0A"/>
    <w:rsid w:val="002853BC"/>
    <w:rsid w:val="00285F2D"/>
    <w:rsid w:val="002863C9"/>
    <w:rsid w:val="00286ABD"/>
    <w:rsid w:val="00287605"/>
    <w:rsid w:val="002900D1"/>
    <w:rsid w:val="002918EA"/>
    <w:rsid w:val="0029272C"/>
    <w:rsid w:val="00292DCC"/>
    <w:rsid w:val="00294CE4"/>
    <w:rsid w:val="002953E9"/>
    <w:rsid w:val="00295ABA"/>
    <w:rsid w:val="00295D4E"/>
    <w:rsid w:val="0029627B"/>
    <w:rsid w:val="0029641B"/>
    <w:rsid w:val="00296788"/>
    <w:rsid w:val="00297BFD"/>
    <w:rsid w:val="002A132A"/>
    <w:rsid w:val="002A1E1D"/>
    <w:rsid w:val="002A2461"/>
    <w:rsid w:val="002A2660"/>
    <w:rsid w:val="002A28C7"/>
    <w:rsid w:val="002A3C37"/>
    <w:rsid w:val="002A4353"/>
    <w:rsid w:val="002A4E27"/>
    <w:rsid w:val="002A6F4F"/>
    <w:rsid w:val="002A7149"/>
    <w:rsid w:val="002A7F57"/>
    <w:rsid w:val="002B072D"/>
    <w:rsid w:val="002B0C7C"/>
    <w:rsid w:val="002B0F19"/>
    <w:rsid w:val="002B10CA"/>
    <w:rsid w:val="002B15EE"/>
    <w:rsid w:val="002B17A7"/>
    <w:rsid w:val="002B1FB9"/>
    <w:rsid w:val="002B4557"/>
    <w:rsid w:val="002B4832"/>
    <w:rsid w:val="002B4F8C"/>
    <w:rsid w:val="002B5498"/>
    <w:rsid w:val="002B5503"/>
    <w:rsid w:val="002B618C"/>
    <w:rsid w:val="002B620C"/>
    <w:rsid w:val="002B6C79"/>
    <w:rsid w:val="002B6F98"/>
    <w:rsid w:val="002B7A77"/>
    <w:rsid w:val="002C03D1"/>
    <w:rsid w:val="002C069C"/>
    <w:rsid w:val="002C0915"/>
    <w:rsid w:val="002C0A53"/>
    <w:rsid w:val="002C0D93"/>
    <w:rsid w:val="002C0F68"/>
    <w:rsid w:val="002C1C5D"/>
    <w:rsid w:val="002C3306"/>
    <w:rsid w:val="002C6B42"/>
    <w:rsid w:val="002C6FCF"/>
    <w:rsid w:val="002C70EB"/>
    <w:rsid w:val="002C7A91"/>
    <w:rsid w:val="002C7E7F"/>
    <w:rsid w:val="002C7F05"/>
    <w:rsid w:val="002D01DF"/>
    <w:rsid w:val="002D09DD"/>
    <w:rsid w:val="002D0F16"/>
    <w:rsid w:val="002D2457"/>
    <w:rsid w:val="002D2D19"/>
    <w:rsid w:val="002D3999"/>
    <w:rsid w:val="002D3AF3"/>
    <w:rsid w:val="002D419F"/>
    <w:rsid w:val="002D69D0"/>
    <w:rsid w:val="002D6AC5"/>
    <w:rsid w:val="002D743A"/>
    <w:rsid w:val="002D76B2"/>
    <w:rsid w:val="002D787C"/>
    <w:rsid w:val="002E09B5"/>
    <w:rsid w:val="002E121C"/>
    <w:rsid w:val="002E1875"/>
    <w:rsid w:val="002E2A41"/>
    <w:rsid w:val="002E2ADE"/>
    <w:rsid w:val="002E465F"/>
    <w:rsid w:val="002E4C0A"/>
    <w:rsid w:val="002E4FCA"/>
    <w:rsid w:val="002E5A89"/>
    <w:rsid w:val="002E6954"/>
    <w:rsid w:val="002E70B9"/>
    <w:rsid w:val="002E7393"/>
    <w:rsid w:val="002F0046"/>
    <w:rsid w:val="002F03A4"/>
    <w:rsid w:val="002F04C1"/>
    <w:rsid w:val="002F22B1"/>
    <w:rsid w:val="002F2A9C"/>
    <w:rsid w:val="002F47FA"/>
    <w:rsid w:val="002F4ECE"/>
    <w:rsid w:val="002F5471"/>
    <w:rsid w:val="002F560D"/>
    <w:rsid w:val="002F56B1"/>
    <w:rsid w:val="002F589D"/>
    <w:rsid w:val="002F5B17"/>
    <w:rsid w:val="002F5F07"/>
    <w:rsid w:val="002F63ED"/>
    <w:rsid w:val="002F6FFD"/>
    <w:rsid w:val="002F76FC"/>
    <w:rsid w:val="002F7B0B"/>
    <w:rsid w:val="00300F5E"/>
    <w:rsid w:val="00303491"/>
    <w:rsid w:val="003058E6"/>
    <w:rsid w:val="00305F95"/>
    <w:rsid w:val="00305FDE"/>
    <w:rsid w:val="00306EB0"/>
    <w:rsid w:val="00306EC4"/>
    <w:rsid w:val="00306F0F"/>
    <w:rsid w:val="00307742"/>
    <w:rsid w:val="003101AD"/>
    <w:rsid w:val="00310F77"/>
    <w:rsid w:val="00312032"/>
    <w:rsid w:val="00313203"/>
    <w:rsid w:val="0031332F"/>
    <w:rsid w:val="0031588C"/>
    <w:rsid w:val="00315DE2"/>
    <w:rsid w:val="0031630F"/>
    <w:rsid w:val="00317574"/>
    <w:rsid w:val="0032260F"/>
    <w:rsid w:val="0032467E"/>
    <w:rsid w:val="00324FB3"/>
    <w:rsid w:val="003251E0"/>
    <w:rsid w:val="0032546E"/>
    <w:rsid w:val="00327F69"/>
    <w:rsid w:val="00330E0A"/>
    <w:rsid w:val="00331601"/>
    <w:rsid w:val="00331B6B"/>
    <w:rsid w:val="00331F4F"/>
    <w:rsid w:val="0033286B"/>
    <w:rsid w:val="00334652"/>
    <w:rsid w:val="00334912"/>
    <w:rsid w:val="00334E57"/>
    <w:rsid w:val="00334EA8"/>
    <w:rsid w:val="00336FB7"/>
    <w:rsid w:val="00337843"/>
    <w:rsid w:val="00340BAC"/>
    <w:rsid w:val="00340FC2"/>
    <w:rsid w:val="003418E9"/>
    <w:rsid w:val="00341EBE"/>
    <w:rsid w:val="003426C2"/>
    <w:rsid w:val="00342B44"/>
    <w:rsid w:val="00342CE1"/>
    <w:rsid w:val="00342D0D"/>
    <w:rsid w:val="00343FE4"/>
    <w:rsid w:val="00343FF3"/>
    <w:rsid w:val="00345340"/>
    <w:rsid w:val="00347C5C"/>
    <w:rsid w:val="0035075D"/>
    <w:rsid w:val="003507E8"/>
    <w:rsid w:val="0035129F"/>
    <w:rsid w:val="00351D4E"/>
    <w:rsid w:val="003531B3"/>
    <w:rsid w:val="00354FDF"/>
    <w:rsid w:val="00355EDC"/>
    <w:rsid w:val="003563C3"/>
    <w:rsid w:val="00357630"/>
    <w:rsid w:val="00357641"/>
    <w:rsid w:val="00357F56"/>
    <w:rsid w:val="00360553"/>
    <w:rsid w:val="00360EAF"/>
    <w:rsid w:val="00361D0D"/>
    <w:rsid w:val="00362DE1"/>
    <w:rsid w:val="00363186"/>
    <w:rsid w:val="00363E52"/>
    <w:rsid w:val="0036488E"/>
    <w:rsid w:val="00364C08"/>
    <w:rsid w:val="003653E2"/>
    <w:rsid w:val="003657AD"/>
    <w:rsid w:val="00365C1B"/>
    <w:rsid w:val="0036779B"/>
    <w:rsid w:val="00371BFD"/>
    <w:rsid w:val="003727C8"/>
    <w:rsid w:val="00372CA7"/>
    <w:rsid w:val="00372D79"/>
    <w:rsid w:val="00373315"/>
    <w:rsid w:val="00373DB5"/>
    <w:rsid w:val="00374610"/>
    <w:rsid w:val="00374A86"/>
    <w:rsid w:val="00374C21"/>
    <w:rsid w:val="00374CBA"/>
    <w:rsid w:val="0037525C"/>
    <w:rsid w:val="00376479"/>
    <w:rsid w:val="00377544"/>
    <w:rsid w:val="00380253"/>
    <w:rsid w:val="003805C9"/>
    <w:rsid w:val="00380ACF"/>
    <w:rsid w:val="0038179C"/>
    <w:rsid w:val="00381CC4"/>
    <w:rsid w:val="003855FC"/>
    <w:rsid w:val="003859FE"/>
    <w:rsid w:val="0038621F"/>
    <w:rsid w:val="00387096"/>
    <w:rsid w:val="00387A0B"/>
    <w:rsid w:val="00390707"/>
    <w:rsid w:val="0039168B"/>
    <w:rsid w:val="0039218D"/>
    <w:rsid w:val="00392D38"/>
    <w:rsid w:val="003938C4"/>
    <w:rsid w:val="0039394C"/>
    <w:rsid w:val="003942B2"/>
    <w:rsid w:val="00394DC0"/>
    <w:rsid w:val="003950A6"/>
    <w:rsid w:val="00395968"/>
    <w:rsid w:val="003959BC"/>
    <w:rsid w:val="00396421"/>
    <w:rsid w:val="00397D2B"/>
    <w:rsid w:val="003A1E6F"/>
    <w:rsid w:val="003A39BC"/>
    <w:rsid w:val="003A415D"/>
    <w:rsid w:val="003A45BB"/>
    <w:rsid w:val="003A4839"/>
    <w:rsid w:val="003A5210"/>
    <w:rsid w:val="003A5712"/>
    <w:rsid w:val="003A596F"/>
    <w:rsid w:val="003A5C4F"/>
    <w:rsid w:val="003A680E"/>
    <w:rsid w:val="003A6C7C"/>
    <w:rsid w:val="003B0333"/>
    <w:rsid w:val="003B0BFE"/>
    <w:rsid w:val="003B28FB"/>
    <w:rsid w:val="003B295A"/>
    <w:rsid w:val="003B2D37"/>
    <w:rsid w:val="003B3B88"/>
    <w:rsid w:val="003B3F99"/>
    <w:rsid w:val="003B5B7A"/>
    <w:rsid w:val="003B5F45"/>
    <w:rsid w:val="003B6D70"/>
    <w:rsid w:val="003B6E71"/>
    <w:rsid w:val="003B6F06"/>
    <w:rsid w:val="003B7B25"/>
    <w:rsid w:val="003C0066"/>
    <w:rsid w:val="003C0891"/>
    <w:rsid w:val="003C24DA"/>
    <w:rsid w:val="003C29FB"/>
    <w:rsid w:val="003C2DA8"/>
    <w:rsid w:val="003C3D8E"/>
    <w:rsid w:val="003C42D1"/>
    <w:rsid w:val="003C4EA6"/>
    <w:rsid w:val="003C5805"/>
    <w:rsid w:val="003C601B"/>
    <w:rsid w:val="003C6118"/>
    <w:rsid w:val="003C6B3A"/>
    <w:rsid w:val="003D0338"/>
    <w:rsid w:val="003D094E"/>
    <w:rsid w:val="003D26A6"/>
    <w:rsid w:val="003D27B0"/>
    <w:rsid w:val="003D2A0F"/>
    <w:rsid w:val="003D2AA3"/>
    <w:rsid w:val="003D44D8"/>
    <w:rsid w:val="003D6901"/>
    <w:rsid w:val="003D7181"/>
    <w:rsid w:val="003D725E"/>
    <w:rsid w:val="003D7BA2"/>
    <w:rsid w:val="003D7EB9"/>
    <w:rsid w:val="003E01F0"/>
    <w:rsid w:val="003E03FA"/>
    <w:rsid w:val="003E156A"/>
    <w:rsid w:val="003E1AD0"/>
    <w:rsid w:val="003E2438"/>
    <w:rsid w:val="003E2A33"/>
    <w:rsid w:val="003E4A18"/>
    <w:rsid w:val="003E4B21"/>
    <w:rsid w:val="003E5F0E"/>
    <w:rsid w:val="003E677D"/>
    <w:rsid w:val="003F0691"/>
    <w:rsid w:val="003F0FB8"/>
    <w:rsid w:val="003F24E1"/>
    <w:rsid w:val="003F354F"/>
    <w:rsid w:val="003F4135"/>
    <w:rsid w:val="003F6049"/>
    <w:rsid w:val="003F781F"/>
    <w:rsid w:val="003F7C44"/>
    <w:rsid w:val="003F7FC3"/>
    <w:rsid w:val="00400DE9"/>
    <w:rsid w:val="00401B09"/>
    <w:rsid w:val="00401FD2"/>
    <w:rsid w:val="00402C1F"/>
    <w:rsid w:val="00404283"/>
    <w:rsid w:val="0040446E"/>
    <w:rsid w:val="00404C2F"/>
    <w:rsid w:val="004062BB"/>
    <w:rsid w:val="0040741B"/>
    <w:rsid w:val="00407B50"/>
    <w:rsid w:val="004104E7"/>
    <w:rsid w:val="00411391"/>
    <w:rsid w:val="00411415"/>
    <w:rsid w:val="00411E1A"/>
    <w:rsid w:val="00413E16"/>
    <w:rsid w:val="00414E5F"/>
    <w:rsid w:val="004156BA"/>
    <w:rsid w:val="00415C83"/>
    <w:rsid w:val="00417DD5"/>
    <w:rsid w:val="0042071C"/>
    <w:rsid w:val="0042175A"/>
    <w:rsid w:val="00421D9B"/>
    <w:rsid w:val="00421E5A"/>
    <w:rsid w:val="00422146"/>
    <w:rsid w:val="00422C9E"/>
    <w:rsid w:val="004245AD"/>
    <w:rsid w:val="00425481"/>
    <w:rsid w:val="0042643B"/>
    <w:rsid w:val="00427AD2"/>
    <w:rsid w:val="004300B5"/>
    <w:rsid w:val="00430244"/>
    <w:rsid w:val="00430924"/>
    <w:rsid w:val="00430969"/>
    <w:rsid w:val="00431691"/>
    <w:rsid w:val="004317DD"/>
    <w:rsid w:val="00431E00"/>
    <w:rsid w:val="00432E96"/>
    <w:rsid w:val="004338E4"/>
    <w:rsid w:val="00433D42"/>
    <w:rsid w:val="00434597"/>
    <w:rsid w:val="0043498C"/>
    <w:rsid w:val="00434DEF"/>
    <w:rsid w:val="004355D5"/>
    <w:rsid w:val="004364FF"/>
    <w:rsid w:val="004366FC"/>
    <w:rsid w:val="00436B1B"/>
    <w:rsid w:val="00436B9C"/>
    <w:rsid w:val="004379FF"/>
    <w:rsid w:val="00437C02"/>
    <w:rsid w:val="00437C70"/>
    <w:rsid w:val="00440D22"/>
    <w:rsid w:val="00440D4C"/>
    <w:rsid w:val="00441793"/>
    <w:rsid w:val="004422DD"/>
    <w:rsid w:val="00444637"/>
    <w:rsid w:val="00445879"/>
    <w:rsid w:val="00445D7F"/>
    <w:rsid w:val="00445F68"/>
    <w:rsid w:val="00446D34"/>
    <w:rsid w:val="004470E3"/>
    <w:rsid w:val="00447E47"/>
    <w:rsid w:val="004512F2"/>
    <w:rsid w:val="00451A06"/>
    <w:rsid w:val="00452204"/>
    <w:rsid w:val="00452DE8"/>
    <w:rsid w:val="00452F4F"/>
    <w:rsid w:val="004533FB"/>
    <w:rsid w:val="0045413A"/>
    <w:rsid w:val="00454857"/>
    <w:rsid w:val="004548A8"/>
    <w:rsid w:val="00454A57"/>
    <w:rsid w:val="00454CA5"/>
    <w:rsid w:val="0045504E"/>
    <w:rsid w:val="0045525F"/>
    <w:rsid w:val="004554AC"/>
    <w:rsid w:val="00455D9D"/>
    <w:rsid w:val="0045717F"/>
    <w:rsid w:val="004574CF"/>
    <w:rsid w:val="00460F69"/>
    <w:rsid w:val="00461160"/>
    <w:rsid w:val="004615A4"/>
    <w:rsid w:val="00461BFD"/>
    <w:rsid w:val="00461E70"/>
    <w:rsid w:val="0046271D"/>
    <w:rsid w:val="00464E52"/>
    <w:rsid w:val="00466756"/>
    <w:rsid w:val="004700C2"/>
    <w:rsid w:val="00470474"/>
    <w:rsid w:val="00470CF5"/>
    <w:rsid w:val="004717F1"/>
    <w:rsid w:val="0047470B"/>
    <w:rsid w:val="00474720"/>
    <w:rsid w:val="00475A58"/>
    <w:rsid w:val="00475E1C"/>
    <w:rsid w:val="004773DF"/>
    <w:rsid w:val="00477ABE"/>
    <w:rsid w:val="0048001B"/>
    <w:rsid w:val="004801BB"/>
    <w:rsid w:val="00480237"/>
    <w:rsid w:val="0048146E"/>
    <w:rsid w:val="00481972"/>
    <w:rsid w:val="00481DFC"/>
    <w:rsid w:val="00481E5F"/>
    <w:rsid w:val="00482099"/>
    <w:rsid w:val="0048346C"/>
    <w:rsid w:val="0048363E"/>
    <w:rsid w:val="00483E7C"/>
    <w:rsid w:val="004840DC"/>
    <w:rsid w:val="004840F0"/>
    <w:rsid w:val="004847FB"/>
    <w:rsid w:val="00484829"/>
    <w:rsid w:val="00484C78"/>
    <w:rsid w:val="00485021"/>
    <w:rsid w:val="0048533B"/>
    <w:rsid w:val="00485D74"/>
    <w:rsid w:val="0048726C"/>
    <w:rsid w:val="00490FFD"/>
    <w:rsid w:val="0049122A"/>
    <w:rsid w:val="00491A5D"/>
    <w:rsid w:val="00491FAC"/>
    <w:rsid w:val="004922B2"/>
    <w:rsid w:val="00492C28"/>
    <w:rsid w:val="00493137"/>
    <w:rsid w:val="00493A5E"/>
    <w:rsid w:val="00493A63"/>
    <w:rsid w:val="0049410D"/>
    <w:rsid w:val="00494EFE"/>
    <w:rsid w:val="004952F8"/>
    <w:rsid w:val="00496478"/>
    <w:rsid w:val="004972DF"/>
    <w:rsid w:val="00497654"/>
    <w:rsid w:val="004A28CD"/>
    <w:rsid w:val="004A3E78"/>
    <w:rsid w:val="004A4AA2"/>
    <w:rsid w:val="004A72B5"/>
    <w:rsid w:val="004A7EDF"/>
    <w:rsid w:val="004B065D"/>
    <w:rsid w:val="004B0CC4"/>
    <w:rsid w:val="004B16F4"/>
    <w:rsid w:val="004B1ABD"/>
    <w:rsid w:val="004B1C00"/>
    <w:rsid w:val="004B1D16"/>
    <w:rsid w:val="004B1FA7"/>
    <w:rsid w:val="004B1FD4"/>
    <w:rsid w:val="004B37D6"/>
    <w:rsid w:val="004B4FE0"/>
    <w:rsid w:val="004B6E9E"/>
    <w:rsid w:val="004C00B6"/>
    <w:rsid w:val="004C0815"/>
    <w:rsid w:val="004C1D9F"/>
    <w:rsid w:val="004C1F06"/>
    <w:rsid w:val="004C330A"/>
    <w:rsid w:val="004C3658"/>
    <w:rsid w:val="004C441B"/>
    <w:rsid w:val="004C52BD"/>
    <w:rsid w:val="004C575F"/>
    <w:rsid w:val="004C63F2"/>
    <w:rsid w:val="004C6B18"/>
    <w:rsid w:val="004D11E6"/>
    <w:rsid w:val="004D220B"/>
    <w:rsid w:val="004D56FD"/>
    <w:rsid w:val="004D66F9"/>
    <w:rsid w:val="004D6F15"/>
    <w:rsid w:val="004E0041"/>
    <w:rsid w:val="004E0169"/>
    <w:rsid w:val="004E07BD"/>
    <w:rsid w:val="004E14E8"/>
    <w:rsid w:val="004E179C"/>
    <w:rsid w:val="004E2A50"/>
    <w:rsid w:val="004E322B"/>
    <w:rsid w:val="004E46EB"/>
    <w:rsid w:val="004E4A38"/>
    <w:rsid w:val="004E4B20"/>
    <w:rsid w:val="004E4BD4"/>
    <w:rsid w:val="004E4CD7"/>
    <w:rsid w:val="004E5293"/>
    <w:rsid w:val="004E5EF2"/>
    <w:rsid w:val="004E65BD"/>
    <w:rsid w:val="004E66D7"/>
    <w:rsid w:val="004E6A3D"/>
    <w:rsid w:val="004E6C65"/>
    <w:rsid w:val="004F08FD"/>
    <w:rsid w:val="004F15B7"/>
    <w:rsid w:val="004F1A01"/>
    <w:rsid w:val="004F3809"/>
    <w:rsid w:val="004F3CC5"/>
    <w:rsid w:val="004F3F7B"/>
    <w:rsid w:val="004F47D4"/>
    <w:rsid w:val="004F4DD4"/>
    <w:rsid w:val="004F564C"/>
    <w:rsid w:val="004F5D35"/>
    <w:rsid w:val="004F6FE8"/>
    <w:rsid w:val="004F74D1"/>
    <w:rsid w:val="004F75F8"/>
    <w:rsid w:val="004F7B29"/>
    <w:rsid w:val="00500068"/>
    <w:rsid w:val="0050048D"/>
    <w:rsid w:val="00500564"/>
    <w:rsid w:val="005009B1"/>
    <w:rsid w:val="00500A31"/>
    <w:rsid w:val="005013BB"/>
    <w:rsid w:val="005028B0"/>
    <w:rsid w:val="00502BB4"/>
    <w:rsid w:val="005037DA"/>
    <w:rsid w:val="00506D4E"/>
    <w:rsid w:val="00506E79"/>
    <w:rsid w:val="005076B4"/>
    <w:rsid w:val="00507EB3"/>
    <w:rsid w:val="0051029F"/>
    <w:rsid w:val="00511B7A"/>
    <w:rsid w:val="00511E37"/>
    <w:rsid w:val="00512087"/>
    <w:rsid w:val="00512A27"/>
    <w:rsid w:val="00512AA3"/>
    <w:rsid w:val="0051367B"/>
    <w:rsid w:val="0051543C"/>
    <w:rsid w:val="00515E28"/>
    <w:rsid w:val="00516293"/>
    <w:rsid w:val="005176A2"/>
    <w:rsid w:val="00517A86"/>
    <w:rsid w:val="0052182D"/>
    <w:rsid w:val="00521940"/>
    <w:rsid w:val="005230E7"/>
    <w:rsid w:val="0052522F"/>
    <w:rsid w:val="0052564F"/>
    <w:rsid w:val="0052608D"/>
    <w:rsid w:val="0052712A"/>
    <w:rsid w:val="00527202"/>
    <w:rsid w:val="005306BD"/>
    <w:rsid w:val="00530CF0"/>
    <w:rsid w:val="00531225"/>
    <w:rsid w:val="00532546"/>
    <w:rsid w:val="00532E0F"/>
    <w:rsid w:val="005337BF"/>
    <w:rsid w:val="00533F89"/>
    <w:rsid w:val="00534923"/>
    <w:rsid w:val="00534939"/>
    <w:rsid w:val="0053530E"/>
    <w:rsid w:val="00535DF2"/>
    <w:rsid w:val="00536BB1"/>
    <w:rsid w:val="00537431"/>
    <w:rsid w:val="005379A9"/>
    <w:rsid w:val="00542224"/>
    <w:rsid w:val="00542C80"/>
    <w:rsid w:val="00543416"/>
    <w:rsid w:val="005443AE"/>
    <w:rsid w:val="005456B2"/>
    <w:rsid w:val="00546A29"/>
    <w:rsid w:val="00546B88"/>
    <w:rsid w:val="00547D5B"/>
    <w:rsid w:val="0055057D"/>
    <w:rsid w:val="005518D8"/>
    <w:rsid w:val="00551EEB"/>
    <w:rsid w:val="00552E3B"/>
    <w:rsid w:val="00554D5C"/>
    <w:rsid w:val="0055594C"/>
    <w:rsid w:val="005565E9"/>
    <w:rsid w:val="005568E8"/>
    <w:rsid w:val="00557226"/>
    <w:rsid w:val="0055782C"/>
    <w:rsid w:val="005603D9"/>
    <w:rsid w:val="0056070A"/>
    <w:rsid w:val="005612AB"/>
    <w:rsid w:val="00563B8C"/>
    <w:rsid w:val="00564896"/>
    <w:rsid w:val="0056531C"/>
    <w:rsid w:val="0056556A"/>
    <w:rsid w:val="00566401"/>
    <w:rsid w:val="00566877"/>
    <w:rsid w:val="005671B3"/>
    <w:rsid w:val="00567BAE"/>
    <w:rsid w:val="00567E0F"/>
    <w:rsid w:val="00570616"/>
    <w:rsid w:val="00570819"/>
    <w:rsid w:val="0057172E"/>
    <w:rsid w:val="0057245A"/>
    <w:rsid w:val="00573053"/>
    <w:rsid w:val="005732F3"/>
    <w:rsid w:val="00574116"/>
    <w:rsid w:val="00576F4C"/>
    <w:rsid w:val="00577DE3"/>
    <w:rsid w:val="00577E6E"/>
    <w:rsid w:val="00580387"/>
    <w:rsid w:val="0058046B"/>
    <w:rsid w:val="005804AE"/>
    <w:rsid w:val="005818E9"/>
    <w:rsid w:val="00581ECB"/>
    <w:rsid w:val="00582363"/>
    <w:rsid w:val="0058283B"/>
    <w:rsid w:val="00583F36"/>
    <w:rsid w:val="005860B9"/>
    <w:rsid w:val="00586752"/>
    <w:rsid w:val="005869E5"/>
    <w:rsid w:val="00586A58"/>
    <w:rsid w:val="00590E4F"/>
    <w:rsid w:val="00591426"/>
    <w:rsid w:val="00592DD5"/>
    <w:rsid w:val="00593017"/>
    <w:rsid w:val="00593789"/>
    <w:rsid w:val="005939CC"/>
    <w:rsid w:val="00593B81"/>
    <w:rsid w:val="005948BA"/>
    <w:rsid w:val="005952E5"/>
    <w:rsid w:val="005966C8"/>
    <w:rsid w:val="00596E3B"/>
    <w:rsid w:val="005A085A"/>
    <w:rsid w:val="005A127B"/>
    <w:rsid w:val="005A25C8"/>
    <w:rsid w:val="005A2F3A"/>
    <w:rsid w:val="005A3160"/>
    <w:rsid w:val="005A43D0"/>
    <w:rsid w:val="005A5626"/>
    <w:rsid w:val="005A612D"/>
    <w:rsid w:val="005A61B3"/>
    <w:rsid w:val="005A62CB"/>
    <w:rsid w:val="005A69E1"/>
    <w:rsid w:val="005A6EA4"/>
    <w:rsid w:val="005A6F6D"/>
    <w:rsid w:val="005B0AD1"/>
    <w:rsid w:val="005B1947"/>
    <w:rsid w:val="005B26FE"/>
    <w:rsid w:val="005B2B79"/>
    <w:rsid w:val="005B35E5"/>
    <w:rsid w:val="005B373B"/>
    <w:rsid w:val="005B4D61"/>
    <w:rsid w:val="005B5BEE"/>
    <w:rsid w:val="005B698D"/>
    <w:rsid w:val="005B6F92"/>
    <w:rsid w:val="005B7023"/>
    <w:rsid w:val="005B73A0"/>
    <w:rsid w:val="005B7535"/>
    <w:rsid w:val="005C1A40"/>
    <w:rsid w:val="005C2025"/>
    <w:rsid w:val="005C264A"/>
    <w:rsid w:val="005C3401"/>
    <w:rsid w:val="005C5048"/>
    <w:rsid w:val="005C6B22"/>
    <w:rsid w:val="005C7C5B"/>
    <w:rsid w:val="005D0505"/>
    <w:rsid w:val="005D177A"/>
    <w:rsid w:val="005D1E40"/>
    <w:rsid w:val="005D357A"/>
    <w:rsid w:val="005D40A6"/>
    <w:rsid w:val="005D5091"/>
    <w:rsid w:val="005D59AB"/>
    <w:rsid w:val="005D5ADE"/>
    <w:rsid w:val="005D6149"/>
    <w:rsid w:val="005E1A0B"/>
    <w:rsid w:val="005E26C1"/>
    <w:rsid w:val="005E2A50"/>
    <w:rsid w:val="005E2C04"/>
    <w:rsid w:val="005E2E60"/>
    <w:rsid w:val="005E30BF"/>
    <w:rsid w:val="005E30DC"/>
    <w:rsid w:val="005E3274"/>
    <w:rsid w:val="005E48B6"/>
    <w:rsid w:val="005E6C42"/>
    <w:rsid w:val="005E720D"/>
    <w:rsid w:val="005E7B2B"/>
    <w:rsid w:val="005F2610"/>
    <w:rsid w:val="005F3002"/>
    <w:rsid w:val="005F3710"/>
    <w:rsid w:val="005F532D"/>
    <w:rsid w:val="005F5560"/>
    <w:rsid w:val="005F65CD"/>
    <w:rsid w:val="005F68FB"/>
    <w:rsid w:val="005F76F8"/>
    <w:rsid w:val="005F781D"/>
    <w:rsid w:val="005F7ED4"/>
    <w:rsid w:val="006005D1"/>
    <w:rsid w:val="00601467"/>
    <w:rsid w:val="00602904"/>
    <w:rsid w:val="0060352F"/>
    <w:rsid w:val="00603F53"/>
    <w:rsid w:val="00605713"/>
    <w:rsid w:val="00605946"/>
    <w:rsid w:val="00605C82"/>
    <w:rsid w:val="00605C85"/>
    <w:rsid w:val="00606FB0"/>
    <w:rsid w:val="006126D6"/>
    <w:rsid w:val="00612792"/>
    <w:rsid w:val="00613410"/>
    <w:rsid w:val="00614E77"/>
    <w:rsid w:val="00615151"/>
    <w:rsid w:val="00615716"/>
    <w:rsid w:val="00615DFE"/>
    <w:rsid w:val="0061608D"/>
    <w:rsid w:val="0061680D"/>
    <w:rsid w:val="006173D9"/>
    <w:rsid w:val="00620005"/>
    <w:rsid w:val="006230DB"/>
    <w:rsid w:val="00623E0C"/>
    <w:rsid w:val="006240C3"/>
    <w:rsid w:val="006247C3"/>
    <w:rsid w:val="00624E3B"/>
    <w:rsid w:val="0062522D"/>
    <w:rsid w:val="00626167"/>
    <w:rsid w:val="006267D4"/>
    <w:rsid w:val="00627154"/>
    <w:rsid w:val="0062796F"/>
    <w:rsid w:val="00630000"/>
    <w:rsid w:val="00630913"/>
    <w:rsid w:val="00630BAA"/>
    <w:rsid w:val="0063217B"/>
    <w:rsid w:val="00632530"/>
    <w:rsid w:val="006339F2"/>
    <w:rsid w:val="00634AFA"/>
    <w:rsid w:val="00634C4D"/>
    <w:rsid w:val="00635D29"/>
    <w:rsid w:val="0063619F"/>
    <w:rsid w:val="0063756A"/>
    <w:rsid w:val="00640050"/>
    <w:rsid w:val="00640AD7"/>
    <w:rsid w:val="00641F63"/>
    <w:rsid w:val="006429D0"/>
    <w:rsid w:val="006434CD"/>
    <w:rsid w:val="00644B03"/>
    <w:rsid w:val="00644B6C"/>
    <w:rsid w:val="0064608E"/>
    <w:rsid w:val="00646ACC"/>
    <w:rsid w:val="00651183"/>
    <w:rsid w:val="006515C8"/>
    <w:rsid w:val="006522CD"/>
    <w:rsid w:val="006523C6"/>
    <w:rsid w:val="00652F3C"/>
    <w:rsid w:val="00653374"/>
    <w:rsid w:val="0065376B"/>
    <w:rsid w:val="00653EE3"/>
    <w:rsid w:val="00653EFE"/>
    <w:rsid w:val="00654255"/>
    <w:rsid w:val="00654BBD"/>
    <w:rsid w:val="00654FF1"/>
    <w:rsid w:val="0065599C"/>
    <w:rsid w:val="00655F6F"/>
    <w:rsid w:val="006569F9"/>
    <w:rsid w:val="006602FD"/>
    <w:rsid w:val="006605CB"/>
    <w:rsid w:val="00660BE8"/>
    <w:rsid w:val="006617D7"/>
    <w:rsid w:val="00661E23"/>
    <w:rsid w:val="006626A4"/>
    <w:rsid w:val="006631A3"/>
    <w:rsid w:val="00663462"/>
    <w:rsid w:val="006636A5"/>
    <w:rsid w:val="006638D8"/>
    <w:rsid w:val="0066426C"/>
    <w:rsid w:val="00664280"/>
    <w:rsid w:val="0066449F"/>
    <w:rsid w:val="0066465B"/>
    <w:rsid w:val="00664F25"/>
    <w:rsid w:val="006652FA"/>
    <w:rsid w:val="00665E35"/>
    <w:rsid w:val="00666F07"/>
    <w:rsid w:val="00670A5E"/>
    <w:rsid w:val="00671819"/>
    <w:rsid w:val="006729B8"/>
    <w:rsid w:val="00672BDD"/>
    <w:rsid w:val="00673D57"/>
    <w:rsid w:val="00674188"/>
    <w:rsid w:val="006742C1"/>
    <w:rsid w:val="0067432A"/>
    <w:rsid w:val="0067518E"/>
    <w:rsid w:val="00675C7E"/>
    <w:rsid w:val="00677016"/>
    <w:rsid w:val="00681A54"/>
    <w:rsid w:val="006820FA"/>
    <w:rsid w:val="00684536"/>
    <w:rsid w:val="00684A96"/>
    <w:rsid w:val="00686038"/>
    <w:rsid w:val="006871D5"/>
    <w:rsid w:val="0069041E"/>
    <w:rsid w:val="00691845"/>
    <w:rsid w:val="00692005"/>
    <w:rsid w:val="006930CE"/>
    <w:rsid w:val="006933CA"/>
    <w:rsid w:val="00693E9F"/>
    <w:rsid w:val="00694316"/>
    <w:rsid w:val="006945F6"/>
    <w:rsid w:val="0069464F"/>
    <w:rsid w:val="00694837"/>
    <w:rsid w:val="006960B5"/>
    <w:rsid w:val="006961E4"/>
    <w:rsid w:val="006964DE"/>
    <w:rsid w:val="00696E92"/>
    <w:rsid w:val="00696F07"/>
    <w:rsid w:val="00697364"/>
    <w:rsid w:val="0069744B"/>
    <w:rsid w:val="006975B1"/>
    <w:rsid w:val="006A05FD"/>
    <w:rsid w:val="006A0FE0"/>
    <w:rsid w:val="006A217F"/>
    <w:rsid w:val="006A2A45"/>
    <w:rsid w:val="006A3D32"/>
    <w:rsid w:val="006A4F44"/>
    <w:rsid w:val="006A6D4D"/>
    <w:rsid w:val="006B0417"/>
    <w:rsid w:val="006B0B77"/>
    <w:rsid w:val="006B1140"/>
    <w:rsid w:val="006B141F"/>
    <w:rsid w:val="006B143A"/>
    <w:rsid w:val="006B1501"/>
    <w:rsid w:val="006B1DCA"/>
    <w:rsid w:val="006B42A5"/>
    <w:rsid w:val="006B5DE9"/>
    <w:rsid w:val="006B653E"/>
    <w:rsid w:val="006C11F9"/>
    <w:rsid w:val="006C197C"/>
    <w:rsid w:val="006C1B35"/>
    <w:rsid w:val="006C3455"/>
    <w:rsid w:val="006C34C7"/>
    <w:rsid w:val="006C36E2"/>
    <w:rsid w:val="006C42B2"/>
    <w:rsid w:val="006C6783"/>
    <w:rsid w:val="006C692B"/>
    <w:rsid w:val="006C7D62"/>
    <w:rsid w:val="006D0082"/>
    <w:rsid w:val="006D0C20"/>
    <w:rsid w:val="006D14FF"/>
    <w:rsid w:val="006D1924"/>
    <w:rsid w:val="006D2153"/>
    <w:rsid w:val="006D2766"/>
    <w:rsid w:val="006D46F0"/>
    <w:rsid w:val="006D4BF3"/>
    <w:rsid w:val="006D4CB8"/>
    <w:rsid w:val="006D56DF"/>
    <w:rsid w:val="006D6498"/>
    <w:rsid w:val="006D670D"/>
    <w:rsid w:val="006D6D45"/>
    <w:rsid w:val="006E152F"/>
    <w:rsid w:val="006E25DA"/>
    <w:rsid w:val="006E272E"/>
    <w:rsid w:val="006E3A6B"/>
    <w:rsid w:val="006E3E41"/>
    <w:rsid w:val="006E4E88"/>
    <w:rsid w:val="006E5825"/>
    <w:rsid w:val="006E7798"/>
    <w:rsid w:val="006E7D2E"/>
    <w:rsid w:val="006F00B5"/>
    <w:rsid w:val="006F021A"/>
    <w:rsid w:val="006F07BA"/>
    <w:rsid w:val="006F10CB"/>
    <w:rsid w:val="006F1C82"/>
    <w:rsid w:val="006F2CF4"/>
    <w:rsid w:val="006F3221"/>
    <w:rsid w:val="006F3694"/>
    <w:rsid w:val="006F3F9A"/>
    <w:rsid w:val="006F48BA"/>
    <w:rsid w:val="006F4E7C"/>
    <w:rsid w:val="006F5089"/>
    <w:rsid w:val="006F59DB"/>
    <w:rsid w:val="00700350"/>
    <w:rsid w:val="00700555"/>
    <w:rsid w:val="00700B62"/>
    <w:rsid w:val="00700E5B"/>
    <w:rsid w:val="00701430"/>
    <w:rsid w:val="00701E16"/>
    <w:rsid w:val="00704650"/>
    <w:rsid w:val="007078C1"/>
    <w:rsid w:val="00710DDF"/>
    <w:rsid w:val="007113C5"/>
    <w:rsid w:val="00712501"/>
    <w:rsid w:val="00712C15"/>
    <w:rsid w:val="00713113"/>
    <w:rsid w:val="007132DF"/>
    <w:rsid w:val="00713CA8"/>
    <w:rsid w:val="00714693"/>
    <w:rsid w:val="007174B3"/>
    <w:rsid w:val="00717CE8"/>
    <w:rsid w:val="0072058A"/>
    <w:rsid w:val="00720953"/>
    <w:rsid w:val="00721176"/>
    <w:rsid w:val="0072207B"/>
    <w:rsid w:val="007221D0"/>
    <w:rsid w:val="007223FA"/>
    <w:rsid w:val="00722A54"/>
    <w:rsid w:val="00723A42"/>
    <w:rsid w:val="00723B2F"/>
    <w:rsid w:val="007242C7"/>
    <w:rsid w:val="00725274"/>
    <w:rsid w:val="0072569C"/>
    <w:rsid w:val="007257BA"/>
    <w:rsid w:val="00727C81"/>
    <w:rsid w:val="00730DE9"/>
    <w:rsid w:val="00731B92"/>
    <w:rsid w:val="007322AE"/>
    <w:rsid w:val="0073271C"/>
    <w:rsid w:val="00733386"/>
    <w:rsid w:val="0073487C"/>
    <w:rsid w:val="00734B07"/>
    <w:rsid w:val="00736827"/>
    <w:rsid w:val="00736CBC"/>
    <w:rsid w:val="0074221E"/>
    <w:rsid w:val="00742342"/>
    <w:rsid w:val="00742733"/>
    <w:rsid w:val="0074319F"/>
    <w:rsid w:val="0074452E"/>
    <w:rsid w:val="007451DF"/>
    <w:rsid w:val="007452E0"/>
    <w:rsid w:val="00745904"/>
    <w:rsid w:val="00745AD3"/>
    <w:rsid w:val="00745C40"/>
    <w:rsid w:val="00746C5A"/>
    <w:rsid w:val="007479A1"/>
    <w:rsid w:val="00751590"/>
    <w:rsid w:val="007518B4"/>
    <w:rsid w:val="00752417"/>
    <w:rsid w:val="0075390D"/>
    <w:rsid w:val="00754549"/>
    <w:rsid w:val="00754C0D"/>
    <w:rsid w:val="007558D4"/>
    <w:rsid w:val="00756AEB"/>
    <w:rsid w:val="00757670"/>
    <w:rsid w:val="0076021E"/>
    <w:rsid w:val="007602F5"/>
    <w:rsid w:val="0076182C"/>
    <w:rsid w:val="00761932"/>
    <w:rsid w:val="0076239F"/>
    <w:rsid w:val="0076264E"/>
    <w:rsid w:val="00762828"/>
    <w:rsid w:val="007634B8"/>
    <w:rsid w:val="007638F4"/>
    <w:rsid w:val="00764430"/>
    <w:rsid w:val="00765CF2"/>
    <w:rsid w:val="00766609"/>
    <w:rsid w:val="00766A53"/>
    <w:rsid w:val="00766D53"/>
    <w:rsid w:val="00766EB3"/>
    <w:rsid w:val="00767342"/>
    <w:rsid w:val="007704A2"/>
    <w:rsid w:val="0077107B"/>
    <w:rsid w:val="00771546"/>
    <w:rsid w:val="00771E35"/>
    <w:rsid w:val="00771EA9"/>
    <w:rsid w:val="00771EC4"/>
    <w:rsid w:val="0077200A"/>
    <w:rsid w:val="0077234D"/>
    <w:rsid w:val="007725B4"/>
    <w:rsid w:val="00772637"/>
    <w:rsid w:val="00772767"/>
    <w:rsid w:val="00772A2C"/>
    <w:rsid w:val="007740D6"/>
    <w:rsid w:val="007749AD"/>
    <w:rsid w:val="00774ADE"/>
    <w:rsid w:val="00775F27"/>
    <w:rsid w:val="0077610A"/>
    <w:rsid w:val="0077740D"/>
    <w:rsid w:val="00777BB8"/>
    <w:rsid w:val="00780334"/>
    <w:rsid w:val="00780943"/>
    <w:rsid w:val="007818A3"/>
    <w:rsid w:val="007821F7"/>
    <w:rsid w:val="00782A7A"/>
    <w:rsid w:val="00782B17"/>
    <w:rsid w:val="00782D69"/>
    <w:rsid w:val="00783D5A"/>
    <w:rsid w:val="00783DD3"/>
    <w:rsid w:val="00783FDB"/>
    <w:rsid w:val="0078464C"/>
    <w:rsid w:val="00784FCB"/>
    <w:rsid w:val="007851F5"/>
    <w:rsid w:val="007868C5"/>
    <w:rsid w:val="007901AB"/>
    <w:rsid w:val="00791A64"/>
    <w:rsid w:val="00791EB4"/>
    <w:rsid w:val="007933B8"/>
    <w:rsid w:val="007940AD"/>
    <w:rsid w:val="0079410B"/>
    <w:rsid w:val="00794347"/>
    <w:rsid w:val="0079461D"/>
    <w:rsid w:val="0079499D"/>
    <w:rsid w:val="00795740"/>
    <w:rsid w:val="00795E73"/>
    <w:rsid w:val="00796296"/>
    <w:rsid w:val="007967E3"/>
    <w:rsid w:val="00796F6D"/>
    <w:rsid w:val="007972F9"/>
    <w:rsid w:val="007974E5"/>
    <w:rsid w:val="007A0F15"/>
    <w:rsid w:val="007A14EC"/>
    <w:rsid w:val="007A1A9E"/>
    <w:rsid w:val="007A27DA"/>
    <w:rsid w:val="007A2C58"/>
    <w:rsid w:val="007A2F51"/>
    <w:rsid w:val="007A35FE"/>
    <w:rsid w:val="007A3A82"/>
    <w:rsid w:val="007A3E9A"/>
    <w:rsid w:val="007A43A5"/>
    <w:rsid w:val="007A5627"/>
    <w:rsid w:val="007A5EFA"/>
    <w:rsid w:val="007A5F64"/>
    <w:rsid w:val="007A628F"/>
    <w:rsid w:val="007A720C"/>
    <w:rsid w:val="007A7EB6"/>
    <w:rsid w:val="007B0352"/>
    <w:rsid w:val="007B11E7"/>
    <w:rsid w:val="007B192D"/>
    <w:rsid w:val="007B27E8"/>
    <w:rsid w:val="007B3C83"/>
    <w:rsid w:val="007B4A2F"/>
    <w:rsid w:val="007B6151"/>
    <w:rsid w:val="007B6C50"/>
    <w:rsid w:val="007B7E27"/>
    <w:rsid w:val="007C065E"/>
    <w:rsid w:val="007C0E69"/>
    <w:rsid w:val="007C1293"/>
    <w:rsid w:val="007C27F1"/>
    <w:rsid w:val="007C2D50"/>
    <w:rsid w:val="007C4009"/>
    <w:rsid w:val="007C5626"/>
    <w:rsid w:val="007D08EB"/>
    <w:rsid w:val="007D1028"/>
    <w:rsid w:val="007D23EA"/>
    <w:rsid w:val="007D2D00"/>
    <w:rsid w:val="007D3EC5"/>
    <w:rsid w:val="007D4C76"/>
    <w:rsid w:val="007D67D3"/>
    <w:rsid w:val="007D7A32"/>
    <w:rsid w:val="007E0D6F"/>
    <w:rsid w:val="007E2A03"/>
    <w:rsid w:val="007E2E59"/>
    <w:rsid w:val="007E4046"/>
    <w:rsid w:val="007E7194"/>
    <w:rsid w:val="007E7380"/>
    <w:rsid w:val="007F0BB8"/>
    <w:rsid w:val="007F0E9A"/>
    <w:rsid w:val="007F19DB"/>
    <w:rsid w:val="007F207B"/>
    <w:rsid w:val="007F2082"/>
    <w:rsid w:val="007F238B"/>
    <w:rsid w:val="007F2500"/>
    <w:rsid w:val="007F2ADA"/>
    <w:rsid w:val="007F4316"/>
    <w:rsid w:val="007F4BBF"/>
    <w:rsid w:val="007F4BDB"/>
    <w:rsid w:val="007F5527"/>
    <w:rsid w:val="007F576B"/>
    <w:rsid w:val="007F6824"/>
    <w:rsid w:val="007F6826"/>
    <w:rsid w:val="007F6B98"/>
    <w:rsid w:val="007F6DA4"/>
    <w:rsid w:val="007F7074"/>
    <w:rsid w:val="007F7779"/>
    <w:rsid w:val="007F79DB"/>
    <w:rsid w:val="00800BF2"/>
    <w:rsid w:val="0080176C"/>
    <w:rsid w:val="00802121"/>
    <w:rsid w:val="00802375"/>
    <w:rsid w:val="0080314E"/>
    <w:rsid w:val="008035A2"/>
    <w:rsid w:val="00803AC3"/>
    <w:rsid w:val="008049A0"/>
    <w:rsid w:val="00804EF8"/>
    <w:rsid w:val="0080601C"/>
    <w:rsid w:val="00806076"/>
    <w:rsid w:val="00806274"/>
    <w:rsid w:val="00806B2C"/>
    <w:rsid w:val="00806C8D"/>
    <w:rsid w:val="00806E9A"/>
    <w:rsid w:val="00810997"/>
    <w:rsid w:val="00811217"/>
    <w:rsid w:val="0081161B"/>
    <w:rsid w:val="00811824"/>
    <w:rsid w:val="00811F3B"/>
    <w:rsid w:val="008145FB"/>
    <w:rsid w:val="0081605A"/>
    <w:rsid w:val="0081735A"/>
    <w:rsid w:val="00817698"/>
    <w:rsid w:val="0082011D"/>
    <w:rsid w:val="00820DB0"/>
    <w:rsid w:val="008211FD"/>
    <w:rsid w:val="00821261"/>
    <w:rsid w:val="00822A59"/>
    <w:rsid w:val="00823AC6"/>
    <w:rsid w:val="0082442B"/>
    <w:rsid w:val="008250FD"/>
    <w:rsid w:val="0082589B"/>
    <w:rsid w:val="00825FAE"/>
    <w:rsid w:val="0082621C"/>
    <w:rsid w:val="00826960"/>
    <w:rsid w:val="0082742F"/>
    <w:rsid w:val="00827435"/>
    <w:rsid w:val="0082777B"/>
    <w:rsid w:val="00827B87"/>
    <w:rsid w:val="00830E48"/>
    <w:rsid w:val="00831267"/>
    <w:rsid w:val="008313B1"/>
    <w:rsid w:val="00832269"/>
    <w:rsid w:val="0083270B"/>
    <w:rsid w:val="008327F2"/>
    <w:rsid w:val="00834EC2"/>
    <w:rsid w:val="00834ED1"/>
    <w:rsid w:val="00834F4F"/>
    <w:rsid w:val="008360B4"/>
    <w:rsid w:val="00836B62"/>
    <w:rsid w:val="0083731E"/>
    <w:rsid w:val="00837328"/>
    <w:rsid w:val="0083750A"/>
    <w:rsid w:val="00837EEB"/>
    <w:rsid w:val="00841106"/>
    <w:rsid w:val="00841DCC"/>
    <w:rsid w:val="00841EA8"/>
    <w:rsid w:val="00842477"/>
    <w:rsid w:val="00842AC1"/>
    <w:rsid w:val="00842F7C"/>
    <w:rsid w:val="008433F4"/>
    <w:rsid w:val="00844298"/>
    <w:rsid w:val="00844820"/>
    <w:rsid w:val="00844BE2"/>
    <w:rsid w:val="00845787"/>
    <w:rsid w:val="008461B6"/>
    <w:rsid w:val="00846517"/>
    <w:rsid w:val="00847291"/>
    <w:rsid w:val="00847EB6"/>
    <w:rsid w:val="008508DD"/>
    <w:rsid w:val="00850978"/>
    <w:rsid w:val="00853140"/>
    <w:rsid w:val="0085331D"/>
    <w:rsid w:val="00853329"/>
    <w:rsid w:val="00853D50"/>
    <w:rsid w:val="008550E9"/>
    <w:rsid w:val="008557D5"/>
    <w:rsid w:val="008564C2"/>
    <w:rsid w:val="00856692"/>
    <w:rsid w:val="00856916"/>
    <w:rsid w:val="0085696B"/>
    <w:rsid w:val="00857FEE"/>
    <w:rsid w:val="0086254C"/>
    <w:rsid w:val="00863518"/>
    <w:rsid w:val="00864668"/>
    <w:rsid w:val="00864B93"/>
    <w:rsid w:val="00864FCB"/>
    <w:rsid w:val="0086570B"/>
    <w:rsid w:val="008658B2"/>
    <w:rsid w:val="00865EC2"/>
    <w:rsid w:val="008675FB"/>
    <w:rsid w:val="0087006E"/>
    <w:rsid w:val="0087013C"/>
    <w:rsid w:val="008701E1"/>
    <w:rsid w:val="008703FA"/>
    <w:rsid w:val="00870DBE"/>
    <w:rsid w:val="00872209"/>
    <w:rsid w:val="0087312A"/>
    <w:rsid w:val="008731CF"/>
    <w:rsid w:val="0087347A"/>
    <w:rsid w:val="008744CB"/>
    <w:rsid w:val="00874BA3"/>
    <w:rsid w:val="008750D6"/>
    <w:rsid w:val="0087666B"/>
    <w:rsid w:val="00876979"/>
    <w:rsid w:val="0087778F"/>
    <w:rsid w:val="00880C54"/>
    <w:rsid w:val="00882CAE"/>
    <w:rsid w:val="00882E96"/>
    <w:rsid w:val="00883F76"/>
    <w:rsid w:val="00885127"/>
    <w:rsid w:val="00885293"/>
    <w:rsid w:val="00885497"/>
    <w:rsid w:val="0089044F"/>
    <w:rsid w:val="00890475"/>
    <w:rsid w:val="008921EC"/>
    <w:rsid w:val="00892DED"/>
    <w:rsid w:val="00893151"/>
    <w:rsid w:val="008935C8"/>
    <w:rsid w:val="008936B9"/>
    <w:rsid w:val="008939F7"/>
    <w:rsid w:val="0089518A"/>
    <w:rsid w:val="0089693E"/>
    <w:rsid w:val="00896FAF"/>
    <w:rsid w:val="0089783B"/>
    <w:rsid w:val="008A093E"/>
    <w:rsid w:val="008A15D0"/>
    <w:rsid w:val="008A24BC"/>
    <w:rsid w:val="008A3288"/>
    <w:rsid w:val="008A336C"/>
    <w:rsid w:val="008A6411"/>
    <w:rsid w:val="008A6EDD"/>
    <w:rsid w:val="008A73EB"/>
    <w:rsid w:val="008B0066"/>
    <w:rsid w:val="008B1150"/>
    <w:rsid w:val="008B2BB1"/>
    <w:rsid w:val="008B362E"/>
    <w:rsid w:val="008B3E97"/>
    <w:rsid w:val="008B497C"/>
    <w:rsid w:val="008B5ABA"/>
    <w:rsid w:val="008B5D40"/>
    <w:rsid w:val="008B6002"/>
    <w:rsid w:val="008B6BF0"/>
    <w:rsid w:val="008B6E44"/>
    <w:rsid w:val="008B6F3D"/>
    <w:rsid w:val="008B781E"/>
    <w:rsid w:val="008C040A"/>
    <w:rsid w:val="008C0B6D"/>
    <w:rsid w:val="008C21E7"/>
    <w:rsid w:val="008C3249"/>
    <w:rsid w:val="008C43B8"/>
    <w:rsid w:val="008C466B"/>
    <w:rsid w:val="008C497D"/>
    <w:rsid w:val="008C4A04"/>
    <w:rsid w:val="008C4A77"/>
    <w:rsid w:val="008C5203"/>
    <w:rsid w:val="008C7533"/>
    <w:rsid w:val="008D00A2"/>
    <w:rsid w:val="008D0873"/>
    <w:rsid w:val="008D1C34"/>
    <w:rsid w:val="008D3059"/>
    <w:rsid w:val="008D37EA"/>
    <w:rsid w:val="008D3819"/>
    <w:rsid w:val="008D44C3"/>
    <w:rsid w:val="008D465C"/>
    <w:rsid w:val="008D4DB1"/>
    <w:rsid w:val="008D4E34"/>
    <w:rsid w:val="008D5322"/>
    <w:rsid w:val="008D7476"/>
    <w:rsid w:val="008D7536"/>
    <w:rsid w:val="008D7764"/>
    <w:rsid w:val="008E1DAD"/>
    <w:rsid w:val="008E1EC8"/>
    <w:rsid w:val="008E25A6"/>
    <w:rsid w:val="008E347E"/>
    <w:rsid w:val="008E414A"/>
    <w:rsid w:val="008E488A"/>
    <w:rsid w:val="008E4E54"/>
    <w:rsid w:val="008E670E"/>
    <w:rsid w:val="008E6969"/>
    <w:rsid w:val="008E7AEC"/>
    <w:rsid w:val="008F0EE0"/>
    <w:rsid w:val="008F1153"/>
    <w:rsid w:val="008F1581"/>
    <w:rsid w:val="008F232A"/>
    <w:rsid w:val="008F2746"/>
    <w:rsid w:val="008F2BCA"/>
    <w:rsid w:val="008F48A2"/>
    <w:rsid w:val="008F51FA"/>
    <w:rsid w:val="008F5277"/>
    <w:rsid w:val="008F6E35"/>
    <w:rsid w:val="008F6E4B"/>
    <w:rsid w:val="008F79CA"/>
    <w:rsid w:val="008F7B2B"/>
    <w:rsid w:val="00900735"/>
    <w:rsid w:val="00900F75"/>
    <w:rsid w:val="00901AE2"/>
    <w:rsid w:val="00901B50"/>
    <w:rsid w:val="009034FB"/>
    <w:rsid w:val="0090370A"/>
    <w:rsid w:val="0090370F"/>
    <w:rsid w:val="00903C0D"/>
    <w:rsid w:val="00903E2C"/>
    <w:rsid w:val="00904482"/>
    <w:rsid w:val="00904B49"/>
    <w:rsid w:val="00904D70"/>
    <w:rsid w:val="009051C2"/>
    <w:rsid w:val="0090573E"/>
    <w:rsid w:val="00907C16"/>
    <w:rsid w:val="00907FBE"/>
    <w:rsid w:val="00910917"/>
    <w:rsid w:val="00911954"/>
    <w:rsid w:val="0091352F"/>
    <w:rsid w:val="009144AA"/>
    <w:rsid w:val="009147C8"/>
    <w:rsid w:val="00916220"/>
    <w:rsid w:val="0091747E"/>
    <w:rsid w:val="0092066D"/>
    <w:rsid w:val="009209CF"/>
    <w:rsid w:val="00920A7B"/>
    <w:rsid w:val="00920EB9"/>
    <w:rsid w:val="009218F3"/>
    <w:rsid w:val="0092372D"/>
    <w:rsid w:val="00923B34"/>
    <w:rsid w:val="00923B73"/>
    <w:rsid w:val="00925391"/>
    <w:rsid w:val="009260EE"/>
    <w:rsid w:val="009267EF"/>
    <w:rsid w:val="00926ADA"/>
    <w:rsid w:val="009277D5"/>
    <w:rsid w:val="009305AF"/>
    <w:rsid w:val="009307C7"/>
    <w:rsid w:val="009317A6"/>
    <w:rsid w:val="00932618"/>
    <w:rsid w:val="009327C1"/>
    <w:rsid w:val="00932EC2"/>
    <w:rsid w:val="009334B1"/>
    <w:rsid w:val="009340C2"/>
    <w:rsid w:val="00935568"/>
    <w:rsid w:val="00935691"/>
    <w:rsid w:val="0093798D"/>
    <w:rsid w:val="009412AE"/>
    <w:rsid w:val="009424CC"/>
    <w:rsid w:val="00942911"/>
    <w:rsid w:val="00942EEC"/>
    <w:rsid w:val="009439AD"/>
    <w:rsid w:val="0094558D"/>
    <w:rsid w:val="009459E4"/>
    <w:rsid w:val="009475F1"/>
    <w:rsid w:val="00947633"/>
    <w:rsid w:val="0094794A"/>
    <w:rsid w:val="00947CC0"/>
    <w:rsid w:val="00951542"/>
    <w:rsid w:val="0095183E"/>
    <w:rsid w:val="00952A7B"/>
    <w:rsid w:val="009539AB"/>
    <w:rsid w:val="00954F69"/>
    <w:rsid w:val="0095553A"/>
    <w:rsid w:val="0095754A"/>
    <w:rsid w:val="00957BC6"/>
    <w:rsid w:val="009629A4"/>
    <w:rsid w:val="00962DB9"/>
    <w:rsid w:val="00962E9D"/>
    <w:rsid w:val="00964BC2"/>
    <w:rsid w:val="0096590B"/>
    <w:rsid w:val="0096593A"/>
    <w:rsid w:val="009667C9"/>
    <w:rsid w:val="009669A6"/>
    <w:rsid w:val="00966A9B"/>
    <w:rsid w:val="00970395"/>
    <w:rsid w:val="0097357A"/>
    <w:rsid w:val="0097369A"/>
    <w:rsid w:val="00973870"/>
    <w:rsid w:val="00973DB9"/>
    <w:rsid w:val="009743D7"/>
    <w:rsid w:val="009744EE"/>
    <w:rsid w:val="00974A49"/>
    <w:rsid w:val="00975B82"/>
    <w:rsid w:val="0097676C"/>
    <w:rsid w:val="009771DB"/>
    <w:rsid w:val="0098172C"/>
    <w:rsid w:val="00981836"/>
    <w:rsid w:val="00981E01"/>
    <w:rsid w:val="00985133"/>
    <w:rsid w:val="00985615"/>
    <w:rsid w:val="00985EDD"/>
    <w:rsid w:val="00986062"/>
    <w:rsid w:val="00986D95"/>
    <w:rsid w:val="00986EA1"/>
    <w:rsid w:val="00986F3D"/>
    <w:rsid w:val="0099187B"/>
    <w:rsid w:val="00991EC0"/>
    <w:rsid w:val="00992B01"/>
    <w:rsid w:val="00992DCC"/>
    <w:rsid w:val="009934FC"/>
    <w:rsid w:val="00993C73"/>
    <w:rsid w:val="00994FDE"/>
    <w:rsid w:val="009953F0"/>
    <w:rsid w:val="00995E7A"/>
    <w:rsid w:val="009A025E"/>
    <w:rsid w:val="009A0E25"/>
    <w:rsid w:val="009A166E"/>
    <w:rsid w:val="009A195F"/>
    <w:rsid w:val="009A28F2"/>
    <w:rsid w:val="009A351A"/>
    <w:rsid w:val="009A3667"/>
    <w:rsid w:val="009A4974"/>
    <w:rsid w:val="009A4B36"/>
    <w:rsid w:val="009A6B5F"/>
    <w:rsid w:val="009B02FD"/>
    <w:rsid w:val="009B06B7"/>
    <w:rsid w:val="009B120D"/>
    <w:rsid w:val="009B1AD7"/>
    <w:rsid w:val="009B1EB4"/>
    <w:rsid w:val="009B2BEA"/>
    <w:rsid w:val="009B347E"/>
    <w:rsid w:val="009B4824"/>
    <w:rsid w:val="009B573C"/>
    <w:rsid w:val="009B77E3"/>
    <w:rsid w:val="009B7E4A"/>
    <w:rsid w:val="009C0323"/>
    <w:rsid w:val="009C073A"/>
    <w:rsid w:val="009C108B"/>
    <w:rsid w:val="009C33B1"/>
    <w:rsid w:val="009C46BE"/>
    <w:rsid w:val="009C4B0B"/>
    <w:rsid w:val="009D0F25"/>
    <w:rsid w:val="009D1D20"/>
    <w:rsid w:val="009D2536"/>
    <w:rsid w:val="009D4248"/>
    <w:rsid w:val="009D45D0"/>
    <w:rsid w:val="009D5DDB"/>
    <w:rsid w:val="009D740F"/>
    <w:rsid w:val="009D764D"/>
    <w:rsid w:val="009D7FB7"/>
    <w:rsid w:val="009E07AF"/>
    <w:rsid w:val="009E09A9"/>
    <w:rsid w:val="009E2183"/>
    <w:rsid w:val="009E3208"/>
    <w:rsid w:val="009E3581"/>
    <w:rsid w:val="009E6B60"/>
    <w:rsid w:val="009E75BE"/>
    <w:rsid w:val="009E7E25"/>
    <w:rsid w:val="009F018E"/>
    <w:rsid w:val="009F161F"/>
    <w:rsid w:val="009F1685"/>
    <w:rsid w:val="009F16A3"/>
    <w:rsid w:val="009F18C7"/>
    <w:rsid w:val="009F23F9"/>
    <w:rsid w:val="009F4B74"/>
    <w:rsid w:val="009F4F70"/>
    <w:rsid w:val="009F679C"/>
    <w:rsid w:val="009F6989"/>
    <w:rsid w:val="009F6A64"/>
    <w:rsid w:val="00A000AF"/>
    <w:rsid w:val="00A008CD"/>
    <w:rsid w:val="00A0126C"/>
    <w:rsid w:val="00A020B1"/>
    <w:rsid w:val="00A0225D"/>
    <w:rsid w:val="00A027E7"/>
    <w:rsid w:val="00A02AF0"/>
    <w:rsid w:val="00A03427"/>
    <w:rsid w:val="00A0573C"/>
    <w:rsid w:val="00A05BFF"/>
    <w:rsid w:val="00A060BE"/>
    <w:rsid w:val="00A06B0E"/>
    <w:rsid w:val="00A06BA6"/>
    <w:rsid w:val="00A10830"/>
    <w:rsid w:val="00A12413"/>
    <w:rsid w:val="00A1329F"/>
    <w:rsid w:val="00A165B8"/>
    <w:rsid w:val="00A21967"/>
    <w:rsid w:val="00A21B62"/>
    <w:rsid w:val="00A21ECF"/>
    <w:rsid w:val="00A24119"/>
    <w:rsid w:val="00A2479E"/>
    <w:rsid w:val="00A24D37"/>
    <w:rsid w:val="00A263B2"/>
    <w:rsid w:val="00A26B4E"/>
    <w:rsid w:val="00A26CDA"/>
    <w:rsid w:val="00A27DBD"/>
    <w:rsid w:val="00A31227"/>
    <w:rsid w:val="00A31E6A"/>
    <w:rsid w:val="00A33389"/>
    <w:rsid w:val="00A334B5"/>
    <w:rsid w:val="00A33B61"/>
    <w:rsid w:val="00A3409D"/>
    <w:rsid w:val="00A34736"/>
    <w:rsid w:val="00A3525A"/>
    <w:rsid w:val="00A35B61"/>
    <w:rsid w:val="00A3674D"/>
    <w:rsid w:val="00A36CF1"/>
    <w:rsid w:val="00A370F2"/>
    <w:rsid w:val="00A4064A"/>
    <w:rsid w:val="00A418FE"/>
    <w:rsid w:val="00A431F3"/>
    <w:rsid w:val="00A43542"/>
    <w:rsid w:val="00A43B35"/>
    <w:rsid w:val="00A43BAE"/>
    <w:rsid w:val="00A44444"/>
    <w:rsid w:val="00A45928"/>
    <w:rsid w:val="00A45A0B"/>
    <w:rsid w:val="00A462CD"/>
    <w:rsid w:val="00A46571"/>
    <w:rsid w:val="00A47F97"/>
    <w:rsid w:val="00A5012D"/>
    <w:rsid w:val="00A50A5F"/>
    <w:rsid w:val="00A50D64"/>
    <w:rsid w:val="00A50DC9"/>
    <w:rsid w:val="00A51DD8"/>
    <w:rsid w:val="00A51F01"/>
    <w:rsid w:val="00A532F3"/>
    <w:rsid w:val="00A545C1"/>
    <w:rsid w:val="00A548F7"/>
    <w:rsid w:val="00A54A8F"/>
    <w:rsid w:val="00A551A9"/>
    <w:rsid w:val="00A55A17"/>
    <w:rsid w:val="00A56F86"/>
    <w:rsid w:val="00A5735F"/>
    <w:rsid w:val="00A57632"/>
    <w:rsid w:val="00A60029"/>
    <w:rsid w:val="00A6082E"/>
    <w:rsid w:val="00A61087"/>
    <w:rsid w:val="00A612E9"/>
    <w:rsid w:val="00A6207A"/>
    <w:rsid w:val="00A63DCD"/>
    <w:rsid w:val="00A6502C"/>
    <w:rsid w:val="00A651C0"/>
    <w:rsid w:val="00A65A91"/>
    <w:rsid w:val="00A668A6"/>
    <w:rsid w:val="00A670A6"/>
    <w:rsid w:val="00A67B1A"/>
    <w:rsid w:val="00A67C29"/>
    <w:rsid w:val="00A70CC7"/>
    <w:rsid w:val="00A7100A"/>
    <w:rsid w:val="00A71105"/>
    <w:rsid w:val="00A71255"/>
    <w:rsid w:val="00A71660"/>
    <w:rsid w:val="00A72B9E"/>
    <w:rsid w:val="00A735E8"/>
    <w:rsid w:val="00A751CD"/>
    <w:rsid w:val="00A75646"/>
    <w:rsid w:val="00A77007"/>
    <w:rsid w:val="00A77A3F"/>
    <w:rsid w:val="00A8041B"/>
    <w:rsid w:val="00A80A27"/>
    <w:rsid w:val="00A80A91"/>
    <w:rsid w:val="00A81D1C"/>
    <w:rsid w:val="00A8333E"/>
    <w:rsid w:val="00A838C6"/>
    <w:rsid w:val="00A83B47"/>
    <w:rsid w:val="00A86EC8"/>
    <w:rsid w:val="00A90A53"/>
    <w:rsid w:val="00A9109D"/>
    <w:rsid w:val="00A9136E"/>
    <w:rsid w:val="00A91CDC"/>
    <w:rsid w:val="00A9451E"/>
    <w:rsid w:val="00A961F5"/>
    <w:rsid w:val="00A96ACD"/>
    <w:rsid w:val="00AA2ECF"/>
    <w:rsid w:val="00AA31F3"/>
    <w:rsid w:val="00AA3645"/>
    <w:rsid w:val="00AA385C"/>
    <w:rsid w:val="00AA413A"/>
    <w:rsid w:val="00AA49D7"/>
    <w:rsid w:val="00AA4A9C"/>
    <w:rsid w:val="00AA4C74"/>
    <w:rsid w:val="00AA52BC"/>
    <w:rsid w:val="00AA5336"/>
    <w:rsid w:val="00AA58EC"/>
    <w:rsid w:val="00AA60EC"/>
    <w:rsid w:val="00AA663C"/>
    <w:rsid w:val="00AA70E7"/>
    <w:rsid w:val="00AA7A1E"/>
    <w:rsid w:val="00AA7BE5"/>
    <w:rsid w:val="00AA7D72"/>
    <w:rsid w:val="00AB03F8"/>
    <w:rsid w:val="00AB0427"/>
    <w:rsid w:val="00AB1607"/>
    <w:rsid w:val="00AB25E9"/>
    <w:rsid w:val="00AB27AF"/>
    <w:rsid w:val="00AB36E6"/>
    <w:rsid w:val="00AB42BB"/>
    <w:rsid w:val="00AB4436"/>
    <w:rsid w:val="00AB566E"/>
    <w:rsid w:val="00AB5955"/>
    <w:rsid w:val="00AB620C"/>
    <w:rsid w:val="00AB63D8"/>
    <w:rsid w:val="00AB71FF"/>
    <w:rsid w:val="00AB7235"/>
    <w:rsid w:val="00AB7992"/>
    <w:rsid w:val="00AC0D81"/>
    <w:rsid w:val="00AC0EBE"/>
    <w:rsid w:val="00AC2BC9"/>
    <w:rsid w:val="00AC4CFC"/>
    <w:rsid w:val="00AC64C6"/>
    <w:rsid w:val="00AC7111"/>
    <w:rsid w:val="00AC7C83"/>
    <w:rsid w:val="00AD0242"/>
    <w:rsid w:val="00AD11B0"/>
    <w:rsid w:val="00AD1D60"/>
    <w:rsid w:val="00AD244D"/>
    <w:rsid w:val="00AD24CD"/>
    <w:rsid w:val="00AD3627"/>
    <w:rsid w:val="00AD36F9"/>
    <w:rsid w:val="00AD4AE1"/>
    <w:rsid w:val="00AD4FFE"/>
    <w:rsid w:val="00AD5135"/>
    <w:rsid w:val="00AD5FAA"/>
    <w:rsid w:val="00AD7091"/>
    <w:rsid w:val="00AD7905"/>
    <w:rsid w:val="00AD7D61"/>
    <w:rsid w:val="00AD7F56"/>
    <w:rsid w:val="00AE01E6"/>
    <w:rsid w:val="00AE0782"/>
    <w:rsid w:val="00AE0F44"/>
    <w:rsid w:val="00AE13AB"/>
    <w:rsid w:val="00AE13AC"/>
    <w:rsid w:val="00AE25A3"/>
    <w:rsid w:val="00AE3970"/>
    <w:rsid w:val="00AE411F"/>
    <w:rsid w:val="00AE449C"/>
    <w:rsid w:val="00AE52E1"/>
    <w:rsid w:val="00AE61A1"/>
    <w:rsid w:val="00AE63F3"/>
    <w:rsid w:val="00AE68A9"/>
    <w:rsid w:val="00AE6CE6"/>
    <w:rsid w:val="00AE79A2"/>
    <w:rsid w:val="00AE7E7D"/>
    <w:rsid w:val="00AF0DE9"/>
    <w:rsid w:val="00AF15DC"/>
    <w:rsid w:val="00AF212E"/>
    <w:rsid w:val="00AF243E"/>
    <w:rsid w:val="00AF37EA"/>
    <w:rsid w:val="00AF4858"/>
    <w:rsid w:val="00AF5EA4"/>
    <w:rsid w:val="00AF7E4B"/>
    <w:rsid w:val="00B0061C"/>
    <w:rsid w:val="00B01D37"/>
    <w:rsid w:val="00B02B6C"/>
    <w:rsid w:val="00B030AE"/>
    <w:rsid w:val="00B04A96"/>
    <w:rsid w:val="00B0693C"/>
    <w:rsid w:val="00B075E0"/>
    <w:rsid w:val="00B07D76"/>
    <w:rsid w:val="00B101A5"/>
    <w:rsid w:val="00B1075F"/>
    <w:rsid w:val="00B1086E"/>
    <w:rsid w:val="00B10D06"/>
    <w:rsid w:val="00B10E35"/>
    <w:rsid w:val="00B11FC2"/>
    <w:rsid w:val="00B12755"/>
    <w:rsid w:val="00B12BF6"/>
    <w:rsid w:val="00B13381"/>
    <w:rsid w:val="00B13A97"/>
    <w:rsid w:val="00B147E5"/>
    <w:rsid w:val="00B14998"/>
    <w:rsid w:val="00B14DC4"/>
    <w:rsid w:val="00B15535"/>
    <w:rsid w:val="00B161DB"/>
    <w:rsid w:val="00B165E0"/>
    <w:rsid w:val="00B16E42"/>
    <w:rsid w:val="00B16F9E"/>
    <w:rsid w:val="00B17968"/>
    <w:rsid w:val="00B211E4"/>
    <w:rsid w:val="00B22711"/>
    <w:rsid w:val="00B24FA9"/>
    <w:rsid w:val="00B2514D"/>
    <w:rsid w:val="00B25433"/>
    <w:rsid w:val="00B256E1"/>
    <w:rsid w:val="00B25B1F"/>
    <w:rsid w:val="00B26461"/>
    <w:rsid w:val="00B279A6"/>
    <w:rsid w:val="00B312B1"/>
    <w:rsid w:val="00B3280F"/>
    <w:rsid w:val="00B3283E"/>
    <w:rsid w:val="00B36479"/>
    <w:rsid w:val="00B36A29"/>
    <w:rsid w:val="00B37E9C"/>
    <w:rsid w:val="00B406ED"/>
    <w:rsid w:val="00B430B6"/>
    <w:rsid w:val="00B431F8"/>
    <w:rsid w:val="00B44BE2"/>
    <w:rsid w:val="00B45072"/>
    <w:rsid w:val="00B4672C"/>
    <w:rsid w:val="00B46FFC"/>
    <w:rsid w:val="00B47466"/>
    <w:rsid w:val="00B50078"/>
    <w:rsid w:val="00B5031C"/>
    <w:rsid w:val="00B50393"/>
    <w:rsid w:val="00B51326"/>
    <w:rsid w:val="00B5188A"/>
    <w:rsid w:val="00B528BD"/>
    <w:rsid w:val="00B52CBD"/>
    <w:rsid w:val="00B53BD0"/>
    <w:rsid w:val="00B5553F"/>
    <w:rsid w:val="00B567CE"/>
    <w:rsid w:val="00B56C51"/>
    <w:rsid w:val="00B57470"/>
    <w:rsid w:val="00B5758B"/>
    <w:rsid w:val="00B579C3"/>
    <w:rsid w:val="00B60383"/>
    <w:rsid w:val="00B60ACA"/>
    <w:rsid w:val="00B61F69"/>
    <w:rsid w:val="00B627AA"/>
    <w:rsid w:val="00B62CCE"/>
    <w:rsid w:val="00B63883"/>
    <w:rsid w:val="00B6444A"/>
    <w:rsid w:val="00B646DA"/>
    <w:rsid w:val="00B64F5F"/>
    <w:rsid w:val="00B65155"/>
    <w:rsid w:val="00B65735"/>
    <w:rsid w:val="00B65CF1"/>
    <w:rsid w:val="00B661DB"/>
    <w:rsid w:val="00B66844"/>
    <w:rsid w:val="00B66DE7"/>
    <w:rsid w:val="00B67771"/>
    <w:rsid w:val="00B677F3"/>
    <w:rsid w:val="00B67A42"/>
    <w:rsid w:val="00B67AB4"/>
    <w:rsid w:val="00B67C09"/>
    <w:rsid w:val="00B70340"/>
    <w:rsid w:val="00B714EE"/>
    <w:rsid w:val="00B71686"/>
    <w:rsid w:val="00B71BE8"/>
    <w:rsid w:val="00B7276D"/>
    <w:rsid w:val="00B7282E"/>
    <w:rsid w:val="00B729E4"/>
    <w:rsid w:val="00B72F09"/>
    <w:rsid w:val="00B731A4"/>
    <w:rsid w:val="00B73AA3"/>
    <w:rsid w:val="00B73CF4"/>
    <w:rsid w:val="00B74F09"/>
    <w:rsid w:val="00B75C1C"/>
    <w:rsid w:val="00B76A1B"/>
    <w:rsid w:val="00B77493"/>
    <w:rsid w:val="00B779D3"/>
    <w:rsid w:val="00B8159B"/>
    <w:rsid w:val="00B8221A"/>
    <w:rsid w:val="00B82AD2"/>
    <w:rsid w:val="00B83111"/>
    <w:rsid w:val="00B84618"/>
    <w:rsid w:val="00B84F6B"/>
    <w:rsid w:val="00B85C52"/>
    <w:rsid w:val="00B86088"/>
    <w:rsid w:val="00B877CF"/>
    <w:rsid w:val="00B879E5"/>
    <w:rsid w:val="00B90E17"/>
    <w:rsid w:val="00B912CE"/>
    <w:rsid w:val="00B9228E"/>
    <w:rsid w:val="00B9313F"/>
    <w:rsid w:val="00B93D44"/>
    <w:rsid w:val="00B93F6B"/>
    <w:rsid w:val="00B9460A"/>
    <w:rsid w:val="00B94C66"/>
    <w:rsid w:val="00B94C76"/>
    <w:rsid w:val="00B95342"/>
    <w:rsid w:val="00B95CEC"/>
    <w:rsid w:val="00B961BC"/>
    <w:rsid w:val="00B9644E"/>
    <w:rsid w:val="00B965C2"/>
    <w:rsid w:val="00B9688B"/>
    <w:rsid w:val="00B96ADD"/>
    <w:rsid w:val="00BA1072"/>
    <w:rsid w:val="00BA3239"/>
    <w:rsid w:val="00BA32CD"/>
    <w:rsid w:val="00BA3FBF"/>
    <w:rsid w:val="00BA4351"/>
    <w:rsid w:val="00BA4431"/>
    <w:rsid w:val="00BA4491"/>
    <w:rsid w:val="00BA56A8"/>
    <w:rsid w:val="00BA5730"/>
    <w:rsid w:val="00BA5915"/>
    <w:rsid w:val="00BA7BB8"/>
    <w:rsid w:val="00BB0CC7"/>
    <w:rsid w:val="00BB0F64"/>
    <w:rsid w:val="00BB115A"/>
    <w:rsid w:val="00BB141B"/>
    <w:rsid w:val="00BB1D29"/>
    <w:rsid w:val="00BB2891"/>
    <w:rsid w:val="00BB66F1"/>
    <w:rsid w:val="00BB69D7"/>
    <w:rsid w:val="00BB759B"/>
    <w:rsid w:val="00BC16C7"/>
    <w:rsid w:val="00BC1C26"/>
    <w:rsid w:val="00BC2E1F"/>
    <w:rsid w:val="00BC3402"/>
    <w:rsid w:val="00BC3BE0"/>
    <w:rsid w:val="00BC53B4"/>
    <w:rsid w:val="00BC582B"/>
    <w:rsid w:val="00BC6770"/>
    <w:rsid w:val="00BC6C2B"/>
    <w:rsid w:val="00BC7520"/>
    <w:rsid w:val="00BD0F74"/>
    <w:rsid w:val="00BD14A7"/>
    <w:rsid w:val="00BD1960"/>
    <w:rsid w:val="00BD22BB"/>
    <w:rsid w:val="00BD2657"/>
    <w:rsid w:val="00BD4231"/>
    <w:rsid w:val="00BD522C"/>
    <w:rsid w:val="00BD67E6"/>
    <w:rsid w:val="00BD6A2D"/>
    <w:rsid w:val="00BD7331"/>
    <w:rsid w:val="00BD79E5"/>
    <w:rsid w:val="00BD7A7A"/>
    <w:rsid w:val="00BE0815"/>
    <w:rsid w:val="00BE0855"/>
    <w:rsid w:val="00BE0D68"/>
    <w:rsid w:val="00BE17C5"/>
    <w:rsid w:val="00BE18EC"/>
    <w:rsid w:val="00BE1B05"/>
    <w:rsid w:val="00BE1D86"/>
    <w:rsid w:val="00BE256D"/>
    <w:rsid w:val="00BE2885"/>
    <w:rsid w:val="00BE3456"/>
    <w:rsid w:val="00BE3F86"/>
    <w:rsid w:val="00BE5A52"/>
    <w:rsid w:val="00BE777F"/>
    <w:rsid w:val="00BF0A6E"/>
    <w:rsid w:val="00BF27EF"/>
    <w:rsid w:val="00BF2ABF"/>
    <w:rsid w:val="00BF2C0F"/>
    <w:rsid w:val="00BF3133"/>
    <w:rsid w:val="00BF3558"/>
    <w:rsid w:val="00BF3972"/>
    <w:rsid w:val="00BF495B"/>
    <w:rsid w:val="00BF4DC6"/>
    <w:rsid w:val="00BF4DD3"/>
    <w:rsid w:val="00BF6608"/>
    <w:rsid w:val="00BF7956"/>
    <w:rsid w:val="00C0122D"/>
    <w:rsid w:val="00C01B3B"/>
    <w:rsid w:val="00C021F9"/>
    <w:rsid w:val="00C051BB"/>
    <w:rsid w:val="00C051CA"/>
    <w:rsid w:val="00C052A0"/>
    <w:rsid w:val="00C0720E"/>
    <w:rsid w:val="00C078AE"/>
    <w:rsid w:val="00C10A73"/>
    <w:rsid w:val="00C10BF4"/>
    <w:rsid w:val="00C122A3"/>
    <w:rsid w:val="00C12647"/>
    <w:rsid w:val="00C1287E"/>
    <w:rsid w:val="00C149C1"/>
    <w:rsid w:val="00C1517E"/>
    <w:rsid w:val="00C152B0"/>
    <w:rsid w:val="00C16694"/>
    <w:rsid w:val="00C16D7B"/>
    <w:rsid w:val="00C17587"/>
    <w:rsid w:val="00C17FF4"/>
    <w:rsid w:val="00C2066F"/>
    <w:rsid w:val="00C20A8B"/>
    <w:rsid w:val="00C22BF5"/>
    <w:rsid w:val="00C22CC7"/>
    <w:rsid w:val="00C245AF"/>
    <w:rsid w:val="00C253C6"/>
    <w:rsid w:val="00C26B9B"/>
    <w:rsid w:val="00C2753C"/>
    <w:rsid w:val="00C30AF3"/>
    <w:rsid w:val="00C30D54"/>
    <w:rsid w:val="00C31C42"/>
    <w:rsid w:val="00C3297D"/>
    <w:rsid w:val="00C32D10"/>
    <w:rsid w:val="00C330E0"/>
    <w:rsid w:val="00C34C3E"/>
    <w:rsid w:val="00C35215"/>
    <w:rsid w:val="00C3672F"/>
    <w:rsid w:val="00C41520"/>
    <w:rsid w:val="00C417B4"/>
    <w:rsid w:val="00C42636"/>
    <w:rsid w:val="00C42F9A"/>
    <w:rsid w:val="00C43418"/>
    <w:rsid w:val="00C438E7"/>
    <w:rsid w:val="00C45C93"/>
    <w:rsid w:val="00C46342"/>
    <w:rsid w:val="00C47667"/>
    <w:rsid w:val="00C5102E"/>
    <w:rsid w:val="00C51BE0"/>
    <w:rsid w:val="00C51E7E"/>
    <w:rsid w:val="00C51FD1"/>
    <w:rsid w:val="00C522A6"/>
    <w:rsid w:val="00C52965"/>
    <w:rsid w:val="00C52D41"/>
    <w:rsid w:val="00C53FB2"/>
    <w:rsid w:val="00C56971"/>
    <w:rsid w:val="00C56C99"/>
    <w:rsid w:val="00C57740"/>
    <w:rsid w:val="00C604BF"/>
    <w:rsid w:val="00C60677"/>
    <w:rsid w:val="00C6147E"/>
    <w:rsid w:val="00C620CC"/>
    <w:rsid w:val="00C660A9"/>
    <w:rsid w:val="00C664F6"/>
    <w:rsid w:val="00C665DA"/>
    <w:rsid w:val="00C66644"/>
    <w:rsid w:val="00C672D5"/>
    <w:rsid w:val="00C67364"/>
    <w:rsid w:val="00C67B70"/>
    <w:rsid w:val="00C67D3D"/>
    <w:rsid w:val="00C702C3"/>
    <w:rsid w:val="00C71620"/>
    <w:rsid w:val="00C71FF6"/>
    <w:rsid w:val="00C72E81"/>
    <w:rsid w:val="00C73F74"/>
    <w:rsid w:val="00C751B3"/>
    <w:rsid w:val="00C751F5"/>
    <w:rsid w:val="00C75B4E"/>
    <w:rsid w:val="00C75BAC"/>
    <w:rsid w:val="00C808FE"/>
    <w:rsid w:val="00C80E8F"/>
    <w:rsid w:val="00C81296"/>
    <w:rsid w:val="00C81A59"/>
    <w:rsid w:val="00C81A95"/>
    <w:rsid w:val="00C82743"/>
    <w:rsid w:val="00C827BA"/>
    <w:rsid w:val="00C82AA8"/>
    <w:rsid w:val="00C835A6"/>
    <w:rsid w:val="00C83DFE"/>
    <w:rsid w:val="00C84235"/>
    <w:rsid w:val="00C85B9F"/>
    <w:rsid w:val="00C85C8A"/>
    <w:rsid w:val="00C87402"/>
    <w:rsid w:val="00C8756C"/>
    <w:rsid w:val="00C8768E"/>
    <w:rsid w:val="00C87718"/>
    <w:rsid w:val="00C87D8A"/>
    <w:rsid w:val="00C919E3"/>
    <w:rsid w:val="00C9246B"/>
    <w:rsid w:val="00C9260D"/>
    <w:rsid w:val="00C92D6C"/>
    <w:rsid w:val="00C931EA"/>
    <w:rsid w:val="00C93446"/>
    <w:rsid w:val="00C936AD"/>
    <w:rsid w:val="00C944D4"/>
    <w:rsid w:val="00C9462B"/>
    <w:rsid w:val="00C94A85"/>
    <w:rsid w:val="00C94EDD"/>
    <w:rsid w:val="00C97979"/>
    <w:rsid w:val="00C97ED7"/>
    <w:rsid w:val="00CA05D9"/>
    <w:rsid w:val="00CA0B8E"/>
    <w:rsid w:val="00CA250A"/>
    <w:rsid w:val="00CA3874"/>
    <w:rsid w:val="00CA4052"/>
    <w:rsid w:val="00CA461B"/>
    <w:rsid w:val="00CA48FA"/>
    <w:rsid w:val="00CA5210"/>
    <w:rsid w:val="00CA541B"/>
    <w:rsid w:val="00CA7161"/>
    <w:rsid w:val="00CA7407"/>
    <w:rsid w:val="00CA76E1"/>
    <w:rsid w:val="00CB07D1"/>
    <w:rsid w:val="00CB0A1F"/>
    <w:rsid w:val="00CB0E06"/>
    <w:rsid w:val="00CB2DD7"/>
    <w:rsid w:val="00CB5230"/>
    <w:rsid w:val="00CB53A6"/>
    <w:rsid w:val="00CB5ACA"/>
    <w:rsid w:val="00CB5C89"/>
    <w:rsid w:val="00CB6283"/>
    <w:rsid w:val="00CB7D35"/>
    <w:rsid w:val="00CC116A"/>
    <w:rsid w:val="00CC1D5D"/>
    <w:rsid w:val="00CC1E86"/>
    <w:rsid w:val="00CC3A60"/>
    <w:rsid w:val="00CC3DF1"/>
    <w:rsid w:val="00CC437C"/>
    <w:rsid w:val="00CC43CB"/>
    <w:rsid w:val="00CC4AB3"/>
    <w:rsid w:val="00CC4B82"/>
    <w:rsid w:val="00CC50DB"/>
    <w:rsid w:val="00CD025E"/>
    <w:rsid w:val="00CD0A93"/>
    <w:rsid w:val="00CD0C56"/>
    <w:rsid w:val="00CD28B1"/>
    <w:rsid w:val="00CD34D3"/>
    <w:rsid w:val="00CD3B5C"/>
    <w:rsid w:val="00CD437C"/>
    <w:rsid w:val="00CD5DBF"/>
    <w:rsid w:val="00CD7764"/>
    <w:rsid w:val="00CD7BD3"/>
    <w:rsid w:val="00CE0DD7"/>
    <w:rsid w:val="00CE278C"/>
    <w:rsid w:val="00CE2C29"/>
    <w:rsid w:val="00CE3B59"/>
    <w:rsid w:val="00CE4149"/>
    <w:rsid w:val="00CE5ED9"/>
    <w:rsid w:val="00CE68E5"/>
    <w:rsid w:val="00CE6D5E"/>
    <w:rsid w:val="00CE7731"/>
    <w:rsid w:val="00CF2FE4"/>
    <w:rsid w:val="00CF32ED"/>
    <w:rsid w:val="00CF3BAB"/>
    <w:rsid w:val="00CF3EED"/>
    <w:rsid w:val="00CF5492"/>
    <w:rsid w:val="00CF7E41"/>
    <w:rsid w:val="00CF7EF1"/>
    <w:rsid w:val="00D00B1D"/>
    <w:rsid w:val="00D00EFB"/>
    <w:rsid w:val="00D00F1D"/>
    <w:rsid w:val="00D00F91"/>
    <w:rsid w:val="00D0113D"/>
    <w:rsid w:val="00D01440"/>
    <w:rsid w:val="00D02129"/>
    <w:rsid w:val="00D02C10"/>
    <w:rsid w:val="00D04861"/>
    <w:rsid w:val="00D05F61"/>
    <w:rsid w:val="00D06044"/>
    <w:rsid w:val="00D06454"/>
    <w:rsid w:val="00D067BE"/>
    <w:rsid w:val="00D0720B"/>
    <w:rsid w:val="00D075A5"/>
    <w:rsid w:val="00D076D8"/>
    <w:rsid w:val="00D07900"/>
    <w:rsid w:val="00D0792B"/>
    <w:rsid w:val="00D07AA8"/>
    <w:rsid w:val="00D11230"/>
    <w:rsid w:val="00D1261B"/>
    <w:rsid w:val="00D12E03"/>
    <w:rsid w:val="00D17D58"/>
    <w:rsid w:val="00D20472"/>
    <w:rsid w:val="00D2116E"/>
    <w:rsid w:val="00D22DD8"/>
    <w:rsid w:val="00D234D1"/>
    <w:rsid w:val="00D2370B"/>
    <w:rsid w:val="00D246E9"/>
    <w:rsid w:val="00D251D1"/>
    <w:rsid w:val="00D266D4"/>
    <w:rsid w:val="00D273AF"/>
    <w:rsid w:val="00D273D5"/>
    <w:rsid w:val="00D27BF5"/>
    <w:rsid w:val="00D27F2A"/>
    <w:rsid w:val="00D32F14"/>
    <w:rsid w:val="00D346AD"/>
    <w:rsid w:val="00D353BF"/>
    <w:rsid w:val="00D3598F"/>
    <w:rsid w:val="00D35C3D"/>
    <w:rsid w:val="00D35C44"/>
    <w:rsid w:val="00D36B8A"/>
    <w:rsid w:val="00D375D2"/>
    <w:rsid w:val="00D3771B"/>
    <w:rsid w:val="00D37CF0"/>
    <w:rsid w:val="00D404C7"/>
    <w:rsid w:val="00D40CB1"/>
    <w:rsid w:val="00D41B15"/>
    <w:rsid w:val="00D42538"/>
    <w:rsid w:val="00D43559"/>
    <w:rsid w:val="00D445FA"/>
    <w:rsid w:val="00D44C86"/>
    <w:rsid w:val="00D4550B"/>
    <w:rsid w:val="00D459D4"/>
    <w:rsid w:val="00D45B8F"/>
    <w:rsid w:val="00D4749B"/>
    <w:rsid w:val="00D47591"/>
    <w:rsid w:val="00D504F2"/>
    <w:rsid w:val="00D5081A"/>
    <w:rsid w:val="00D534BC"/>
    <w:rsid w:val="00D53606"/>
    <w:rsid w:val="00D536D2"/>
    <w:rsid w:val="00D554FF"/>
    <w:rsid w:val="00D6073D"/>
    <w:rsid w:val="00D61EF9"/>
    <w:rsid w:val="00D6374E"/>
    <w:rsid w:val="00D63C4E"/>
    <w:rsid w:val="00D64133"/>
    <w:rsid w:val="00D648AF"/>
    <w:rsid w:val="00D65850"/>
    <w:rsid w:val="00D658B6"/>
    <w:rsid w:val="00D67012"/>
    <w:rsid w:val="00D67DC5"/>
    <w:rsid w:val="00D67ED4"/>
    <w:rsid w:val="00D700AF"/>
    <w:rsid w:val="00D70328"/>
    <w:rsid w:val="00D703DC"/>
    <w:rsid w:val="00D70FA4"/>
    <w:rsid w:val="00D71949"/>
    <w:rsid w:val="00D72743"/>
    <w:rsid w:val="00D733F3"/>
    <w:rsid w:val="00D7411A"/>
    <w:rsid w:val="00D7418F"/>
    <w:rsid w:val="00D747B0"/>
    <w:rsid w:val="00D74C39"/>
    <w:rsid w:val="00D74D66"/>
    <w:rsid w:val="00D75A7C"/>
    <w:rsid w:val="00D763FF"/>
    <w:rsid w:val="00D770B7"/>
    <w:rsid w:val="00D77A36"/>
    <w:rsid w:val="00D8108E"/>
    <w:rsid w:val="00D814CC"/>
    <w:rsid w:val="00D815AA"/>
    <w:rsid w:val="00D81768"/>
    <w:rsid w:val="00D8210B"/>
    <w:rsid w:val="00D82BB0"/>
    <w:rsid w:val="00D833A6"/>
    <w:rsid w:val="00D840C5"/>
    <w:rsid w:val="00D843E8"/>
    <w:rsid w:val="00D84563"/>
    <w:rsid w:val="00D84BF1"/>
    <w:rsid w:val="00D85348"/>
    <w:rsid w:val="00D85C1D"/>
    <w:rsid w:val="00D86463"/>
    <w:rsid w:val="00D869BA"/>
    <w:rsid w:val="00D86B6E"/>
    <w:rsid w:val="00D86FF0"/>
    <w:rsid w:val="00D90395"/>
    <w:rsid w:val="00D90B0B"/>
    <w:rsid w:val="00D9287E"/>
    <w:rsid w:val="00D94F1B"/>
    <w:rsid w:val="00D94F31"/>
    <w:rsid w:val="00D96069"/>
    <w:rsid w:val="00D96E12"/>
    <w:rsid w:val="00D9765B"/>
    <w:rsid w:val="00DA0213"/>
    <w:rsid w:val="00DA031B"/>
    <w:rsid w:val="00DA0D2C"/>
    <w:rsid w:val="00DA0E02"/>
    <w:rsid w:val="00DA23B5"/>
    <w:rsid w:val="00DA2E19"/>
    <w:rsid w:val="00DA31B0"/>
    <w:rsid w:val="00DA3739"/>
    <w:rsid w:val="00DA3805"/>
    <w:rsid w:val="00DA4207"/>
    <w:rsid w:val="00DA4699"/>
    <w:rsid w:val="00DA4ED2"/>
    <w:rsid w:val="00DA6412"/>
    <w:rsid w:val="00DA7761"/>
    <w:rsid w:val="00DA7D57"/>
    <w:rsid w:val="00DB0E3A"/>
    <w:rsid w:val="00DB0E40"/>
    <w:rsid w:val="00DB19DC"/>
    <w:rsid w:val="00DB20D2"/>
    <w:rsid w:val="00DB2D2C"/>
    <w:rsid w:val="00DB334E"/>
    <w:rsid w:val="00DB35AE"/>
    <w:rsid w:val="00DB4CB5"/>
    <w:rsid w:val="00DB5098"/>
    <w:rsid w:val="00DB6718"/>
    <w:rsid w:val="00DC0F02"/>
    <w:rsid w:val="00DC16D6"/>
    <w:rsid w:val="00DC1712"/>
    <w:rsid w:val="00DC1B2A"/>
    <w:rsid w:val="00DC2AAF"/>
    <w:rsid w:val="00DC34A4"/>
    <w:rsid w:val="00DC380E"/>
    <w:rsid w:val="00DC48A9"/>
    <w:rsid w:val="00DC4DDA"/>
    <w:rsid w:val="00DC618A"/>
    <w:rsid w:val="00DC6F06"/>
    <w:rsid w:val="00DC7870"/>
    <w:rsid w:val="00DD0EE4"/>
    <w:rsid w:val="00DD0F6A"/>
    <w:rsid w:val="00DD1549"/>
    <w:rsid w:val="00DD1FF2"/>
    <w:rsid w:val="00DD2F2A"/>
    <w:rsid w:val="00DD3A41"/>
    <w:rsid w:val="00DD3E6A"/>
    <w:rsid w:val="00DD606E"/>
    <w:rsid w:val="00DD652D"/>
    <w:rsid w:val="00DD73B7"/>
    <w:rsid w:val="00DD7572"/>
    <w:rsid w:val="00DD77E5"/>
    <w:rsid w:val="00DE06BC"/>
    <w:rsid w:val="00DE3B87"/>
    <w:rsid w:val="00DE4B91"/>
    <w:rsid w:val="00DE547E"/>
    <w:rsid w:val="00DE65D7"/>
    <w:rsid w:val="00DE7693"/>
    <w:rsid w:val="00DF1332"/>
    <w:rsid w:val="00DF1487"/>
    <w:rsid w:val="00DF2E79"/>
    <w:rsid w:val="00DF2FAF"/>
    <w:rsid w:val="00DF37C9"/>
    <w:rsid w:val="00DF3835"/>
    <w:rsid w:val="00DF3F0B"/>
    <w:rsid w:val="00DF5AF4"/>
    <w:rsid w:val="00DF6584"/>
    <w:rsid w:val="00DF65AB"/>
    <w:rsid w:val="00DF6CE9"/>
    <w:rsid w:val="00E014D7"/>
    <w:rsid w:val="00E01853"/>
    <w:rsid w:val="00E01A55"/>
    <w:rsid w:val="00E02881"/>
    <w:rsid w:val="00E02954"/>
    <w:rsid w:val="00E03D6F"/>
    <w:rsid w:val="00E04628"/>
    <w:rsid w:val="00E04E09"/>
    <w:rsid w:val="00E05717"/>
    <w:rsid w:val="00E05770"/>
    <w:rsid w:val="00E06A6F"/>
    <w:rsid w:val="00E06B1A"/>
    <w:rsid w:val="00E06E96"/>
    <w:rsid w:val="00E07044"/>
    <w:rsid w:val="00E076E0"/>
    <w:rsid w:val="00E0776A"/>
    <w:rsid w:val="00E10295"/>
    <w:rsid w:val="00E106A5"/>
    <w:rsid w:val="00E115CB"/>
    <w:rsid w:val="00E117D0"/>
    <w:rsid w:val="00E12537"/>
    <w:rsid w:val="00E13E08"/>
    <w:rsid w:val="00E1518A"/>
    <w:rsid w:val="00E15945"/>
    <w:rsid w:val="00E1594C"/>
    <w:rsid w:val="00E17764"/>
    <w:rsid w:val="00E207E2"/>
    <w:rsid w:val="00E210BC"/>
    <w:rsid w:val="00E2146E"/>
    <w:rsid w:val="00E21816"/>
    <w:rsid w:val="00E218C5"/>
    <w:rsid w:val="00E21EC8"/>
    <w:rsid w:val="00E22EE4"/>
    <w:rsid w:val="00E24500"/>
    <w:rsid w:val="00E252E6"/>
    <w:rsid w:val="00E256BD"/>
    <w:rsid w:val="00E26347"/>
    <w:rsid w:val="00E2751E"/>
    <w:rsid w:val="00E27653"/>
    <w:rsid w:val="00E276CB"/>
    <w:rsid w:val="00E27BEE"/>
    <w:rsid w:val="00E3072A"/>
    <w:rsid w:val="00E30EF3"/>
    <w:rsid w:val="00E31349"/>
    <w:rsid w:val="00E31485"/>
    <w:rsid w:val="00E32A24"/>
    <w:rsid w:val="00E32C1A"/>
    <w:rsid w:val="00E3451B"/>
    <w:rsid w:val="00E34F9C"/>
    <w:rsid w:val="00E3534A"/>
    <w:rsid w:val="00E36F7C"/>
    <w:rsid w:val="00E37238"/>
    <w:rsid w:val="00E3725A"/>
    <w:rsid w:val="00E404D2"/>
    <w:rsid w:val="00E4063D"/>
    <w:rsid w:val="00E40D0C"/>
    <w:rsid w:val="00E41170"/>
    <w:rsid w:val="00E41B4D"/>
    <w:rsid w:val="00E422B3"/>
    <w:rsid w:val="00E424E3"/>
    <w:rsid w:val="00E44802"/>
    <w:rsid w:val="00E44A95"/>
    <w:rsid w:val="00E45477"/>
    <w:rsid w:val="00E4597D"/>
    <w:rsid w:val="00E4636A"/>
    <w:rsid w:val="00E47073"/>
    <w:rsid w:val="00E47D0F"/>
    <w:rsid w:val="00E5168E"/>
    <w:rsid w:val="00E529C7"/>
    <w:rsid w:val="00E5355B"/>
    <w:rsid w:val="00E55C19"/>
    <w:rsid w:val="00E56253"/>
    <w:rsid w:val="00E56973"/>
    <w:rsid w:val="00E6025E"/>
    <w:rsid w:val="00E615B7"/>
    <w:rsid w:val="00E6175B"/>
    <w:rsid w:val="00E61B1E"/>
    <w:rsid w:val="00E61D39"/>
    <w:rsid w:val="00E61E0D"/>
    <w:rsid w:val="00E63514"/>
    <w:rsid w:val="00E64643"/>
    <w:rsid w:val="00E64BCC"/>
    <w:rsid w:val="00E650C5"/>
    <w:rsid w:val="00E6516F"/>
    <w:rsid w:val="00E657CC"/>
    <w:rsid w:val="00E65CB3"/>
    <w:rsid w:val="00E66B2D"/>
    <w:rsid w:val="00E675D4"/>
    <w:rsid w:val="00E70563"/>
    <w:rsid w:val="00E70A89"/>
    <w:rsid w:val="00E70E8E"/>
    <w:rsid w:val="00E7132F"/>
    <w:rsid w:val="00E72BE5"/>
    <w:rsid w:val="00E7377F"/>
    <w:rsid w:val="00E74364"/>
    <w:rsid w:val="00E7441E"/>
    <w:rsid w:val="00E75A9A"/>
    <w:rsid w:val="00E77780"/>
    <w:rsid w:val="00E77EF2"/>
    <w:rsid w:val="00E8007B"/>
    <w:rsid w:val="00E807A7"/>
    <w:rsid w:val="00E80CEA"/>
    <w:rsid w:val="00E8177A"/>
    <w:rsid w:val="00E83223"/>
    <w:rsid w:val="00E8342A"/>
    <w:rsid w:val="00E83F86"/>
    <w:rsid w:val="00E843F2"/>
    <w:rsid w:val="00E84E33"/>
    <w:rsid w:val="00E84F38"/>
    <w:rsid w:val="00E854DC"/>
    <w:rsid w:val="00E85667"/>
    <w:rsid w:val="00E856DB"/>
    <w:rsid w:val="00E87176"/>
    <w:rsid w:val="00E904FB"/>
    <w:rsid w:val="00E90C12"/>
    <w:rsid w:val="00E927E2"/>
    <w:rsid w:val="00E92B60"/>
    <w:rsid w:val="00E94E0B"/>
    <w:rsid w:val="00E959C0"/>
    <w:rsid w:val="00E97193"/>
    <w:rsid w:val="00E975A5"/>
    <w:rsid w:val="00E9790E"/>
    <w:rsid w:val="00EA101F"/>
    <w:rsid w:val="00EA108A"/>
    <w:rsid w:val="00EA1397"/>
    <w:rsid w:val="00EA15F4"/>
    <w:rsid w:val="00EA1B0F"/>
    <w:rsid w:val="00EA2284"/>
    <w:rsid w:val="00EA2CF7"/>
    <w:rsid w:val="00EA33E3"/>
    <w:rsid w:val="00EA3BB6"/>
    <w:rsid w:val="00EA46B8"/>
    <w:rsid w:val="00EA5666"/>
    <w:rsid w:val="00EA5A47"/>
    <w:rsid w:val="00EA5B00"/>
    <w:rsid w:val="00EA6089"/>
    <w:rsid w:val="00EA63D0"/>
    <w:rsid w:val="00EA699F"/>
    <w:rsid w:val="00EA719B"/>
    <w:rsid w:val="00EA7D96"/>
    <w:rsid w:val="00EB02F5"/>
    <w:rsid w:val="00EB29C8"/>
    <w:rsid w:val="00EB2C68"/>
    <w:rsid w:val="00EB4E1E"/>
    <w:rsid w:val="00EB5194"/>
    <w:rsid w:val="00EB5212"/>
    <w:rsid w:val="00EB5C50"/>
    <w:rsid w:val="00EB5CF9"/>
    <w:rsid w:val="00EB6215"/>
    <w:rsid w:val="00EB6A1D"/>
    <w:rsid w:val="00EB6A3C"/>
    <w:rsid w:val="00EB6D26"/>
    <w:rsid w:val="00EB6D29"/>
    <w:rsid w:val="00EB6FA8"/>
    <w:rsid w:val="00EC0134"/>
    <w:rsid w:val="00EC0818"/>
    <w:rsid w:val="00EC1141"/>
    <w:rsid w:val="00EC269E"/>
    <w:rsid w:val="00EC3484"/>
    <w:rsid w:val="00EC377B"/>
    <w:rsid w:val="00EC6BAA"/>
    <w:rsid w:val="00EC6CE3"/>
    <w:rsid w:val="00EC6D35"/>
    <w:rsid w:val="00EC73EF"/>
    <w:rsid w:val="00ED11DC"/>
    <w:rsid w:val="00ED2AB5"/>
    <w:rsid w:val="00ED3F43"/>
    <w:rsid w:val="00ED4278"/>
    <w:rsid w:val="00ED4EF2"/>
    <w:rsid w:val="00ED5BF7"/>
    <w:rsid w:val="00EE01C6"/>
    <w:rsid w:val="00EE06F9"/>
    <w:rsid w:val="00EE2DD4"/>
    <w:rsid w:val="00EE3264"/>
    <w:rsid w:val="00EE32A8"/>
    <w:rsid w:val="00EE3B95"/>
    <w:rsid w:val="00EE40A2"/>
    <w:rsid w:val="00EE4C33"/>
    <w:rsid w:val="00EE53F3"/>
    <w:rsid w:val="00EF06FA"/>
    <w:rsid w:val="00EF086F"/>
    <w:rsid w:val="00EF0E61"/>
    <w:rsid w:val="00EF11D5"/>
    <w:rsid w:val="00EF1224"/>
    <w:rsid w:val="00EF186F"/>
    <w:rsid w:val="00EF1E00"/>
    <w:rsid w:val="00EF2599"/>
    <w:rsid w:val="00EF33C5"/>
    <w:rsid w:val="00EF4EFE"/>
    <w:rsid w:val="00EF5A18"/>
    <w:rsid w:val="00EF6433"/>
    <w:rsid w:val="00F00154"/>
    <w:rsid w:val="00F00AEF"/>
    <w:rsid w:val="00F01414"/>
    <w:rsid w:val="00F01F54"/>
    <w:rsid w:val="00F02E68"/>
    <w:rsid w:val="00F03528"/>
    <w:rsid w:val="00F03B9F"/>
    <w:rsid w:val="00F04487"/>
    <w:rsid w:val="00F05C04"/>
    <w:rsid w:val="00F05C0C"/>
    <w:rsid w:val="00F07ACB"/>
    <w:rsid w:val="00F07D3F"/>
    <w:rsid w:val="00F07F46"/>
    <w:rsid w:val="00F110DC"/>
    <w:rsid w:val="00F11D03"/>
    <w:rsid w:val="00F11FAB"/>
    <w:rsid w:val="00F130B6"/>
    <w:rsid w:val="00F138B3"/>
    <w:rsid w:val="00F14098"/>
    <w:rsid w:val="00F14A77"/>
    <w:rsid w:val="00F1553C"/>
    <w:rsid w:val="00F15AD2"/>
    <w:rsid w:val="00F15BB8"/>
    <w:rsid w:val="00F1717E"/>
    <w:rsid w:val="00F17EA5"/>
    <w:rsid w:val="00F21222"/>
    <w:rsid w:val="00F21CBD"/>
    <w:rsid w:val="00F22EA7"/>
    <w:rsid w:val="00F24D94"/>
    <w:rsid w:val="00F259C4"/>
    <w:rsid w:val="00F25AC2"/>
    <w:rsid w:val="00F26A1D"/>
    <w:rsid w:val="00F26B6A"/>
    <w:rsid w:val="00F30279"/>
    <w:rsid w:val="00F32700"/>
    <w:rsid w:val="00F33687"/>
    <w:rsid w:val="00F33E13"/>
    <w:rsid w:val="00F349FB"/>
    <w:rsid w:val="00F34AB8"/>
    <w:rsid w:val="00F35EC6"/>
    <w:rsid w:val="00F41680"/>
    <w:rsid w:val="00F41A01"/>
    <w:rsid w:val="00F42ACF"/>
    <w:rsid w:val="00F4308E"/>
    <w:rsid w:val="00F44959"/>
    <w:rsid w:val="00F44A70"/>
    <w:rsid w:val="00F4513C"/>
    <w:rsid w:val="00F461A4"/>
    <w:rsid w:val="00F46915"/>
    <w:rsid w:val="00F46C8A"/>
    <w:rsid w:val="00F47218"/>
    <w:rsid w:val="00F47FF6"/>
    <w:rsid w:val="00F501E9"/>
    <w:rsid w:val="00F5028C"/>
    <w:rsid w:val="00F50E92"/>
    <w:rsid w:val="00F51B66"/>
    <w:rsid w:val="00F523F6"/>
    <w:rsid w:val="00F5246F"/>
    <w:rsid w:val="00F53710"/>
    <w:rsid w:val="00F537E8"/>
    <w:rsid w:val="00F556A0"/>
    <w:rsid w:val="00F567C1"/>
    <w:rsid w:val="00F5773C"/>
    <w:rsid w:val="00F578D5"/>
    <w:rsid w:val="00F57BFA"/>
    <w:rsid w:val="00F57D22"/>
    <w:rsid w:val="00F57D5D"/>
    <w:rsid w:val="00F60890"/>
    <w:rsid w:val="00F60D2E"/>
    <w:rsid w:val="00F629A7"/>
    <w:rsid w:val="00F62E98"/>
    <w:rsid w:val="00F63AFF"/>
    <w:rsid w:val="00F63F86"/>
    <w:rsid w:val="00F65D5A"/>
    <w:rsid w:val="00F6642F"/>
    <w:rsid w:val="00F66D61"/>
    <w:rsid w:val="00F67281"/>
    <w:rsid w:val="00F70957"/>
    <w:rsid w:val="00F71396"/>
    <w:rsid w:val="00F7279C"/>
    <w:rsid w:val="00F727BE"/>
    <w:rsid w:val="00F7286F"/>
    <w:rsid w:val="00F7288D"/>
    <w:rsid w:val="00F735E7"/>
    <w:rsid w:val="00F73E32"/>
    <w:rsid w:val="00F7401C"/>
    <w:rsid w:val="00F745F2"/>
    <w:rsid w:val="00F754F1"/>
    <w:rsid w:val="00F75883"/>
    <w:rsid w:val="00F75E4E"/>
    <w:rsid w:val="00F7720A"/>
    <w:rsid w:val="00F7769C"/>
    <w:rsid w:val="00F779E3"/>
    <w:rsid w:val="00F77DA5"/>
    <w:rsid w:val="00F80250"/>
    <w:rsid w:val="00F816EF"/>
    <w:rsid w:val="00F81C57"/>
    <w:rsid w:val="00F81D5D"/>
    <w:rsid w:val="00F82B6E"/>
    <w:rsid w:val="00F82D1F"/>
    <w:rsid w:val="00F84DCE"/>
    <w:rsid w:val="00F85599"/>
    <w:rsid w:val="00F8580F"/>
    <w:rsid w:val="00F869ED"/>
    <w:rsid w:val="00F86A7A"/>
    <w:rsid w:val="00F86D40"/>
    <w:rsid w:val="00F90AEF"/>
    <w:rsid w:val="00F90DE8"/>
    <w:rsid w:val="00F915FB"/>
    <w:rsid w:val="00F91BE6"/>
    <w:rsid w:val="00F921A9"/>
    <w:rsid w:val="00F92F68"/>
    <w:rsid w:val="00F92FE7"/>
    <w:rsid w:val="00F946C9"/>
    <w:rsid w:val="00F95A40"/>
    <w:rsid w:val="00F95B76"/>
    <w:rsid w:val="00F96D5E"/>
    <w:rsid w:val="00F96D69"/>
    <w:rsid w:val="00F976B0"/>
    <w:rsid w:val="00F97742"/>
    <w:rsid w:val="00F97EA7"/>
    <w:rsid w:val="00FA061D"/>
    <w:rsid w:val="00FA30A1"/>
    <w:rsid w:val="00FA43E0"/>
    <w:rsid w:val="00FA629F"/>
    <w:rsid w:val="00FA62CA"/>
    <w:rsid w:val="00FA6E1E"/>
    <w:rsid w:val="00FA717B"/>
    <w:rsid w:val="00FA7CD4"/>
    <w:rsid w:val="00FB0373"/>
    <w:rsid w:val="00FB05D1"/>
    <w:rsid w:val="00FB0D8F"/>
    <w:rsid w:val="00FB46F1"/>
    <w:rsid w:val="00FB4FEA"/>
    <w:rsid w:val="00FB5E6F"/>
    <w:rsid w:val="00FB6F1F"/>
    <w:rsid w:val="00FB7234"/>
    <w:rsid w:val="00FB7CD2"/>
    <w:rsid w:val="00FC012D"/>
    <w:rsid w:val="00FC0D02"/>
    <w:rsid w:val="00FC2139"/>
    <w:rsid w:val="00FC28FE"/>
    <w:rsid w:val="00FC29C7"/>
    <w:rsid w:val="00FC4BEB"/>
    <w:rsid w:val="00FC5EA4"/>
    <w:rsid w:val="00FC7458"/>
    <w:rsid w:val="00FC754C"/>
    <w:rsid w:val="00FD0244"/>
    <w:rsid w:val="00FD12B7"/>
    <w:rsid w:val="00FD1416"/>
    <w:rsid w:val="00FD35D4"/>
    <w:rsid w:val="00FD4492"/>
    <w:rsid w:val="00FD4EE6"/>
    <w:rsid w:val="00FD4FB7"/>
    <w:rsid w:val="00FD5650"/>
    <w:rsid w:val="00FD56F6"/>
    <w:rsid w:val="00FD6A82"/>
    <w:rsid w:val="00FD7160"/>
    <w:rsid w:val="00FD7B6E"/>
    <w:rsid w:val="00FE0861"/>
    <w:rsid w:val="00FE1219"/>
    <w:rsid w:val="00FE3BEB"/>
    <w:rsid w:val="00FE48BD"/>
    <w:rsid w:val="00FE5EFB"/>
    <w:rsid w:val="00FE68E4"/>
    <w:rsid w:val="00FE6DA0"/>
    <w:rsid w:val="00FE73BD"/>
    <w:rsid w:val="00FE7EE2"/>
    <w:rsid w:val="00FF0AB5"/>
    <w:rsid w:val="00FF21E1"/>
    <w:rsid w:val="00FF285D"/>
    <w:rsid w:val="00FF3116"/>
    <w:rsid w:val="00FF3536"/>
    <w:rsid w:val="00FF4E37"/>
    <w:rsid w:val="00FF5D20"/>
    <w:rsid w:val="00FF641D"/>
    <w:rsid w:val="00FF6672"/>
    <w:rsid w:val="00FF6F7F"/>
    <w:rsid w:val="00FF7682"/>
    <w:rsid w:val="00FF784A"/>
    <w:rsid w:val="014A4B87"/>
    <w:rsid w:val="01521C8D"/>
    <w:rsid w:val="0194674A"/>
    <w:rsid w:val="019B53E2"/>
    <w:rsid w:val="01B756A5"/>
    <w:rsid w:val="01D9415D"/>
    <w:rsid w:val="02F64713"/>
    <w:rsid w:val="03035935"/>
    <w:rsid w:val="034B2E38"/>
    <w:rsid w:val="03561F09"/>
    <w:rsid w:val="037B196F"/>
    <w:rsid w:val="0385634A"/>
    <w:rsid w:val="03891527"/>
    <w:rsid w:val="03A8028B"/>
    <w:rsid w:val="03B612D7"/>
    <w:rsid w:val="03E92107"/>
    <w:rsid w:val="03F51722"/>
    <w:rsid w:val="040E27E3"/>
    <w:rsid w:val="042C0EBC"/>
    <w:rsid w:val="04425610"/>
    <w:rsid w:val="048C3708"/>
    <w:rsid w:val="049A3989"/>
    <w:rsid w:val="04A13CAC"/>
    <w:rsid w:val="04BD38C2"/>
    <w:rsid w:val="05047743"/>
    <w:rsid w:val="0518671B"/>
    <w:rsid w:val="05417F47"/>
    <w:rsid w:val="055A508B"/>
    <w:rsid w:val="05822DD6"/>
    <w:rsid w:val="058D598A"/>
    <w:rsid w:val="05AD1B88"/>
    <w:rsid w:val="06213C76"/>
    <w:rsid w:val="06540256"/>
    <w:rsid w:val="066F6E3E"/>
    <w:rsid w:val="06AD62E4"/>
    <w:rsid w:val="06B37672"/>
    <w:rsid w:val="06C22D76"/>
    <w:rsid w:val="06C67145"/>
    <w:rsid w:val="06FA7E63"/>
    <w:rsid w:val="06FE2A52"/>
    <w:rsid w:val="071023CF"/>
    <w:rsid w:val="071D280F"/>
    <w:rsid w:val="0737675D"/>
    <w:rsid w:val="0754369F"/>
    <w:rsid w:val="075E313A"/>
    <w:rsid w:val="07843CDE"/>
    <w:rsid w:val="07C16458"/>
    <w:rsid w:val="07F341CA"/>
    <w:rsid w:val="07F67816"/>
    <w:rsid w:val="08112364"/>
    <w:rsid w:val="081128A2"/>
    <w:rsid w:val="08216DCF"/>
    <w:rsid w:val="082C4CFA"/>
    <w:rsid w:val="08470072"/>
    <w:rsid w:val="0854278F"/>
    <w:rsid w:val="08757E1C"/>
    <w:rsid w:val="08A2799E"/>
    <w:rsid w:val="08CC0577"/>
    <w:rsid w:val="08E04B71"/>
    <w:rsid w:val="090F7D05"/>
    <w:rsid w:val="09150170"/>
    <w:rsid w:val="09151F1E"/>
    <w:rsid w:val="095A15DC"/>
    <w:rsid w:val="097E3F67"/>
    <w:rsid w:val="09970B85"/>
    <w:rsid w:val="099D4A11"/>
    <w:rsid w:val="09A11A04"/>
    <w:rsid w:val="09BE0A46"/>
    <w:rsid w:val="09C120A6"/>
    <w:rsid w:val="09D21BBD"/>
    <w:rsid w:val="09DC2A3C"/>
    <w:rsid w:val="09F935EE"/>
    <w:rsid w:val="0A217411"/>
    <w:rsid w:val="0A432ABB"/>
    <w:rsid w:val="0A7744B8"/>
    <w:rsid w:val="0A876E4C"/>
    <w:rsid w:val="0AAF0151"/>
    <w:rsid w:val="0ABB6AF5"/>
    <w:rsid w:val="0ACB4F8A"/>
    <w:rsid w:val="0AEE6ECB"/>
    <w:rsid w:val="0AF32599"/>
    <w:rsid w:val="0B0417D3"/>
    <w:rsid w:val="0B154FC2"/>
    <w:rsid w:val="0BA457DB"/>
    <w:rsid w:val="0BBF72C8"/>
    <w:rsid w:val="0BD04822"/>
    <w:rsid w:val="0BF21886"/>
    <w:rsid w:val="0BF47828"/>
    <w:rsid w:val="0BFD70A2"/>
    <w:rsid w:val="0C022271"/>
    <w:rsid w:val="0C032502"/>
    <w:rsid w:val="0C452B1A"/>
    <w:rsid w:val="0C526355"/>
    <w:rsid w:val="0C681953"/>
    <w:rsid w:val="0C6D335E"/>
    <w:rsid w:val="0C776A4C"/>
    <w:rsid w:val="0C790A16"/>
    <w:rsid w:val="0CA041F5"/>
    <w:rsid w:val="0CB07925"/>
    <w:rsid w:val="0CD41BFD"/>
    <w:rsid w:val="0CF34325"/>
    <w:rsid w:val="0D032BE0"/>
    <w:rsid w:val="0D6F607A"/>
    <w:rsid w:val="0D9A12F9"/>
    <w:rsid w:val="0D9E2A3E"/>
    <w:rsid w:val="0DBC0BBA"/>
    <w:rsid w:val="0DC108C7"/>
    <w:rsid w:val="0E39045D"/>
    <w:rsid w:val="0E762A91"/>
    <w:rsid w:val="0E7771D7"/>
    <w:rsid w:val="0E7D34AF"/>
    <w:rsid w:val="0EAB71BE"/>
    <w:rsid w:val="0EBA0CEE"/>
    <w:rsid w:val="0EDB7766"/>
    <w:rsid w:val="0EDE6C86"/>
    <w:rsid w:val="0EE06B2A"/>
    <w:rsid w:val="0EEC3721"/>
    <w:rsid w:val="0F0A240A"/>
    <w:rsid w:val="0F160079"/>
    <w:rsid w:val="0F291CCA"/>
    <w:rsid w:val="0F4672D5"/>
    <w:rsid w:val="0F5B2655"/>
    <w:rsid w:val="0FA311DA"/>
    <w:rsid w:val="0FA61B22"/>
    <w:rsid w:val="0FDA6A94"/>
    <w:rsid w:val="102525B6"/>
    <w:rsid w:val="10991687"/>
    <w:rsid w:val="109C0705"/>
    <w:rsid w:val="10AA5642"/>
    <w:rsid w:val="10B011A1"/>
    <w:rsid w:val="10E21923"/>
    <w:rsid w:val="1118180F"/>
    <w:rsid w:val="111D54CE"/>
    <w:rsid w:val="11621A79"/>
    <w:rsid w:val="11AE307D"/>
    <w:rsid w:val="11B61DC5"/>
    <w:rsid w:val="11E132E5"/>
    <w:rsid w:val="11F272A1"/>
    <w:rsid w:val="11F755A9"/>
    <w:rsid w:val="11FB6A1C"/>
    <w:rsid w:val="122B332B"/>
    <w:rsid w:val="122D652B"/>
    <w:rsid w:val="1239627B"/>
    <w:rsid w:val="123E3809"/>
    <w:rsid w:val="1255782F"/>
    <w:rsid w:val="12930E87"/>
    <w:rsid w:val="12A83E03"/>
    <w:rsid w:val="12AA12B5"/>
    <w:rsid w:val="12BB2799"/>
    <w:rsid w:val="13014DFC"/>
    <w:rsid w:val="13763F01"/>
    <w:rsid w:val="137D703E"/>
    <w:rsid w:val="138A52B7"/>
    <w:rsid w:val="13AC49A9"/>
    <w:rsid w:val="13BC5DB8"/>
    <w:rsid w:val="13C82EBD"/>
    <w:rsid w:val="13D27719"/>
    <w:rsid w:val="13D33102"/>
    <w:rsid w:val="13D754E4"/>
    <w:rsid w:val="13F015BE"/>
    <w:rsid w:val="14052375"/>
    <w:rsid w:val="14103A0E"/>
    <w:rsid w:val="142259AD"/>
    <w:rsid w:val="14336539"/>
    <w:rsid w:val="143429E0"/>
    <w:rsid w:val="144C06BE"/>
    <w:rsid w:val="146E4BD8"/>
    <w:rsid w:val="14A92E72"/>
    <w:rsid w:val="14D42C8D"/>
    <w:rsid w:val="14EB7FD7"/>
    <w:rsid w:val="14FE49E3"/>
    <w:rsid w:val="150177FB"/>
    <w:rsid w:val="15533B0A"/>
    <w:rsid w:val="156009C5"/>
    <w:rsid w:val="15724254"/>
    <w:rsid w:val="15EA028F"/>
    <w:rsid w:val="165E2529"/>
    <w:rsid w:val="168129A1"/>
    <w:rsid w:val="16B72867"/>
    <w:rsid w:val="1707565A"/>
    <w:rsid w:val="171D675E"/>
    <w:rsid w:val="17486E4C"/>
    <w:rsid w:val="17AA5F28"/>
    <w:rsid w:val="17C01D5D"/>
    <w:rsid w:val="17C35302"/>
    <w:rsid w:val="17D86F39"/>
    <w:rsid w:val="17DB2818"/>
    <w:rsid w:val="17F43C7A"/>
    <w:rsid w:val="18075128"/>
    <w:rsid w:val="180B1483"/>
    <w:rsid w:val="180B1B5A"/>
    <w:rsid w:val="18335F1D"/>
    <w:rsid w:val="184E0FA9"/>
    <w:rsid w:val="18E90CD1"/>
    <w:rsid w:val="191F64A1"/>
    <w:rsid w:val="192341E3"/>
    <w:rsid w:val="196818D5"/>
    <w:rsid w:val="19715B39"/>
    <w:rsid w:val="19940C3D"/>
    <w:rsid w:val="19DB686C"/>
    <w:rsid w:val="19F54DCA"/>
    <w:rsid w:val="1A1B5BAC"/>
    <w:rsid w:val="1A400DC5"/>
    <w:rsid w:val="1A4153CD"/>
    <w:rsid w:val="1A562397"/>
    <w:rsid w:val="1A911621"/>
    <w:rsid w:val="1AA17AB6"/>
    <w:rsid w:val="1ABC3C21"/>
    <w:rsid w:val="1AC819CB"/>
    <w:rsid w:val="1B024856"/>
    <w:rsid w:val="1B132036"/>
    <w:rsid w:val="1B373F76"/>
    <w:rsid w:val="1B487F31"/>
    <w:rsid w:val="1B6F4BDB"/>
    <w:rsid w:val="1B794B43"/>
    <w:rsid w:val="1B826CAD"/>
    <w:rsid w:val="1B852F33"/>
    <w:rsid w:val="1B9A1A18"/>
    <w:rsid w:val="1BB76E65"/>
    <w:rsid w:val="1BBB4BA7"/>
    <w:rsid w:val="1C247350"/>
    <w:rsid w:val="1C3958C8"/>
    <w:rsid w:val="1C481FEF"/>
    <w:rsid w:val="1C60574F"/>
    <w:rsid w:val="1C715266"/>
    <w:rsid w:val="1C7C6D10"/>
    <w:rsid w:val="1CA4563B"/>
    <w:rsid w:val="1CD43FC7"/>
    <w:rsid w:val="1D464944"/>
    <w:rsid w:val="1D570900"/>
    <w:rsid w:val="1D623D91"/>
    <w:rsid w:val="1D8F11D2"/>
    <w:rsid w:val="1DA54F97"/>
    <w:rsid w:val="1DD957B9"/>
    <w:rsid w:val="1DEC409F"/>
    <w:rsid w:val="1E2C6E75"/>
    <w:rsid w:val="1E3173A3"/>
    <w:rsid w:val="1E4F2C3F"/>
    <w:rsid w:val="1E91399D"/>
    <w:rsid w:val="1E990AA4"/>
    <w:rsid w:val="1F08738A"/>
    <w:rsid w:val="1F177A4C"/>
    <w:rsid w:val="1F1F390B"/>
    <w:rsid w:val="1F306312"/>
    <w:rsid w:val="1F323A4E"/>
    <w:rsid w:val="1F394761"/>
    <w:rsid w:val="1F5A0233"/>
    <w:rsid w:val="1F7237CF"/>
    <w:rsid w:val="1FA85442"/>
    <w:rsid w:val="1FBD78B3"/>
    <w:rsid w:val="1FC102B2"/>
    <w:rsid w:val="1FD224BF"/>
    <w:rsid w:val="1FE67D19"/>
    <w:rsid w:val="203767C6"/>
    <w:rsid w:val="209469F1"/>
    <w:rsid w:val="20B7324F"/>
    <w:rsid w:val="20CE2C87"/>
    <w:rsid w:val="20CF447D"/>
    <w:rsid w:val="20D66B76"/>
    <w:rsid w:val="210677A8"/>
    <w:rsid w:val="211A3C53"/>
    <w:rsid w:val="217F4C9A"/>
    <w:rsid w:val="219867AA"/>
    <w:rsid w:val="21F0441B"/>
    <w:rsid w:val="21F101A3"/>
    <w:rsid w:val="21F726B1"/>
    <w:rsid w:val="220F4D9E"/>
    <w:rsid w:val="222F400A"/>
    <w:rsid w:val="2268710B"/>
    <w:rsid w:val="227C4964"/>
    <w:rsid w:val="228E4CF6"/>
    <w:rsid w:val="22934188"/>
    <w:rsid w:val="2297354C"/>
    <w:rsid w:val="22993768"/>
    <w:rsid w:val="22C24A6D"/>
    <w:rsid w:val="22CE51C0"/>
    <w:rsid w:val="22EE5862"/>
    <w:rsid w:val="2300113D"/>
    <w:rsid w:val="2322375E"/>
    <w:rsid w:val="23254DF5"/>
    <w:rsid w:val="233F7E6C"/>
    <w:rsid w:val="23451001"/>
    <w:rsid w:val="235A7B12"/>
    <w:rsid w:val="24217571"/>
    <w:rsid w:val="242B4894"/>
    <w:rsid w:val="24416BA2"/>
    <w:rsid w:val="244514B2"/>
    <w:rsid w:val="244F6231"/>
    <w:rsid w:val="246B4DDA"/>
    <w:rsid w:val="24942439"/>
    <w:rsid w:val="24A438C3"/>
    <w:rsid w:val="24A67096"/>
    <w:rsid w:val="24CD76F9"/>
    <w:rsid w:val="24E707BB"/>
    <w:rsid w:val="25010FCF"/>
    <w:rsid w:val="25630DB5"/>
    <w:rsid w:val="25757B75"/>
    <w:rsid w:val="258E6E89"/>
    <w:rsid w:val="2593624D"/>
    <w:rsid w:val="25AA1845"/>
    <w:rsid w:val="25BD32CA"/>
    <w:rsid w:val="262212E9"/>
    <w:rsid w:val="26321F0A"/>
    <w:rsid w:val="265E2CFF"/>
    <w:rsid w:val="266B0F78"/>
    <w:rsid w:val="26914E82"/>
    <w:rsid w:val="269167F6"/>
    <w:rsid w:val="269C7383"/>
    <w:rsid w:val="26C97FF4"/>
    <w:rsid w:val="26CA2142"/>
    <w:rsid w:val="26DC5208"/>
    <w:rsid w:val="26DF7DC9"/>
    <w:rsid w:val="26EC20B9"/>
    <w:rsid w:val="271B7282"/>
    <w:rsid w:val="271E5FEA"/>
    <w:rsid w:val="272B1F61"/>
    <w:rsid w:val="27392E24"/>
    <w:rsid w:val="273D2914"/>
    <w:rsid w:val="2776092C"/>
    <w:rsid w:val="2784667D"/>
    <w:rsid w:val="2795132E"/>
    <w:rsid w:val="27CB251C"/>
    <w:rsid w:val="27CB43C4"/>
    <w:rsid w:val="281E297D"/>
    <w:rsid w:val="28211030"/>
    <w:rsid w:val="285E74CB"/>
    <w:rsid w:val="28612632"/>
    <w:rsid w:val="286541A3"/>
    <w:rsid w:val="28831658"/>
    <w:rsid w:val="28AA222B"/>
    <w:rsid w:val="28D93D8C"/>
    <w:rsid w:val="291B46A3"/>
    <w:rsid w:val="292C0E92"/>
    <w:rsid w:val="29325D7D"/>
    <w:rsid w:val="29442B98"/>
    <w:rsid w:val="29565F0F"/>
    <w:rsid w:val="29634188"/>
    <w:rsid w:val="298505A2"/>
    <w:rsid w:val="299E3412"/>
    <w:rsid w:val="29B80978"/>
    <w:rsid w:val="29BF5862"/>
    <w:rsid w:val="2A1269DF"/>
    <w:rsid w:val="2A470BC4"/>
    <w:rsid w:val="2A4C5858"/>
    <w:rsid w:val="2A522B7B"/>
    <w:rsid w:val="2A5E589E"/>
    <w:rsid w:val="2A8B1BE9"/>
    <w:rsid w:val="2ABC56C6"/>
    <w:rsid w:val="2ABE5B1A"/>
    <w:rsid w:val="2AE16896"/>
    <w:rsid w:val="2B125E66"/>
    <w:rsid w:val="2B6C7CBA"/>
    <w:rsid w:val="2B82123D"/>
    <w:rsid w:val="2B8F5708"/>
    <w:rsid w:val="2B965F8F"/>
    <w:rsid w:val="2BA94A1C"/>
    <w:rsid w:val="2BB313F7"/>
    <w:rsid w:val="2BBA42AF"/>
    <w:rsid w:val="2BD2208D"/>
    <w:rsid w:val="2BE9306B"/>
    <w:rsid w:val="2BEA1868"/>
    <w:rsid w:val="2C1A3C52"/>
    <w:rsid w:val="2C3F2C8B"/>
    <w:rsid w:val="2C650063"/>
    <w:rsid w:val="2C947860"/>
    <w:rsid w:val="2CCF04B2"/>
    <w:rsid w:val="2CD94E8D"/>
    <w:rsid w:val="2CF047C1"/>
    <w:rsid w:val="2CF7307A"/>
    <w:rsid w:val="2D0A773C"/>
    <w:rsid w:val="2D1B54A6"/>
    <w:rsid w:val="2D2563F3"/>
    <w:rsid w:val="2D3161A4"/>
    <w:rsid w:val="2D482013"/>
    <w:rsid w:val="2D53395B"/>
    <w:rsid w:val="2D850759"/>
    <w:rsid w:val="2DBF44C5"/>
    <w:rsid w:val="2DD45655"/>
    <w:rsid w:val="2DD61305"/>
    <w:rsid w:val="2DF21467"/>
    <w:rsid w:val="2E100D83"/>
    <w:rsid w:val="2E163EBF"/>
    <w:rsid w:val="2E310CF9"/>
    <w:rsid w:val="2E32483A"/>
    <w:rsid w:val="2E3D3071"/>
    <w:rsid w:val="2E56075F"/>
    <w:rsid w:val="2E5D564A"/>
    <w:rsid w:val="2E9D30A7"/>
    <w:rsid w:val="2EA9431C"/>
    <w:rsid w:val="2EBA2574"/>
    <w:rsid w:val="2ECE6548"/>
    <w:rsid w:val="2ED578D6"/>
    <w:rsid w:val="2EEA2003"/>
    <w:rsid w:val="2EF07129"/>
    <w:rsid w:val="2F212B1B"/>
    <w:rsid w:val="2F37233F"/>
    <w:rsid w:val="2F7056E3"/>
    <w:rsid w:val="2F8D1F5F"/>
    <w:rsid w:val="2FA14DA0"/>
    <w:rsid w:val="2FA33530"/>
    <w:rsid w:val="2FAC4ADB"/>
    <w:rsid w:val="2FCD436A"/>
    <w:rsid w:val="2FED4107"/>
    <w:rsid w:val="302723B3"/>
    <w:rsid w:val="302777FD"/>
    <w:rsid w:val="30492223"/>
    <w:rsid w:val="3058422F"/>
    <w:rsid w:val="3075279F"/>
    <w:rsid w:val="3078676B"/>
    <w:rsid w:val="30AB2402"/>
    <w:rsid w:val="30C916BD"/>
    <w:rsid w:val="30FA1B69"/>
    <w:rsid w:val="314B20D2"/>
    <w:rsid w:val="31811DFC"/>
    <w:rsid w:val="3188014D"/>
    <w:rsid w:val="31B9528D"/>
    <w:rsid w:val="31BD6B27"/>
    <w:rsid w:val="31E51A96"/>
    <w:rsid w:val="31F60575"/>
    <w:rsid w:val="32026C34"/>
    <w:rsid w:val="321C75CB"/>
    <w:rsid w:val="321E77E6"/>
    <w:rsid w:val="32221084"/>
    <w:rsid w:val="32222E32"/>
    <w:rsid w:val="322841C1"/>
    <w:rsid w:val="32485077"/>
    <w:rsid w:val="32655415"/>
    <w:rsid w:val="32E00C87"/>
    <w:rsid w:val="32EB591A"/>
    <w:rsid w:val="32F43CBC"/>
    <w:rsid w:val="3350577D"/>
    <w:rsid w:val="3353526D"/>
    <w:rsid w:val="335C6275"/>
    <w:rsid w:val="338D077F"/>
    <w:rsid w:val="339B649B"/>
    <w:rsid w:val="33F151B2"/>
    <w:rsid w:val="342E7327"/>
    <w:rsid w:val="343D21A6"/>
    <w:rsid w:val="34496BA5"/>
    <w:rsid w:val="345007E6"/>
    <w:rsid w:val="34565015"/>
    <w:rsid w:val="345663CA"/>
    <w:rsid w:val="34634793"/>
    <w:rsid w:val="346C7CD4"/>
    <w:rsid w:val="34796F56"/>
    <w:rsid w:val="349923C1"/>
    <w:rsid w:val="34AC394D"/>
    <w:rsid w:val="34C277A8"/>
    <w:rsid w:val="34CC52D7"/>
    <w:rsid w:val="34D51E01"/>
    <w:rsid w:val="35396A06"/>
    <w:rsid w:val="35727C2D"/>
    <w:rsid w:val="35872885"/>
    <w:rsid w:val="358B6F41"/>
    <w:rsid w:val="35C506A4"/>
    <w:rsid w:val="35CF1523"/>
    <w:rsid w:val="35D83DA9"/>
    <w:rsid w:val="35FC1BEC"/>
    <w:rsid w:val="361231BE"/>
    <w:rsid w:val="363A6C6B"/>
    <w:rsid w:val="363D2C8F"/>
    <w:rsid w:val="36513CE6"/>
    <w:rsid w:val="366C4FC4"/>
    <w:rsid w:val="36A1724C"/>
    <w:rsid w:val="36B11718"/>
    <w:rsid w:val="36CD3717"/>
    <w:rsid w:val="36E42DAC"/>
    <w:rsid w:val="36E508D2"/>
    <w:rsid w:val="372633C5"/>
    <w:rsid w:val="37307C0F"/>
    <w:rsid w:val="373D66C7"/>
    <w:rsid w:val="3747215A"/>
    <w:rsid w:val="37520D08"/>
    <w:rsid w:val="37557806"/>
    <w:rsid w:val="379A790F"/>
    <w:rsid w:val="37A3490B"/>
    <w:rsid w:val="37A97B52"/>
    <w:rsid w:val="37FA4A57"/>
    <w:rsid w:val="38767A34"/>
    <w:rsid w:val="387A259B"/>
    <w:rsid w:val="388303A3"/>
    <w:rsid w:val="38993922"/>
    <w:rsid w:val="389F34CA"/>
    <w:rsid w:val="38E427E0"/>
    <w:rsid w:val="391A199E"/>
    <w:rsid w:val="393D67A4"/>
    <w:rsid w:val="395038A7"/>
    <w:rsid w:val="39561D2C"/>
    <w:rsid w:val="3963760F"/>
    <w:rsid w:val="398851BA"/>
    <w:rsid w:val="399F120C"/>
    <w:rsid w:val="39B32EB0"/>
    <w:rsid w:val="39C80E81"/>
    <w:rsid w:val="3A1F5EA9"/>
    <w:rsid w:val="3A465BC3"/>
    <w:rsid w:val="3A7A40D7"/>
    <w:rsid w:val="3AAE1BB8"/>
    <w:rsid w:val="3AAF722D"/>
    <w:rsid w:val="3AE07D2F"/>
    <w:rsid w:val="3AEC1CA2"/>
    <w:rsid w:val="3AFB6916"/>
    <w:rsid w:val="3B047391"/>
    <w:rsid w:val="3B345AAB"/>
    <w:rsid w:val="3B5841D5"/>
    <w:rsid w:val="3B725AAD"/>
    <w:rsid w:val="3B7B1805"/>
    <w:rsid w:val="3B8A781E"/>
    <w:rsid w:val="3BB32D4D"/>
    <w:rsid w:val="3BBA40DC"/>
    <w:rsid w:val="3C017196"/>
    <w:rsid w:val="3C1B131A"/>
    <w:rsid w:val="3C1C0729"/>
    <w:rsid w:val="3C3025F0"/>
    <w:rsid w:val="3C410359"/>
    <w:rsid w:val="3C4B742A"/>
    <w:rsid w:val="3C5207B8"/>
    <w:rsid w:val="3C5A3EF9"/>
    <w:rsid w:val="3C6D114E"/>
    <w:rsid w:val="3C9E39FD"/>
    <w:rsid w:val="3CB97C27"/>
    <w:rsid w:val="3CC241A9"/>
    <w:rsid w:val="3CCD215A"/>
    <w:rsid w:val="3D1058AC"/>
    <w:rsid w:val="3D1B6DFC"/>
    <w:rsid w:val="3D3703C7"/>
    <w:rsid w:val="3D3B307D"/>
    <w:rsid w:val="3D8C7CFA"/>
    <w:rsid w:val="3DB00EAB"/>
    <w:rsid w:val="3DEB0EC4"/>
    <w:rsid w:val="3DEE2762"/>
    <w:rsid w:val="3DF8538F"/>
    <w:rsid w:val="3DFF7FBB"/>
    <w:rsid w:val="3E2D23D6"/>
    <w:rsid w:val="3E510229"/>
    <w:rsid w:val="3E54164F"/>
    <w:rsid w:val="3E556C1E"/>
    <w:rsid w:val="3E781CE0"/>
    <w:rsid w:val="3E7A2F4E"/>
    <w:rsid w:val="3E895FE7"/>
    <w:rsid w:val="3E9162A6"/>
    <w:rsid w:val="3EC040FF"/>
    <w:rsid w:val="3ED03C16"/>
    <w:rsid w:val="3EE52158"/>
    <w:rsid w:val="3F0A4668"/>
    <w:rsid w:val="3F136CC1"/>
    <w:rsid w:val="3F1E2BD3"/>
    <w:rsid w:val="3F217805"/>
    <w:rsid w:val="3F2F30CE"/>
    <w:rsid w:val="3F670307"/>
    <w:rsid w:val="3F724CCD"/>
    <w:rsid w:val="3FA961FE"/>
    <w:rsid w:val="3FAB4824"/>
    <w:rsid w:val="3FB377C0"/>
    <w:rsid w:val="3FBC64AD"/>
    <w:rsid w:val="3FC75019"/>
    <w:rsid w:val="3FDA4D4C"/>
    <w:rsid w:val="3FDE5C0F"/>
    <w:rsid w:val="40095632"/>
    <w:rsid w:val="4052194D"/>
    <w:rsid w:val="4085718A"/>
    <w:rsid w:val="409F7D44"/>
    <w:rsid w:val="40BA6517"/>
    <w:rsid w:val="40D7128C"/>
    <w:rsid w:val="410D4CAE"/>
    <w:rsid w:val="410E3FFA"/>
    <w:rsid w:val="41210759"/>
    <w:rsid w:val="412F0C12"/>
    <w:rsid w:val="413F78DB"/>
    <w:rsid w:val="415873EF"/>
    <w:rsid w:val="41596C87"/>
    <w:rsid w:val="415A660F"/>
    <w:rsid w:val="41635215"/>
    <w:rsid w:val="416361D4"/>
    <w:rsid w:val="416C5E78"/>
    <w:rsid w:val="41994793"/>
    <w:rsid w:val="41B70282"/>
    <w:rsid w:val="41FB36A0"/>
    <w:rsid w:val="41FE2486"/>
    <w:rsid w:val="42010CB6"/>
    <w:rsid w:val="424F6B0E"/>
    <w:rsid w:val="42892A5A"/>
    <w:rsid w:val="42BA1514"/>
    <w:rsid w:val="42DC0DDB"/>
    <w:rsid w:val="42EF4FB3"/>
    <w:rsid w:val="43134E25"/>
    <w:rsid w:val="43762917"/>
    <w:rsid w:val="4392527B"/>
    <w:rsid w:val="43996CCD"/>
    <w:rsid w:val="43A0190A"/>
    <w:rsid w:val="43BE4985"/>
    <w:rsid w:val="43CD6976"/>
    <w:rsid w:val="43E3619A"/>
    <w:rsid w:val="43E725CC"/>
    <w:rsid w:val="43EC32A0"/>
    <w:rsid w:val="43FE3819"/>
    <w:rsid w:val="440C719A"/>
    <w:rsid w:val="443E439C"/>
    <w:rsid w:val="445F1CC4"/>
    <w:rsid w:val="44965E8E"/>
    <w:rsid w:val="449B0822"/>
    <w:rsid w:val="45097E82"/>
    <w:rsid w:val="450B59A8"/>
    <w:rsid w:val="45AD75AF"/>
    <w:rsid w:val="45DE4E6B"/>
    <w:rsid w:val="45E306D3"/>
    <w:rsid w:val="45FF6B67"/>
    <w:rsid w:val="46192347"/>
    <w:rsid w:val="461A0B67"/>
    <w:rsid w:val="4622744D"/>
    <w:rsid w:val="4629258A"/>
    <w:rsid w:val="463B406B"/>
    <w:rsid w:val="465C6894"/>
    <w:rsid w:val="465D2233"/>
    <w:rsid w:val="46AD6480"/>
    <w:rsid w:val="46BA43CC"/>
    <w:rsid w:val="46C6427C"/>
    <w:rsid w:val="46E110B6"/>
    <w:rsid w:val="47022DDB"/>
    <w:rsid w:val="47124DB2"/>
    <w:rsid w:val="47176886"/>
    <w:rsid w:val="47190850"/>
    <w:rsid w:val="47482EE3"/>
    <w:rsid w:val="47743502"/>
    <w:rsid w:val="47867280"/>
    <w:rsid w:val="47970A81"/>
    <w:rsid w:val="47A70638"/>
    <w:rsid w:val="47EF3CC9"/>
    <w:rsid w:val="47F0441B"/>
    <w:rsid w:val="47FE4882"/>
    <w:rsid w:val="480212E4"/>
    <w:rsid w:val="480542FE"/>
    <w:rsid w:val="481C61EC"/>
    <w:rsid w:val="483925C3"/>
    <w:rsid w:val="483D231C"/>
    <w:rsid w:val="4840749F"/>
    <w:rsid w:val="485B27A2"/>
    <w:rsid w:val="486B60FE"/>
    <w:rsid w:val="487A3570"/>
    <w:rsid w:val="48AC74A2"/>
    <w:rsid w:val="48B16866"/>
    <w:rsid w:val="48C540C0"/>
    <w:rsid w:val="48C9522C"/>
    <w:rsid w:val="48D367DD"/>
    <w:rsid w:val="48E46C3C"/>
    <w:rsid w:val="48EE2D3E"/>
    <w:rsid w:val="49245970"/>
    <w:rsid w:val="494924C6"/>
    <w:rsid w:val="496248E4"/>
    <w:rsid w:val="49746212"/>
    <w:rsid w:val="49883A6B"/>
    <w:rsid w:val="49961E1D"/>
    <w:rsid w:val="49B30506"/>
    <w:rsid w:val="49CB1BAA"/>
    <w:rsid w:val="49E52C6C"/>
    <w:rsid w:val="49F92273"/>
    <w:rsid w:val="4A37282C"/>
    <w:rsid w:val="4A380381"/>
    <w:rsid w:val="4A634821"/>
    <w:rsid w:val="4AB75B3B"/>
    <w:rsid w:val="4ACC7988"/>
    <w:rsid w:val="4AF63135"/>
    <w:rsid w:val="4B0233A9"/>
    <w:rsid w:val="4B090BDC"/>
    <w:rsid w:val="4B103D18"/>
    <w:rsid w:val="4B125CE2"/>
    <w:rsid w:val="4B257098"/>
    <w:rsid w:val="4B2D6676"/>
    <w:rsid w:val="4B7B7C81"/>
    <w:rsid w:val="4BD316DE"/>
    <w:rsid w:val="4BE17463"/>
    <w:rsid w:val="4BF278C2"/>
    <w:rsid w:val="4BF453E8"/>
    <w:rsid w:val="4C251E11"/>
    <w:rsid w:val="4C4A325A"/>
    <w:rsid w:val="4C6E1FFB"/>
    <w:rsid w:val="4C7E7445"/>
    <w:rsid w:val="4C8F2AD3"/>
    <w:rsid w:val="4CB61D51"/>
    <w:rsid w:val="4CC90623"/>
    <w:rsid w:val="4CC926EB"/>
    <w:rsid w:val="4CF80F08"/>
    <w:rsid w:val="4CFB4B7C"/>
    <w:rsid w:val="4D1F0243"/>
    <w:rsid w:val="4D3637DE"/>
    <w:rsid w:val="4D420F8E"/>
    <w:rsid w:val="4D4C6949"/>
    <w:rsid w:val="4D847E25"/>
    <w:rsid w:val="4D87403A"/>
    <w:rsid w:val="4D8F60E6"/>
    <w:rsid w:val="4DDC453C"/>
    <w:rsid w:val="4E445276"/>
    <w:rsid w:val="4E551F91"/>
    <w:rsid w:val="4E6D3230"/>
    <w:rsid w:val="4EA67106"/>
    <w:rsid w:val="4EB3158A"/>
    <w:rsid w:val="4ECB0E82"/>
    <w:rsid w:val="4EE5018C"/>
    <w:rsid w:val="4EF35AF2"/>
    <w:rsid w:val="4F17666F"/>
    <w:rsid w:val="4F2C4E99"/>
    <w:rsid w:val="4F396E63"/>
    <w:rsid w:val="4F552641"/>
    <w:rsid w:val="4F864AE6"/>
    <w:rsid w:val="4F9631B8"/>
    <w:rsid w:val="4FB46C68"/>
    <w:rsid w:val="500623A4"/>
    <w:rsid w:val="5019541D"/>
    <w:rsid w:val="50265D8C"/>
    <w:rsid w:val="508A00C9"/>
    <w:rsid w:val="508A05F9"/>
    <w:rsid w:val="50946380"/>
    <w:rsid w:val="50AD05F4"/>
    <w:rsid w:val="50D40323"/>
    <w:rsid w:val="50F96FFC"/>
    <w:rsid w:val="5118732D"/>
    <w:rsid w:val="5122506C"/>
    <w:rsid w:val="51383FC9"/>
    <w:rsid w:val="51735001"/>
    <w:rsid w:val="517A638F"/>
    <w:rsid w:val="518E5997"/>
    <w:rsid w:val="51A923EB"/>
    <w:rsid w:val="51AD364F"/>
    <w:rsid w:val="51C413B8"/>
    <w:rsid w:val="51DA1ADD"/>
    <w:rsid w:val="51E23F34"/>
    <w:rsid w:val="523E5A00"/>
    <w:rsid w:val="524424F9"/>
    <w:rsid w:val="52446D9D"/>
    <w:rsid w:val="52493686"/>
    <w:rsid w:val="525917C2"/>
    <w:rsid w:val="525946BA"/>
    <w:rsid w:val="529A0185"/>
    <w:rsid w:val="52C76699"/>
    <w:rsid w:val="53061C45"/>
    <w:rsid w:val="531B7AE8"/>
    <w:rsid w:val="53422EDD"/>
    <w:rsid w:val="53755060"/>
    <w:rsid w:val="537F37C7"/>
    <w:rsid w:val="538E6B22"/>
    <w:rsid w:val="539C3314"/>
    <w:rsid w:val="53A3113F"/>
    <w:rsid w:val="53B92CEC"/>
    <w:rsid w:val="53C27B7A"/>
    <w:rsid w:val="53D8114B"/>
    <w:rsid w:val="53E775E0"/>
    <w:rsid w:val="53ED0E1F"/>
    <w:rsid w:val="542F45B8"/>
    <w:rsid w:val="544A3435"/>
    <w:rsid w:val="54651E4F"/>
    <w:rsid w:val="547E6196"/>
    <w:rsid w:val="549C3935"/>
    <w:rsid w:val="54E87AB4"/>
    <w:rsid w:val="550E303B"/>
    <w:rsid w:val="552B174F"/>
    <w:rsid w:val="554C38F8"/>
    <w:rsid w:val="555B5384"/>
    <w:rsid w:val="55A25F6F"/>
    <w:rsid w:val="55A439DB"/>
    <w:rsid w:val="560501F2"/>
    <w:rsid w:val="563B3C13"/>
    <w:rsid w:val="56674A08"/>
    <w:rsid w:val="56690283"/>
    <w:rsid w:val="56694C24"/>
    <w:rsid w:val="56705FB3"/>
    <w:rsid w:val="568B2BAE"/>
    <w:rsid w:val="56C34335"/>
    <w:rsid w:val="56CB31E9"/>
    <w:rsid w:val="56F02C50"/>
    <w:rsid w:val="570057E7"/>
    <w:rsid w:val="574947E0"/>
    <w:rsid w:val="57684EDC"/>
    <w:rsid w:val="57B41ECF"/>
    <w:rsid w:val="57EA58F1"/>
    <w:rsid w:val="57FC4415"/>
    <w:rsid w:val="580E5A83"/>
    <w:rsid w:val="58150BC0"/>
    <w:rsid w:val="58360200"/>
    <w:rsid w:val="585711A2"/>
    <w:rsid w:val="588875E4"/>
    <w:rsid w:val="58A837E2"/>
    <w:rsid w:val="58CD17E9"/>
    <w:rsid w:val="59183E6F"/>
    <w:rsid w:val="594B497B"/>
    <w:rsid w:val="594C6863"/>
    <w:rsid w:val="599975CF"/>
    <w:rsid w:val="59A321FB"/>
    <w:rsid w:val="59A65688"/>
    <w:rsid w:val="59FE7432"/>
    <w:rsid w:val="5A056A12"/>
    <w:rsid w:val="5A0B4649"/>
    <w:rsid w:val="5A0E3E92"/>
    <w:rsid w:val="5A273691"/>
    <w:rsid w:val="5A2E6F78"/>
    <w:rsid w:val="5A3B264B"/>
    <w:rsid w:val="5A5F25C6"/>
    <w:rsid w:val="5A647BDD"/>
    <w:rsid w:val="5A6C62B6"/>
    <w:rsid w:val="5A706581"/>
    <w:rsid w:val="5A7E4FF1"/>
    <w:rsid w:val="5ABF6477"/>
    <w:rsid w:val="5ABF6D03"/>
    <w:rsid w:val="5AC60A34"/>
    <w:rsid w:val="5AD50B3F"/>
    <w:rsid w:val="5AD52888"/>
    <w:rsid w:val="5B0D3DD0"/>
    <w:rsid w:val="5B667984"/>
    <w:rsid w:val="5B6D6CED"/>
    <w:rsid w:val="5B7B17EC"/>
    <w:rsid w:val="5BC05DCF"/>
    <w:rsid w:val="5BCB36F2"/>
    <w:rsid w:val="5C2018E1"/>
    <w:rsid w:val="5C761E49"/>
    <w:rsid w:val="5CB53FD1"/>
    <w:rsid w:val="5CC44962"/>
    <w:rsid w:val="5CCF10C4"/>
    <w:rsid w:val="5CF1327E"/>
    <w:rsid w:val="5CF65F0D"/>
    <w:rsid w:val="5CFF31EA"/>
    <w:rsid w:val="5D227197"/>
    <w:rsid w:val="5DB76275"/>
    <w:rsid w:val="5E007C1C"/>
    <w:rsid w:val="5E2002BE"/>
    <w:rsid w:val="5E331DA0"/>
    <w:rsid w:val="5E617BC4"/>
    <w:rsid w:val="5E79352B"/>
    <w:rsid w:val="5EC21376"/>
    <w:rsid w:val="5EC55BA3"/>
    <w:rsid w:val="5EF32AEC"/>
    <w:rsid w:val="5F1C4AA8"/>
    <w:rsid w:val="5FA80CD6"/>
    <w:rsid w:val="601064E7"/>
    <w:rsid w:val="6024395C"/>
    <w:rsid w:val="602D6CC3"/>
    <w:rsid w:val="60557590"/>
    <w:rsid w:val="606C3347"/>
    <w:rsid w:val="606C7EF8"/>
    <w:rsid w:val="608368E3"/>
    <w:rsid w:val="60883EF9"/>
    <w:rsid w:val="60A45B01"/>
    <w:rsid w:val="60A63B42"/>
    <w:rsid w:val="60A70823"/>
    <w:rsid w:val="60B8315D"/>
    <w:rsid w:val="60C40681"/>
    <w:rsid w:val="60C92C1E"/>
    <w:rsid w:val="60D61108"/>
    <w:rsid w:val="60EC4488"/>
    <w:rsid w:val="60F670B5"/>
    <w:rsid w:val="61033BAE"/>
    <w:rsid w:val="61446072"/>
    <w:rsid w:val="61493688"/>
    <w:rsid w:val="61720E31"/>
    <w:rsid w:val="6175447D"/>
    <w:rsid w:val="61823001"/>
    <w:rsid w:val="61972126"/>
    <w:rsid w:val="61AC001F"/>
    <w:rsid w:val="61CB6793"/>
    <w:rsid w:val="61F47A98"/>
    <w:rsid w:val="61F5214B"/>
    <w:rsid w:val="62037CDB"/>
    <w:rsid w:val="6220088D"/>
    <w:rsid w:val="623954AB"/>
    <w:rsid w:val="62AE5E99"/>
    <w:rsid w:val="62C1712F"/>
    <w:rsid w:val="62FA16F0"/>
    <w:rsid w:val="62FF31D6"/>
    <w:rsid w:val="6311467A"/>
    <w:rsid w:val="63511D57"/>
    <w:rsid w:val="6360680E"/>
    <w:rsid w:val="636B52CA"/>
    <w:rsid w:val="6381535B"/>
    <w:rsid w:val="638C5AAE"/>
    <w:rsid w:val="63AA37AD"/>
    <w:rsid w:val="63C40900"/>
    <w:rsid w:val="63D336DD"/>
    <w:rsid w:val="63D67088"/>
    <w:rsid w:val="64002695"/>
    <w:rsid w:val="640B2E77"/>
    <w:rsid w:val="640F0BB9"/>
    <w:rsid w:val="6420374D"/>
    <w:rsid w:val="64322791"/>
    <w:rsid w:val="643B6113"/>
    <w:rsid w:val="646D58E0"/>
    <w:rsid w:val="64772017"/>
    <w:rsid w:val="64AB4708"/>
    <w:rsid w:val="64C42DBE"/>
    <w:rsid w:val="64CC6AAA"/>
    <w:rsid w:val="64D140C0"/>
    <w:rsid w:val="650C50F9"/>
    <w:rsid w:val="652A4A1F"/>
    <w:rsid w:val="654E74BF"/>
    <w:rsid w:val="655872D4"/>
    <w:rsid w:val="655C6080"/>
    <w:rsid w:val="656404CE"/>
    <w:rsid w:val="657A0A1E"/>
    <w:rsid w:val="65AE7F5E"/>
    <w:rsid w:val="65E87914"/>
    <w:rsid w:val="66207891"/>
    <w:rsid w:val="6621372E"/>
    <w:rsid w:val="66393CC2"/>
    <w:rsid w:val="6646724B"/>
    <w:rsid w:val="66546D57"/>
    <w:rsid w:val="665E1984"/>
    <w:rsid w:val="667258CB"/>
    <w:rsid w:val="66805440"/>
    <w:rsid w:val="668A4B1A"/>
    <w:rsid w:val="668F4233"/>
    <w:rsid w:val="66952ECC"/>
    <w:rsid w:val="66AA4BC9"/>
    <w:rsid w:val="66CB2934"/>
    <w:rsid w:val="66CC2D91"/>
    <w:rsid w:val="66D51D40"/>
    <w:rsid w:val="66F607A6"/>
    <w:rsid w:val="66FB7D5D"/>
    <w:rsid w:val="671771FC"/>
    <w:rsid w:val="671E5377"/>
    <w:rsid w:val="672F3320"/>
    <w:rsid w:val="67535261"/>
    <w:rsid w:val="6753659E"/>
    <w:rsid w:val="6784366C"/>
    <w:rsid w:val="67C47F0C"/>
    <w:rsid w:val="67CC0B6F"/>
    <w:rsid w:val="67DF6AF4"/>
    <w:rsid w:val="67FB3967"/>
    <w:rsid w:val="680358AA"/>
    <w:rsid w:val="68352BB8"/>
    <w:rsid w:val="68444BA9"/>
    <w:rsid w:val="68595EE4"/>
    <w:rsid w:val="686F7BAE"/>
    <w:rsid w:val="68B67474"/>
    <w:rsid w:val="68C63810"/>
    <w:rsid w:val="68C87588"/>
    <w:rsid w:val="68CA3F4D"/>
    <w:rsid w:val="68E51EE8"/>
    <w:rsid w:val="68EE3DB7"/>
    <w:rsid w:val="68F16ADF"/>
    <w:rsid w:val="69180D28"/>
    <w:rsid w:val="693569DB"/>
    <w:rsid w:val="695A25BD"/>
    <w:rsid w:val="69670BC7"/>
    <w:rsid w:val="696A3316"/>
    <w:rsid w:val="697119CE"/>
    <w:rsid w:val="69874162"/>
    <w:rsid w:val="69934531"/>
    <w:rsid w:val="69951B51"/>
    <w:rsid w:val="69B61AD7"/>
    <w:rsid w:val="69C10ECB"/>
    <w:rsid w:val="69DD324F"/>
    <w:rsid w:val="6AC83870"/>
    <w:rsid w:val="6ACA19EF"/>
    <w:rsid w:val="6AE83F12"/>
    <w:rsid w:val="6AF936D5"/>
    <w:rsid w:val="6AFC79BD"/>
    <w:rsid w:val="6B19056F"/>
    <w:rsid w:val="6B241459"/>
    <w:rsid w:val="6B39476E"/>
    <w:rsid w:val="6B3B6738"/>
    <w:rsid w:val="6B3D425E"/>
    <w:rsid w:val="6B5E5F82"/>
    <w:rsid w:val="6B724E0D"/>
    <w:rsid w:val="6B97415D"/>
    <w:rsid w:val="6BC743D4"/>
    <w:rsid w:val="6BF732E6"/>
    <w:rsid w:val="6C1A634D"/>
    <w:rsid w:val="6C2747A7"/>
    <w:rsid w:val="6C2947E2"/>
    <w:rsid w:val="6C2C42D2"/>
    <w:rsid w:val="6C6E48EB"/>
    <w:rsid w:val="6C6F3CF9"/>
    <w:rsid w:val="6CEB1A97"/>
    <w:rsid w:val="6CF7043C"/>
    <w:rsid w:val="6CFE40D9"/>
    <w:rsid w:val="6D2531FB"/>
    <w:rsid w:val="6D714693"/>
    <w:rsid w:val="6D852005"/>
    <w:rsid w:val="6DA00AD4"/>
    <w:rsid w:val="6DBD2B55"/>
    <w:rsid w:val="6DD95D94"/>
    <w:rsid w:val="6DFB21AE"/>
    <w:rsid w:val="6E250FD9"/>
    <w:rsid w:val="6E3A4A8F"/>
    <w:rsid w:val="6E453165"/>
    <w:rsid w:val="6E511176"/>
    <w:rsid w:val="6E5C3240"/>
    <w:rsid w:val="6E602011"/>
    <w:rsid w:val="6E7764B9"/>
    <w:rsid w:val="6EAB3EB2"/>
    <w:rsid w:val="6EBE79FD"/>
    <w:rsid w:val="6ECD21EF"/>
    <w:rsid w:val="6ED53EAF"/>
    <w:rsid w:val="6EDD378E"/>
    <w:rsid w:val="6EDF387E"/>
    <w:rsid w:val="6EE832D0"/>
    <w:rsid w:val="6F1C418A"/>
    <w:rsid w:val="6F4F4AAA"/>
    <w:rsid w:val="6F6049BF"/>
    <w:rsid w:val="6F6D294A"/>
    <w:rsid w:val="6F9208F0"/>
    <w:rsid w:val="6F9D4000"/>
    <w:rsid w:val="6FB24AEE"/>
    <w:rsid w:val="6FB67229"/>
    <w:rsid w:val="6FDB399B"/>
    <w:rsid w:val="6FE16B76"/>
    <w:rsid w:val="6FEF189F"/>
    <w:rsid w:val="6FFD045F"/>
    <w:rsid w:val="6FFE3B30"/>
    <w:rsid w:val="702255C1"/>
    <w:rsid w:val="703B4FE0"/>
    <w:rsid w:val="706202C3"/>
    <w:rsid w:val="70735633"/>
    <w:rsid w:val="711B794E"/>
    <w:rsid w:val="71240E2B"/>
    <w:rsid w:val="71245578"/>
    <w:rsid w:val="716419ED"/>
    <w:rsid w:val="716A2AD1"/>
    <w:rsid w:val="7185070D"/>
    <w:rsid w:val="71947ED4"/>
    <w:rsid w:val="71AD0F25"/>
    <w:rsid w:val="71B72890"/>
    <w:rsid w:val="71E70DBE"/>
    <w:rsid w:val="72012619"/>
    <w:rsid w:val="720A672B"/>
    <w:rsid w:val="72127AFF"/>
    <w:rsid w:val="72477770"/>
    <w:rsid w:val="727D3192"/>
    <w:rsid w:val="729B2130"/>
    <w:rsid w:val="72BB2086"/>
    <w:rsid w:val="72C60FDD"/>
    <w:rsid w:val="72EC6569"/>
    <w:rsid w:val="72F378F8"/>
    <w:rsid w:val="72F67A49"/>
    <w:rsid w:val="73100A7D"/>
    <w:rsid w:val="73926835"/>
    <w:rsid w:val="73E536E4"/>
    <w:rsid w:val="73F2195D"/>
    <w:rsid w:val="73F9347A"/>
    <w:rsid w:val="74087741"/>
    <w:rsid w:val="7443665D"/>
    <w:rsid w:val="74733422"/>
    <w:rsid w:val="74A964C0"/>
    <w:rsid w:val="74CD6F79"/>
    <w:rsid w:val="74F2440A"/>
    <w:rsid w:val="74FF081C"/>
    <w:rsid w:val="7507768A"/>
    <w:rsid w:val="7521074C"/>
    <w:rsid w:val="7521568D"/>
    <w:rsid w:val="7544443B"/>
    <w:rsid w:val="7547244B"/>
    <w:rsid w:val="75535318"/>
    <w:rsid w:val="759929D8"/>
    <w:rsid w:val="759C014B"/>
    <w:rsid w:val="75BC2223"/>
    <w:rsid w:val="75E672A0"/>
    <w:rsid w:val="7610431D"/>
    <w:rsid w:val="76287263"/>
    <w:rsid w:val="76300779"/>
    <w:rsid w:val="763E70DC"/>
    <w:rsid w:val="764724B3"/>
    <w:rsid w:val="76472C35"/>
    <w:rsid w:val="76C479BE"/>
    <w:rsid w:val="76D07084"/>
    <w:rsid w:val="76DA32A9"/>
    <w:rsid w:val="76EF1BCA"/>
    <w:rsid w:val="77042F7A"/>
    <w:rsid w:val="7715608F"/>
    <w:rsid w:val="773B3127"/>
    <w:rsid w:val="775C1580"/>
    <w:rsid w:val="777E5D17"/>
    <w:rsid w:val="77947D22"/>
    <w:rsid w:val="77AB07A1"/>
    <w:rsid w:val="77B07B65"/>
    <w:rsid w:val="77B21E73"/>
    <w:rsid w:val="77C61BDD"/>
    <w:rsid w:val="77F3503C"/>
    <w:rsid w:val="78061A55"/>
    <w:rsid w:val="78684380"/>
    <w:rsid w:val="7879264D"/>
    <w:rsid w:val="78857244"/>
    <w:rsid w:val="78964FAD"/>
    <w:rsid w:val="789F1231"/>
    <w:rsid w:val="78A832F6"/>
    <w:rsid w:val="78C7785D"/>
    <w:rsid w:val="78F77D47"/>
    <w:rsid w:val="78FB7506"/>
    <w:rsid w:val="79091C23"/>
    <w:rsid w:val="790C34C1"/>
    <w:rsid w:val="79273E57"/>
    <w:rsid w:val="794A6517"/>
    <w:rsid w:val="795409C4"/>
    <w:rsid w:val="79D824A2"/>
    <w:rsid w:val="79E263BE"/>
    <w:rsid w:val="7A310000"/>
    <w:rsid w:val="7A46050B"/>
    <w:rsid w:val="7A7E2317"/>
    <w:rsid w:val="7AA95D17"/>
    <w:rsid w:val="7AAB0B58"/>
    <w:rsid w:val="7ADE2C3C"/>
    <w:rsid w:val="7AE04C06"/>
    <w:rsid w:val="7AE5221C"/>
    <w:rsid w:val="7B391059"/>
    <w:rsid w:val="7B3A4316"/>
    <w:rsid w:val="7B4D7F67"/>
    <w:rsid w:val="7B526345"/>
    <w:rsid w:val="7B766A54"/>
    <w:rsid w:val="7B8C6B7E"/>
    <w:rsid w:val="7B8D6476"/>
    <w:rsid w:val="7B9A05A5"/>
    <w:rsid w:val="7BB33FFD"/>
    <w:rsid w:val="7BC260B9"/>
    <w:rsid w:val="7BD76009"/>
    <w:rsid w:val="7C4D62CB"/>
    <w:rsid w:val="7C596A1E"/>
    <w:rsid w:val="7C66113B"/>
    <w:rsid w:val="7CF84488"/>
    <w:rsid w:val="7D2E7EAA"/>
    <w:rsid w:val="7D902913"/>
    <w:rsid w:val="7D9046C1"/>
    <w:rsid w:val="7D9F4904"/>
    <w:rsid w:val="7DC674BD"/>
    <w:rsid w:val="7DD14C19"/>
    <w:rsid w:val="7DDD71DA"/>
    <w:rsid w:val="7DEF74BD"/>
    <w:rsid w:val="7DF115D5"/>
    <w:rsid w:val="7E1536A4"/>
    <w:rsid w:val="7E221091"/>
    <w:rsid w:val="7E226D6A"/>
    <w:rsid w:val="7E484F9C"/>
    <w:rsid w:val="7E671605"/>
    <w:rsid w:val="7E706B85"/>
    <w:rsid w:val="7E7538B7"/>
    <w:rsid w:val="7E941FD6"/>
    <w:rsid w:val="7EA877E8"/>
    <w:rsid w:val="7EB96C1C"/>
    <w:rsid w:val="7EC02116"/>
    <w:rsid w:val="7EF053B6"/>
    <w:rsid w:val="7EF72EB9"/>
    <w:rsid w:val="7EFD1A58"/>
    <w:rsid w:val="7F3379FA"/>
    <w:rsid w:val="7F376DBE"/>
    <w:rsid w:val="7F5B485B"/>
    <w:rsid w:val="7F6B48D1"/>
    <w:rsid w:val="7F8A5140"/>
    <w:rsid w:val="7F945FBF"/>
    <w:rsid w:val="7FA0426E"/>
    <w:rsid w:val="7FAF2DF8"/>
    <w:rsid w:val="7FD446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6">
    <w:name w:val="heading 1"/>
    <w:basedOn w:val="1"/>
    <w:next w:val="1"/>
    <w:link w:val="59"/>
    <w:qFormat/>
    <w:uiPriority w:val="0"/>
    <w:pPr>
      <w:keepNext/>
      <w:keepLines/>
      <w:spacing w:before="340" w:after="330" w:line="578" w:lineRule="auto"/>
      <w:outlineLvl w:val="0"/>
    </w:pPr>
    <w:rPr>
      <w:b/>
      <w:bCs/>
      <w:kern w:val="44"/>
      <w:sz w:val="44"/>
      <w:szCs w:val="44"/>
    </w:rPr>
  </w:style>
  <w:style w:type="paragraph" w:styleId="7">
    <w:name w:val="heading 2"/>
    <w:basedOn w:val="1"/>
    <w:next w:val="1"/>
    <w:link w:val="60"/>
    <w:qFormat/>
    <w:uiPriority w:val="0"/>
    <w:pPr>
      <w:keepNext/>
      <w:keepLines/>
      <w:spacing w:before="260" w:after="260" w:line="416" w:lineRule="auto"/>
      <w:outlineLvl w:val="1"/>
    </w:pPr>
    <w:rPr>
      <w:rFonts w:ascii="Arial" w:hAnsi="Arial" w:eastAsia="黑体"/>
      <w:b/>
      <w:bCs/>
      <w:sz w:val="32"/>
      <w:szCs w:val="32"/>
    </w:rPr>
  </w:style>
  <w:style w:type="paragraph" w:styleId="8">
    <w:name w:val="heading 3"/>
    <w:basedOn w:val="1"/>
    <w:next w:val="1"/>
    <w:link w:val="61"/>
    <w:qFormat/>
    <w:uiPriority w:val="0"/>
    <w:pPr>
      <w:keepNext/>
      <w:keepLines/>
      <w:spacing w:before="260" w:after="260" w:line="416" w:lineRule="auto"/>
      <w:outlineLvl w:val="2"/>
    </w:pPr>
    <w:rPr>
      <w:b/>
      <w:bCs/>
      <w:sz w:val="32"/>
      <w:szCs w:val="32"/>
    </w:rPr>
  </w:style>
  <w:style w:type="paragraph" w:styleId="9">
    <w:name w:val="heading 4"/>
    <w:basedOn w:val="1"/>
    <w:next w:val="1"/>
    <w:link w:val="62"/>
    <w:qFormat/>
    <w:uiPriority w:val="0"/>
    <w:pPr>
      <w:keepNext/>
      <w:keepLines/>
      <w:spacing w:before="280" w:after="290" w:line="374" w:lineRule="auto"/>
      <w:outlineLvl w:val="3"/>
    </w:pPr>
    <w:rPr>
      <w:rFonts w:ascii="Arial" w:hAnsi="Arial" w:eastAsia="黑体"/>
      <w:b/>
      <w:sz w:val="28"/>
      <w:szCs w:val="20"/>
    </w:rPr>
  </w:style>
  <w:style w:type="paragraph" w:styleId="10">
    <w:name w:val="heading 5"/>
    <w:basedOn w:val="1"/>
    <w:next w:val="1"/>
    <w:link w:val="63"/>
    <w:qFormat/>
    <w:uiPriority w:val="0"/>
    <w:pPr>
      <w:keepNext/>
      <w:keepLines/>
      <w:adjustRightInd w:val="0"/>
      <w:spacing w:before="280" w:after="290" w:line="376" w:lineRule="atLeast"/>
      <w:ind w:left="2125" w:hanging="425"/>
      <w:textAlignment w:val="baseline"/>
      <w:outlineLvl w:val="4"/>
    </w:pPr>
    <w:rPr>
      <w:b/>
      <w:kern w:val="0"/>
      <w:sz w:val="28"/>
      <w:szCs w:val="20"/>
    </w:rPr>
  </w:style>
  <w:style w:type="paragraph" w:styleId="11">
    <w:name w:val="heading 6"/>
    <w:basedOn w:val="1"/>
    <w:next w:val="1"/>
    <w:link w:val="64"/>
    <w:qFormat/>
    <w:uiPriority w:val="0"/>
    <w:pPr>
      <w:keepNext/>
      <w:keepLines/>
      <w:widowControl/>
      <w:tabs>
        <w:tab w:val="left" w:pos="1440"/>
      </w:tabs>
      <w:spacing w:before="240" w:after="64" w:line="319" w:lineRule="auto"/>
      <w:ind w:left="1152" w:hanging="1152"/>
      <w:jc w:val="left"/>
      <w:outlineLvl w:val="5"/>
    </w:pPr>
    <w:rPr>
      <w:rFonts w:ascii="Arial" w:hAnsi="Arial" w:eastAsia="黑体"/>
      <w:b/>
      <w:kern w:val="0"/>
      <w:sz w:val="24"/>
      <w:szCs w:val="20"/>
    </w:rPr>
  </w:style>
  <w:style w:type="paragraph" w:styleId="12">
    <w:name w:val="heading 7"/>
    <w:basedOn w:val="1"/>
    <w:next w:val="1"/>
    <w:link w:val="65"/>
    <w:qFormat/>
    <w:uiPriority w:val="0"/>
    <w:pPr>
      <w:keepNext/>
      <w:keepLines/>
      <w:widowControl/>
      <w:tabs>
        <w:tab w:val="left" w:pos="2520"/>
      </w:tabs>
      <w:spacing w:before="240" w:after="64" w:line="319" w:lineRule="auto"/>
      <w:ind w:left="1296" w:hanging="1296"/>
      <w:jc w:val="left"/>
      <w:outlineLvl w:val="6"/>
    </w:pPr>
    <w:rPr>
      <w:b/>
      <w:kern w:val="0"/>
      <w:sz w:val="24"/>
      <w:szCs w:val="20"/>
    </w:rPr>
  </w:style>
  <w:style w:type="paragraph" w:styleId="13">
    <w:name w:val="heading 8"/>
    <w:basedOn w:val="1"/>
    <w:next w:val="1"/>
    <w:link w:val="66"/>
    <w:qFormat/>
    <w:uiPriority w:val="0"/>
    <w:pPr>
      <w:keepNext/>
      <w:keepLines/>
      <w:widowControl/>
      <w:tabs>
        <w:tab w:val="left" w:pos="1440"/>
      </w:tabs>
      <w:spacing w:before="240" w:after="64" w:line="319" w:lineRule="auto"/>
      <w:ind w:left="1440" w:hanging="1440"/>
      <w:jc w:val="left"/>
      <w:outlineLvl w:val="7"/>
    </w:pPr>
    <w:rPr>
      <w:rFonts w:ascii="Arial" w:hAnsi="Arial" w:eastAsia="黑体"/>
      <w:kern w:val="0"/>
      <w:sz w:val="24"/>
      <w:szCs w:val="20"/>
    </w:rPr>
  </w:style>
  <w:style w:type="paragraph" w:styleId="14">
    <w:name w:val="heading 9"/>
    <w:basedOn w:val="1"/>
    <w:next w:val="1"/>
    <w:link w:val="67"/>
    <w:qFormat/>
    <w:uiPriority w:val="0"/>
    <w:pPr>
      <w:keepNext/>
      <w:keepLines/>
      <w:widowControl/>
      <w:tabs>
        <w:tab w:val="left" w:pos="1584"/>
      </w:tabs>
      <w:spacing w:before="240" w:after="64" w:line="319" w:lineRule="auto"/>
      <w:ind w:left="1584" w:hanging="1584"/>
      <w:jc w:val="left"/>
      <w:outlineLvl w:val="8"/>
    </w:pPr>
    <w:rPr>
      <w:rFonts w:ascii="Arial" w:hAnsi="Arial" w:eastAsia="黑体"/>
      <w:kern w:val="0"/>
      <w:szCs w:val="20"/>
    </w:rPr>
  </w:style>
  <w:style w:type="character" w:default="1" w:styleId="49">
    <w:name w:val="Default Paragraph Font"/>
    <w:semiHidden/>
    <w:unhideWhenUsed/>
    <w:qFormat/>
    <w:uiPriority w:val="1"/>
  </w:style>
  <w:style w:type="table" w:default="1" w:styleId="4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5"/>
    <w:link w:val="284"/>
    <w:qFormat/>
    <w:uiPriority w:val="99"/>
    <w:pPr>
      <w:ind w:firstLine="420" w:firstLineChars="200"/>
    </w:pPr>
    <w:rPr>
      <w:szCs w:val="21"/>
    </w:rPr>
  </w:style>
  <w:style w:type="paragraph" w:styleId="3">
    <w:name w:val="Body Text Indent"/>
    <w:basedOn w:val="1"/>
    <w:next w:val="4"/>
    <w:link w:val="70"/>
    <w:qFormat/>
    <w:uiPriority w:val="99"/>
    <w:pPr>
      <w:spacing w:after="120"/>
      <w:ind w:left="420" w:leftChars="200"/>
    </w:pPr>
    <w:rPr>
      <w:szCs w:val="20"/>
    </w:rPr>
  </w:style>
  <w:style w:type="paragraph" w:styleId="4">
    <w:name w:val="envelope return"/>
    <w:basedOn w:val="1"/>
    <w:qFormat/>
    <w:uiPriority w:val="0"/>
    <w:pPr>
      <w:snapToGrid w:val="0"/>
    </w:pPr>
    <w:rPr>
      <w:rFonts w:ascii="Arial" w:hAnsi="Arial" w:cs="Arial"/>
    </w:rPr>
  </w:style>
  <w:style w:type="paragraph" w:styleId="5">
    <w:name w:val="Body Text"/>
    <w:basedOn w:val="1"/>
    <w:next w:val="1"/>
    <w:link w:val="58"/>
    <w:qFormat/>
    <w:uiPriority w:val="99"/>
    <w:pPr>
      <w:spacing w:after="120"/>
    </w:pPr>
    <w:rPr>
      <w:szCs w:val="20"/>
    </w:rPr>
  </w:style>
  <w:style w:type="paragraph" w:styleId="15">
    <w:name w:val="toc 7"/>
    <w:basedOn w:val="1"/>
    <w:next w:val="1"/>
    <w:qFormat/>
    <w:uiPriority w:val="39"/>
    <w:pPr>
      <w:ind w:left="2520" w:leftChars="1200"/>
    </w:pPr>
  </w:style>
  <w:style w:type="paragraph" w:styleId="16">
    <w:name w:val="Normal Indent"/>
    <w:basedOn w:val="1"/>
    <w:qFormat/>
    <w:uiPriority w:val="0"/>
    <w:pPr>
      <w:ind w:firstLine="420" w:firstLineChars="200"/>
    </w:pPr>
  </w:style>
  <w:style w:type="paragraph" w:styleId="17">
    <w:name w:val="caption"/>
    <w:basedOn w:val="1"/>
    <w:next w:val="1"/>
    <w:qFormat/>
    <w:uiPriority w:val="0"/>
    <w:rPr>
      <w:rFonts w:ascii="Cambria" w:hAnsi="Cambria" w:eastAsia="黑体"/>
      <w:sz w:val="20"/>
      <w:szCs w:val="20"/>
    </w:rPr>
  </w:style>
  <w:style w:type="paragraph" w:styleId="18">
    <w:name w:val="List Bullet"/>
    <w:basedOn w:val="1"/>
    <w:qFormat/>
    <w:uiPriority w:val="0"/>
    <w:pPr>
      <w:ind w:left="384" w:hanging="384" w:hangingChars="160"/>
    </w:pPr>
    <w:rPr>
      <w:sz w:val="24"/>
    </w:rPr>
  </w:style>
  <w:style w:type="paragraph" w:styleId="19">
    <w:name w:val="Document Map"/>
    <w:basedOn w:val="1"/>
    <w:link w:val="68"/>
    <w:qFormat/>
    <w:uiPriority w:val="0"/>
    <w:pPr>
      <w:shd w:val="clear" w:color="auto" w:fill="000080"/>
    </w:pPr>
    <w:rPr>
      <w:szCs w:val="20"/>
      <w:shd w:val="clear" w:color="auto" w:fill="000080"/>
    </w:rPr>
  </w:style>
  <w:style w:type="paragraph" w:styleId="20">
    <w:name w:val="toa heading"/>
    <w:basedOn w:val="1"/>
    <w:next w:val="1"/>
    <w:qFormat/>
    <w:uiPriority w:val="0"/>
    <w:pPr>
      <w:spacing w:before="120"/>
    </w:pPr>
    <w:rPr>
      <w:rFonts w:ascii="Arial" w:hAnsi="Arial" w:cs="Arial"/>
      <w:sz w:val="24"/>
    </w:rPr>
  </w:style>
  <w:style w:type="paragraph" w:styleId="21">
    <w:name w:val="annotation text"/>
    <w:basedOn w:val="1"/>
    <w:link w:val="69"/>
    <w:qFormat/>
    <w:uiPriority w:val="0"/>
    <w:pPr>
      <w:jc w:val="left"/>
    </w:pPr>
  </w:style>
  <w:style w:type="paragraph" w:styleId="22">
    <w:name w:val="Body Text 3"/>
    <w:basedOn w:val="1"/>
    <w:qFormat/>
    <w:uiPriority w:val="0"/>
    <w:rPr>
      <w:rFonts w:ascii="宋体"/>
      <w:sz w:val="24"/>
      <w:szCs w:val="20"/>
    </w:rPr>
  </w:style>
  <w:style w:type="paragraph" w:styleId="23">
    <w:name w:val="index 4"/>
    <w:basedOn w:val="1"/>
    <w:next w:val="1"/>
    <w:qFormat/>
    <w:uiPriority w:val="0"/>
    <w:pPr>
      <w:ind w:left="600" w:leftChars="600"/>
    </w:pPr>
  </w:style>
  <w:style w:type="paragraph" w:styleId="24">
    <w:name w:val="toc 5"/>
    <w:basedOn w:val="1"/>
    <w:next w:val="1"/>
    <w:qFormat/>
    <w:uiPriority w:val="39"/>
    <w:pPr>
      <w:ind w:left="1680" w:leftChars="800"/>
    </w:pPr>
  </w:style>
  <w:style w:type="paragraph" w:styleId="25">
    <w:name w:val="toc 3"/>
    <w:basedOn w:val="1"/>
    <w:next w:val="1"/>
    <w:qFormat/>
    <w:uiPriority w:val="39"/>
    <w:pPr>
      <w:tabs>
        <w:tab w:val="right" w:leader="dot" w:pos="8315"/>
      </w:tabs>
      <w:spacing w:line="360" w:lineRule="auto"/>
      <w:ind w:left="840" w:leftChars="400"/>
    </w:pPr>
    <w:rPr>
      <w:sz w:val="24"/>
    </w:rPr>
  </w:style>
  <w:style w:type="paragraph" w:styleId="26">
    <w:name w:val="Plain Text"/>
    <w:basedOn w:val="1"/>
    <w:next w:val="5"/>
    <w:link w:val="71"/>
    <w:qFormat/>
    <w:uiPriority w:val="0"/>
    <w:rPr>
      <w:rFonts w:ascii="宋体" w:hAnsi="Courier New"/>
      <w:szCs w:val="20"/>
    </w:rPr>
  </w:style>
  <w:style w:type="paragraph" w:styleId="27">
    <w:name w:val="toc 8"/>
    <w:basedOn w:val="1"/>
    <w:next w:val="1"/>
    <w:qFormat/>
    <w:uiPriority w:val="39"/>
    <w:pPr>
      <w:ind w:left="2940" w:leftChars="1400"/>
    </w:pPr>
  </w:style>
  <w:style w:type="paragraph" w:styleId="28">
    <w:name w:val="Date"/>
    <w:basedOn w:val="1"/>
    <w:next w:val="1"/>
    <w:link w:val="72"/>
    <w:qFormat/>
    <w:uiPriority w:val="0"/>
    <w:rPr>
      <w:sz w:val="24"/>
      <w:szCs w:val="20"/>
    </w:rPr>
  </w:style>
  <w:style w:type="paragraph" w:styleId="29">
    <w:name w:val="Body Text Indent 2"/>
    <w:basedOn w:val="1"/>
    <w:link w:val="73"/>
    <w:qFormat/>
    <w:uiPriority w:val="0"/>
    <w:pPr>
      <w:adjustRightInd w:val="0"/>
      <w:snapToGrid w:val="0"/>
      <w:spacing w:line="420" w:lineRule="auto"/>
      <w:ind w:firstLine="577"/>
      <w:textAlignment w:val="baseline"/>
    </w:pPr>
    <w:rPr>
      <w:spacing w:val="4"/>
      <w:kern w:val="0"/>
      <w:sz w:val="28"/>
      <w:szCs w:val="20"/>
    </w:rPr>
  </w:style>
  <w:style w:type="paragraph" w:styleId="30">
    <w:name w:val="Balloon Text"/>
    <w:basedOn w:val="1"/>
    <w:link w:val="74"/>
    <w:qFormat/>
    <w:uiPriority w:val="0"/>
    <w:rPr>
      <w:sz w:val="18"/>
      <w:szCs w:val="20"/>
    </w:rPr>
  </w:style>
  <w:style w:type="paragraph" w:styleId="31">
    <w:name w:val="footer"/>
    <w:basedOn w:val="1"/>
    <w:link w:val="75"/>
    <w:qFormat/>
    <w:uiPriority w:val="99"/>
    <w:pPr>
      <w:tabs>
        <w:tab w:val="center" w:pos="4153"/>
        <w:tab w:val="right" w:pos="8306"/>
      </w:tabs>
      <w:snapToGrid w:val="0"/>
      <w:jc w:val="left"/>
    </w:pPr>
    <w:rPr>
      <w:sz w:val="18"/>
      <w:szCs w:val="18"/>
    </w:rPr>
  </w:style>
  <w:style w:type="paragraph" w:styleId="32">
    <w:name w:val="header"/>
    <w:basedOn w:val="1"/>
    <w:link w:val="76"/>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tabs>
        <w:tab w:val="right" w:leader="dot" w:pos="8296"/>
      </w:tabs>
      <w:spacing w:line="360" w:lineRule="auto"/>
      <w:ind w:right="733" w:rightChars="349"/>
      <w:jc w:val="center"/>
    </w:pPr>
    <w:rPr>
      <w:sz w:val="28"/>
    </w:rPr>
  </w:style>
  <w:style w:type="paragraph" w:styleId="34">
    <w:name w:val="toc 4"/>
    <w:basedOn w:val="1"/>
    <w:next w:val="1"/>
    <w:qFormat/>
    <w:uiPriority w:val="39"/>
    <w:pPr>
      <w:ind w:left="1260" w:leftChars="600"/>
    </w:pPr>
  </w:style>
  <w:style w:type="paragraph" w:styleId="35">
    <w:name w:val="Subtitle"/>
    <w:basedOn w:val="1"/>
    <w:next w:val="1"/>
    <w:link w:val="77"/>
    <w:qFormat/>
    <w:uiPriority w:val="0"/>
    <w:pPr>
      <w:spacing w:before="240" w:after="60" w:line="312" w:lineRule="auto"/>
      <w:jc w:val="center"/>
      <w:outlineLvl w:val="1"/>
    </w:pPr>
    <w:rPr>
      <w:rFonts w:ascii="Cambria" w:hAnsi="Cambria"/>
      <w:b/>
      <w:bCs/>
      <w:kern w:val="28"/>
      <w:sz w:val="32"/>
      <w:szCs w:val="32"/>
    </w:rPr>
  </w:style>
  <w:style w:type="paragraph" w:styleId="36">
    <w:name w:val="toc 6"/>
    <w:basedOn w:val="1"/>
    <w:next w:val="1"/>
    <w:qFormat/>
    <w:uiPriority w:val="39"/>
    <w:pPr>
      <w:ind w:left="2100" w:leftChars="1000"/>
    </w:pPr>
  </w:style>
  <w:style w:type="paragraph" w:styleId="37">
    <w:name w:val="Body Text Indent 3"/>
    <w:basedOn w:val="1"/>
    <w:qFormat/>
    <w:uiPriority w:val="0"/>
    <w:pPr>
      <w:spacing w:after="120"/>
      <w:ind w:left="420" w:leftChars="200"/>
    </w:pPr>
    <w:rPr>
      <w:sz w:val="16"/>
      <w:szCs w:val="20"/>
    </w:rPr>
  </w:style>
  <w:style w:type="paragraph" w:styleId="38">
    <w:name w:val="toc 2"/>
    <w:basedOn w:val="1"/>
    <w:next w:val="1"/>
    <w:qFormat/>
    <w:uiPriority w:val="39"/>
    <w:pPr>
      <w:tabs>
        <w:tab w:val="right" w:leader="dot" w:pos="8301"/>
      </w:tabs>
      <w:spacing w:line="360" w:lineRule="auto"/>
      <w:ind w:left="420" w:leftChars="200"/>
    </w:pPr>
    <w:rPr>
      <w:sz w:val="24"/>
    </w:rPr>
  </w:style>
  <w:style w:type="paragraph" w:styleId="39">
    <w:name w:val="toc 9"/>
    <w:basedOn w:val="1"/>
    <w:next w:val="1"/>
    <w:qFormat/>
    <w:uiPriority w:val="39"/>
    <w:pPr>
      <w:ind w:left="3360" w:leftChars="1600"/>
    </w:pPr>
  </w:style>
  <w:style w:type="paragraph" w:styleId="40">
    <w:name w:val="Body Text 2"/>
    <w:basedOn w:val="1"/>
    <w:next w:val="5"/>
    <w:link w:val="78"/>
    <w:qFormat/>
    <w:uiPriority w:val="0"/>
    <w:pPr>
      <w:spacing w:after="120" w:line="480" w:lineRule="auto"/>
    </w:pPr>
    <w:rPr>
      <w:szCs w:val="20"/>
    </w:rPr>
  </w:style>
  <w:style w:type="paragraph" w:styleId="41">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cs="Arial"/>
      <w:kern w:val="0"/>
      <w:sz w:val="24"/>
      <w:szCs w:val="20"/>
    </w:rPr>
  </w:style>
  <w:style w:type="paragraph" w:styleId="42">
    <w:name w:val="Normal (Web)"/>
    <w:basedOn w:val="1"/>
    <w:qFormat/>
    <w:uiPriority w:val="99"/>
    <w:pPr>
      <w:widowControl/>
      <w:spacing w:before="100" w:beforeAutospacing="1" w:after="100" w:afterAutospacing="1"/>
      <w:jc w:val="left"/>
    </w:pPr>
    <w:rPr>
      <w:rFonts w:ascii="宋体" w:hAnsi="宋体"/>
      <w:kern w:val="0"/>
      <w:sz w:val="24"/>
      <w:szCs w:val="20"/>
    </w:rPr>
  </w:style>
  <w:style w:type="paragraph" w:styleId="43">
    <w:name w:val="index 1"/>
    <w:basedOn w:val="1"/>
    <w:next w:val="1"/>
    <w:qFormat/>
    <w:uiPriority w:val="0"/>
    <w:pPr>
      <w:spacing w:line="220" w:lineRule="exact"/>
      <w:jc w:val="center"/>
    </w:pPr>
    <w:rPr>
      <w:rFonts w:ascii="仿宋_GB2312" w:eastAsia="仿宋_GB2312"/>
      <w:szCs w:val="20"/>
    </w:rPr>
  </w:style>
  <w:style w:type="paragraph" w:styleId="44">
    <w:name w:val="Title"/>
    <w:basedOn w:val="1"/>
    <w:link w:val="79"/>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5">
    <w:name w:val="annotation subject"/>
    <w:basedOn w:val="21"/>
    <w:next w:val="21"/>
    <w:link w:val="80"/>
    <w:qFormat/>
    <w:uiPriority w:val="0"/>
    <w:rPr>
      <w:b/>
      <w:bCs/>
      <w:szCs w:val="20"/>
    </w:rPr>
  </w:style>
  <w:style w:type="paragraph" w:styleId="46">
    <w:name w:val="Body Text First Indent"/>
    <w:basedOn w:val="5"/>
    <w:unhideWhenUsed/>
    <w:qFormat/>
    <w:uiPriority w:val="0"/>
    <w:pPr>
      <w:ind w:firstLine="420"/>
    </w:pPr>
    <w:rPr>
      <w:rFonts w:eastAsia="楷体_GB2312"/>
      <w:sz w:val="32"/>
    </w:rPr>
  </w:style>
  <w:style w:type="table" w:styleId="48">
    <w:name w:val="Table Grid"/>
    <w:basedOn w:val="4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0">
    <w:name w:val="Strong"/>
    <w:qFormat/>
    <w:uiPriority w:val="22"/>
    <w:rPr>
      <w:b/>
      <w:bCs/>
    </w:rPr>
  </w:style>
  <w:style w:type="character" w:styleId="51">
    <w:name w:val="page number"/>
    <w:basedOn w:val="49"/>
    <w:qFormat/>
    <w:uiPriority w:val="0"/>
  </w:style>
  <w:style w:type="character" w:styleId="52">
    <w:name w:val="FollowedHyperlink"/>
    <w:qFormat/>
    <w:uiPriority w:val="0"/>
    <w:rPr>
      <w:color w:val="800080"/>
      <w:u w:val="single"/>
    </w:rPr>
  </w:style>
  <w:style w:type="character" w:styleId="53">
    <w:name w:val="Emphasis"/>
    <w:qFormat/>
    <w:uiPriority w:val="20"/>
    <w:rPr>
      <w:i/>
      <w:iCs/>
    </w:rPr>
  </w:style>
  <w:style w:type="character" w:styleId="54">
    <w:name w:val="Hyperlink"/>
    <w:basedOn w:val="49"/>
    <w:qFormat/>
    <w:uiPriority w:val="99"/>
    <w:rPr>
      <w:color w:val="0000FF"/>
      <w:u w:val="single"/>
    </w:rPr>
  </w:style>
  <w:style w:type="character" w:styleId="55">
    <w:name w:val="annotation reference"/>
    <w:qFormat/>
    <w:uiPriority w:val="0"/>
    <w:rPr>
      <w:sz w:val="21"/>
    </w:rPr>
  </w:style>
  <w:style w:type="character" w:customStyle="1" w:styleId="56">
    <w:name w:val="标题 3 Char"/>
    <w:qFormat/>
    <w:uiPriority w:val="0"/>
    <w:rPr>
      <w:rFonts w:eastAsia="宋体"/>
      <w:b/>
      <w:kern w:val="2"/>
      <w:sz w:val="24"/>
      <w:lang w:val="en-US" w:eastAsia="zh-CN" w:bidi="ar-SA"/>
    </w:rPr>
  </w:style>
  <w:style w:type="paragraph" w:customStyle="1" w:styleId="57">
    <w:name w:val="_Style 107"/>
    <w:basedOn w:val="1"/>
    <w:qFormat/>
    <w:uiPriority w:val="0"/>
    <w:rPr>
      <w:rFonts w:ascii="Tahoma" w:hAnsi="Tahoma"/>
      <w:sz w:val="24"/>
      <w:szCs w:val="20"/>
    </w:rPr>
  </w:style>
  <w:style w:type="character" w:customStyle="1" w:styleId="58">
    <w:name w:val="正文文本 字符"/>
    <w:link w:val="5"/>
    <w:qFormat/>
    <w:uiPriority w:val="99"/>
    <w:rPr>
      <w:kern w:val="2"/>
      <w:sz w:val="21"/>
      <w:lang w:bidi="ar-SA"/>
    </w:rPr>
  </w:style>
  <w:style w:type="character" w:customStyle="1" w:styleId="59">
    <w:name w:val="标题 1 字符"/>
    <w:link w:val="6"/>
    <w:qFormat/>
    <w:uiPriority w:val="0"/>
    <w:rPr>
      <w:rFonts w:eastAsia="宋体"/>
      <w:b/>
      <w:bCs/>
      <w:kern w:val="44"/>
      <w:sz w:val="44"/>
      <w:szCs w:val="44"/>
      <w:lang w:val="en-US" w:eastAsia="zh-CN" w:bidi="ar-SA"/>
    </w:rPr>
  </w:style>
  <w:style w:type="character" w:customStyle="1" w:styleId="60">
    <w:name w:val="标题 2 字符"/>
    <w:link w:val="7"/>
    <w:qFormat/>
    <w:uiPriority w:val="0"/>
    <w:rPr>
      <w:rFonts w:ascii="Arial" w:hAnsi="Arial" w:eastAsia="黑体"/>
      <w:b/>
      <w:bCs/>
      <w:kern w:val="2"/>
      <w:sz w:val="32"/>
      <w:szCs w:val="32"/>
      <w:lang w:val="en-US" w:eastAsia="zh-CN" w:bidi="ar-SA"/>
    </w:rPr>
  </w:style>
  <w:style w:type="character" w:customStyle="1" w:styleId="61">
    <w:name w:val="标题 3 字符"/>
    <w:link w:val="8"/>
    <w:qFormat/>
    <w:uiPriority w:val="0"/>
    <w:rPr>
      <w:rFonts w:eastAsia="宋体"/>
      <w:b/>
      <w:bCs/>
      <w:kern w:val="2"/>
      <w:sz w:val="32"/>
      <w:szCs w:val="32"/>
      <w:lang w:val="en-US" w:eastAsia="zh-CN" w:bidi="ar-SA"/>
    </w:rPr>
  </w:style>
  <w:style w:type="character" w:customStyle="1" w:styleId="62">
    <w:name w:val="标题 4 字符"/>
    <w:link w:val="9"/>
    <w:qFormat/>
    <w:uiPriority w:val="0"/>
    <w:rPr>
      <w:rFonts w:ascii="Arial" w:hAnsi="Arial" w:eastAsia="黑体"/>
      <w:b/>
      <w:kern w:val="2"/>
      <w:sz w:val="28"/>
      <w:lang w:val="en-US" w:eastAsia="zh-CN" w:bidi="ar-SA"/>
    </w:rPr>
  </w:style>
  <w:style w:type="character" w:customStyle="1" w:styleId="63">
    <w:name w:val="标题 5 字符"/>
    <w:link w:val="10"/>
    <w:qFormat/>
    <w:uiPriority w:val="0"/>
    <w:rPr>
      <w:rFonts w:eastAsia="宋体"/>
      <w:b/>
      <w:sz w:val="28"/>
      <w:lang w:val="en-US" w:eastAsia="zh-CN" w:bidi="ar-SA"/>
    </w:rPr>
  </w:style>
  <w:style w:type="character" w:customStyle="1" w:styleId="64">
    <w:name w:val="标题 6 字符"/>
    <w:link w:val="11"/>
    <w:qFormat/>
    <w:uiPriority w:val="0"/>
    <w:rPr>
      <w:rFonts w:ascii="Arial" w:hAnsi="Arial" w:eastAsia="黑体"/>
      <w:b/>
      <w:sz w:val="24"/>
      <w:lang w:val="en-US" w:eastAsia="zh-CN" w:bidi="ar-SA"/>
    </w:rPr>
  </w:style>
  <w:style w:type="character" w:customStyle="1" w:styleId="65">
    <w:name w:val="标题 7 字符"/>
    <w:link w:val="12"/>
    <w:qFormat/>
    <w:uiPriority w:val="0"/>
    <w:rPr>
      <w:rFonts w:eastAsia="宋体"/>
      <w:b/>
      <w:sz w:val="24"/>
      <w:lang w:val="en-US" w:eastAsia="zh-CN" w:bidi="ar-SA"/>
    </w:rPr>
  </w:style>
  <w:style w:type="character" w:customStyle="1" w:styleId="66">
    <w:name w:val="标题 8 字符"/>
    <w:link w:val="13"/>
    <w:qFormat/>
    <w:uiPriority w:val="0"/>
    <w:rPr>
      <w:rFonts w:ascii="Arial" w:hAnsi="Arial" w:eastAsia="黑体"/>
      <w:sz w:val="24"/>
      <w:lang w:val="en-US" w:eastAsia="zh-CN" w:bidi="ar-SA"/>
    </w:rPr>
  </w:style>
  <w:style w:type="character" w:customStyle="1" w:styleId="67">
    <w:name w:val="标题 9 字符"/>
    <w:link w:val="14"/>
    <w:qFormat/>
    <w:uiPriority w:val="0"/>
    <w:rPr>
      <w:rFonts w:ascii="Arial" w:hAnsi="Arial" w:eastAsia="黑体"/>
      <w:sz w:val="21"/>
      <w:lang w:val="en-US" w:eastAsia="zh-CN" w:bidi="ar-SA"/>
    </w:rPr>
  </w:style>
  <w:style w:type="character" w:customStyle="1" w:styleId="68">
    <w:name w:val="文档结构图 字符"/>
    <w:link w:val="19"/>
    <w:qFormat/>
    <w:uiPriority w:val="0"/>
    <w:rPr>
      <w:kern w:val="2"/>
      <w:sz w:val="21"/>
      <w:shd w:val="clear" w:color="auto" w:fill="000080"/>
      <w:lang w:bidi="ar-SA"/>
    </w:rPr>
  </w:style>
  <w:style w:type="character" w:customStyle="1" w:styleId="69">
    <w:name w:val="批注文字 字符"/>
    <w:link w:val="21"/>
    <w:qFormat/>
    <w:uiPriority w:val="0"/>
    <w:rPr>
      <w:rFonts w:eastAsia="宋体"/>
      <w:kern w:val="2"/>
      <w:sz w:val="21"/>
      <w:szCs w:val="24"/>
      <w:lang w:val="en-US" w:eastAsia="zh-CN" w:bidi="ar-SA"/>
    </w:rPr>
  </w:style>
  <w:style w:type="character" w:customStyle="1" w:styleId="70">
    <w:name w:val="正文文本缩进 字符"/>
    <w:link w:val="3"/>
    <w:qFormat/>
    <w:uiPriority w:val="99"/>
    <w:rPr>
      <w:rFonts w:eastAsia="宋体"/>
      <w:kern w:val="2"/>
      <w:sz w:val="21"/>
      <w:lang w:val="en-US" w:eastAsia="zh-CN" w:bidi="ar-SA"/>
    </w:rPr>
  </w:style>
  <w:style w:type="character" w:customStyle="1" w:styleId="71">
    <w:name w:val="纯文本 字符"/>
    <w:link w:val="26"/>
    <w:qFormat/>
    <w:uiPriority w:val="0"/>
    <w:rPr>
      <w:rFonts w:ascii="宋体" w:hAnsi="Courier New" w:eastAsia="宋体"/>
      <w:kern w:val="2"/>
      <w:sz w:val="21"/>
      <w:lang w:val="en-US" w:eastAsia="zh-CN" w:bidi="ar-SA"/>
    </w:rPr>
  </w:style>
  <w:style w:type="character" w:customStyle="1" w:styleId="72">
    <w:name w:val="日期 字符"/>
    <w:link w:val="28"/>
    <w:qFormat/>
    <w:uiPriority w:val="0"/>
    <w:rPr>
      <w:kern w:val="2"/>
      <w:sz w:val="24"/>
      <w:lang w:bidi="ar-SA"/>
    </w:rPr>
  </w:style>
  <w:style w:type="character" w:customStyle="1" w:styleId="73">
    <w:name w:val="正文文本缩进 2 字符"/>
    <w:link w:val="29"/>
    <w:semiHidden/>
    <w:qFormat/>
    <w:locked/>
    <w:uiPriority w:val="0"/>
    <w:rPr>
      <w:rFonts w:eastAsia="宋体"/>
      <w:spacing w:val="4"/>
      <w:sz w:val="28"/>
      <w:lang w:val="en-US" w:eastAsia="zh-CN" w:bidi="ar-SA"/>
    </w:rPr>
  </w:style>
  <w:style w:type="character" w:customStyle="1" w:styleId="74">
    <w:name w:val="批注框文本 字符"/>
    <w:link w:val="30"/>
    <w:qFormat/>
    <w:uiPriority w:val="0"/>
    <w:rPr>
      <w:kern w:val="2"/>
      <w:sz w:val="18"/>
      <w:lang w:bidi="ar-SA"/>
    </w:rPr>
  </w:style>
  <w:style w:type="character" w:customStyle="1" w:styleId="75">
    <w:name w:val="页脚 字符"/>
    <w:link w:val="31"/>
    <w:qFormat/>
    <w:uiPriority w:val="99"/>
    <w:rPr>
      <w:rFonts w:eastAsia="宋体"/>
      <w:kern w:val="2"/>
      <w:sz w:val="18"/>
      <w:szCs w:val="18"/>
      <w:lang w:val="en-US" w:eastAsia="zh-CN" w:bidi="ar-SA"/>
    </w:rPr>
  </w:style>
  <w:style w:type="character" w:customStyle="1" w:styleId="76">
    <w:name w:val="页眉 字符"/>
    <w:link w:val="32"/>
    <w:qFormat/>
    <w:uiPriority w:val="0"/>
    <w:rPr>
      <w:rFonts w:eastAsia="宋体"/>
      <w:kern w:val="2"/>
      <w:sz w:val="18"/>
      <w:szCs w:val="18"/>
      <w:lang w:val="en-US" w:eastAsia="zh-CN" w:bidi="ar-SA"/>
    </w:rPr>
  </w:style>
  <w:style w:type="character" w:customStyle="1" w:styleId="77">
    <w:name w:val="副标题 字符"/>
    <w:link w:val="35"/>
    <w:qFormat/>
    <w:uiPriority w:val="0"/>
    <w:rPr>
      <w:rFonts w:ascii="Cambria" w:hAnsi="Cambria"/>
      <w:b/>
      <w:bCs/>
      <w:kern w:val="28"/>
      <w:sz w:val="32"/>
      <w:szCs w:val="32"/>
      <w:lang w:bidi="ar-SA"/>
    </w:rPr>
  </w:style>
  <w:style w:type="character" w:customStyle="1" w:styleId="78">
    <w:name w:val="正文文本 2 字符"/>
    <w:link w:val="40"/>
    <w:qFormat/>
    <w:uiPriority w:val="0"/>
    <w:rPr>
      <w:kern w:val="2"/>
      <w:sz w:val="21"/>
      <w:lang w:bidi="ar-SA"/>
    </w:rPr>
  </w:style>
  <w:style w:type="character" w:customStyle="1" w:styleId="79">
    <w:name w:val="标题 字符"/>
    <w:link w:val="44"/>
    <w:qFormat/>
    <w:uiPriority w:val="0"/>
    <w:rPr>
      <w:rFonts w:ascii="Arial" w:hAnsi="Arial"/>
      <w:b/>
      <w:sz w:val="32"/>
      <w:lang w:bidi="ar-SA"/>
    </w:rPr>
  </w:style>
  <w:style w:type="character" w:customStyle="1" w:styleId="80">
    <w:name w:val="批注主题 字符"/>
    <w:link w:val="45"/>
    <w:qFormat/>
    <w:uiPriority w:val="0"/>
    <w:rPr>
      <w:b/>
      <w:bCs/>
      <w:kern w:val="2"/>
      <w:sz w:val="21"/>
      <w:lang w:bidi="ar-SA"/>
    </w:rPr>
  </w:style>
  <w:style w:type="paragraph" w:customStyle="1" w:styleId="81">
    <w:name w:val="Char1 Char Char Char Char Char Char"/>
    <w:basedOn w:val="1"/>
    <w:qFormat/>
    <w:uiPriority w:val="0"/>
    <w:rPr>
      <w:rFonts w:ascii="Tahoma" w:hAnsi="Tahoma"/>
      <w:sz w:val="24"/>
      <w:szCs w:val="20"/>
    </w:rPr>
  </w:style>
  <w:style w:type="character" w:customStyle="1" w:styleId="82">
    <w:name w:val="文档结构图 Char1"/>
    <w:qFormat/>
    <w:uiPriority w:val="0"/>
    <w:rPr>
      <w:rFonts w:ascii="宋体"/>
      <w:kern w:val="2"/>
      <w:sz w:val="18"/>
      <w:szCs w:val="18"/>
    </w:rPr>
  </w:style>
  <w:style w:type="character" w:customStyle="1" w:styleId="83">
    <w:name w:val="普通文字1 Char1"/>
    <w:qFormat/>
    <w:uiPriority w:val="0"/>
    <w:rPr>
      <w:rFonts w:ascii="宋体" w:hAnsi="Courier New" w:eastAsia="宋体"/>
      <w:kern w:val="11"/>
      <w:sz w:val="21"/>
      <w:lang w:val="en-US" w:eastAsia="zh-CN" w:bidi="ar-SA"/>
    </w:rPr>
  </w:style>
  <w:style w:type="character" w:customStyle="1" w:styleId="84">
    <w:name w:val="font161"/>
    <w:qFormat/>
    <w:uiPriority w:val="0"/>
    <w:rPr>
      <w:b/>
      <w:sz w:val="32"/>
    </w:rPr>
  </w:style>
  <w:style w:type="character" w:customStyle="1" w:styleId="85">
    <w:name w:val="引用 Char3"/>
    <w:qFormat/>
    <w:uiPriority w:val="0"/>
    <w:rPr>
      <w:i/>
      <w:color w:val="000000"/>
      <w:kern w:val="2"/>
      <w:sz w:val="21"/>
      <w:lang w:bidi="ar-SA"/>
    </w:rPr>
  </w:style>
  <w:style w:type="character" w:customStyle="1" w:styleId="86">
    <w:name w:val="引用 字符"/>
    <w:link w:val="87"/>
    <w:qFormat/>
    <w:uiPriority w:val="0"/>
    <w:rPr>
      <w:i/>
      <w:iCs/>
      <w:color w:val="000000"/>
      <w:kern w:val="2"/>
      <w:sz w:val="21"/>
      <w:szCs w:val="22"/>
      <w:lang w:bidi="ar-SA"/>
    </w:rPr>
  </w:style>
  <w:style w:type="paragraph" w:styleId="87">
    <w:name w:val="Quote"/>
    <w:basedOn w:val="1"/>
    <w:next w:val="1"/>
    <w:link w:val="86"/>
    <w:qFormat/>
    <w:uiPriority w:val="0"/>
    <w:rPr>
      <w:i/>
      <w:iCs/>
      <w:color w:val="000000"/>
      <w:szCs w:val="22"/>
    </w:rPr>
  </w:style>
  <w:style w:type="character" w:customStyle="1" w:styleId="88">
    <w:name w:val="纯文本 Char"/>
    <w:qFormat/>
    <w:uiPriority w:val="0"/>
    <w:rPr>
      <w:rFonts w:ascii="宋体" w:hAnsi="Courier New" w:eastAsia="宋体" w:cs="Courier New"/>
      <w:kern w:val="2"/>
      <w:sz w:val="21"/>
      <w:szCs w:val="21"/>
      <w:lang w:val="en-US" w:eastAsia="zh-CN" w:bidi="ar-SA"/>
    </w:rPr>
  </w:style>
  <w:style w:type="character" w:customStyle="1" w:styleId="89">
    <w:name w:val="引用 Char1"/>
    <w:qFormat/>
    <w:uiPriority w:val="0"/>
    <w:rPr>
      <w:i/>
      <w:iCs/>
      <w:color w:val="000000"/>
      <w:kern w:val="2"/>
      <w:sz w:val="21"/>
    </w:rPr>
  </w:style>
  <w:style w:type="character" w:customStyle="1" w:styleId="90">
    <w:name w:val="textcontents"/>
    <w:qFormat/>
    <w:uiPriority w:val="0"/>
    <w:rPr>
      <w:rFonts w:cs="Times New Roman"/>
    </w:rPr>
  </w:style>
  <w:style w:type="character" w:customStyle="1" w:styleId="91">
    <w:name w:val="_Style 89"/>
    <w:qFormat/>
    <w:uiPriority w:val="0"/>
    <w:rPr>
      <w:b/>
      <w:bCs/>
      <w:smallCaps/>
      <w:spacing w:val="5"/>
    </w:rPr>
  </w:style>
  <w:style w:type="character" w:customStyle="1" w:styleId="92">
    <w:name w:val="font01"/>
    <w:qFormat/>
    <w:uiPriority w:val="0"/>
    <w:rPr>
      <w:rFonts w:hint="eastAsia" w:ascii="宋体" w:hAnsi="宋体" w:eastAsia="宋体" w:cs="宋体"/>
      <w:color w:val="000000"/>
      <w:sz w:val="24"/>
      <w:szCs w:val="24"/>
    </w:rPr>
  </w:style>
  <w:style w:type="character" w:customStyle="1" w:styleId="93">
    <w:name w:val="Char Char32"/>
    <w:qFormat/>
    <w:uiPriority w:val="0"/>
    <w:rPr>
      <w:rFonts w:ascii="Arial" w:hAnsi="Arial" w:eastAsia="黑体"/>
      <w:b/>
      <w:bCs/>
      <w:kern w:val="2"/>
      <w:sz w:val="32"/>
      <w:szCs w:val="32"/>
      <w:lang w:val="en-US" w:eastAsia="zh-CN" w:bidi="ar-SA"/>
    </w:rPr>
  </w:style>
  <w:style w:type="character" w:customStyle="1" w:styleId="94">
    <w:name w:val="标题5 Char Char"/>
    <w:link w:val="95"/>
    <w:qFormat/>
    <w:uiPriority w:val="0"/>
    <w:rPr>
      <w:rFonts w:ascii="Arial" w:hAnsi="Arial"/>
      <w:b/>
      <w:bCs/>
      <w:sz w:val="24"/>
      <w:szCs w:val="32"/>
      <w:lang w:bidi="ar-SA"/>
    </w:rPr>
  </w:style>
  <w:style w:type="paragraph" w:customStyle="1" w:styleId="95">
    <w:name w:val="标题5"/>
    <w:basedOn w:val="8"/>
    <w:link w:val="94"/>
    <w:qFormat/>
    <w:uiPriority w:val="0"/>
    <w:pPr>
      <w:spacing w:line="413" w:lineRule="auto"/>
    </w:pPr>
    <w:rPr>
      <w:rFonts w:ascii="Arial" w:hAnsi="Arial"/>
      <w:kern w:val="0"/>
      <w:sz w:val="24"/>
    </w:rPr>
  </w:style>
  <w:style w:type="character" w:customStyle="1" w:styleId="96">
    <w:name w:val="Char Char33"/>
    <w:qFormat/>
    <w:uiPriority w:val="0"/>
    <w:rPr>
      <w:rFonts w:eastAsia="宋体"/>
      <w:b/>
      <w:bCs/>
      <w:kern w:val="44"/>
      <w:sz w:val="32"/>
      <w:szCs w:val="44"/>
      <w:lang w:val="en-US" w:eastAsia="zh-CN" w:bidi="ar-SA"/>
    </w:rPr>
  </w:style>
  <w:style w:type="character" w:customStyle="1" w:styleId="97">
    <w:name w:val="Blockquote Char Char"/>
    <w:link w:val="98"/>
    <w:qFormat/>
    <w:uiPriority w:val="0"/>
    <w:rPr>
      <w:rFonts w:eastAsia="宋体"/>
      <w:sz w:val="24"/>
      <w:lang w:val="en-US" w:eastAsia="zh-CN" w:bidi="ar-SA"/>
    </w:rPr>
  </w:style>
  <w:style w:type="paragraph" w:customStyle="1" w:styleId="98">
    <w:name w:val="Blockquote"/>
    <w:basedOn w:val="1"/>
    <w:link w:val="97"/>
    <w:qFormat/>
    <w:uiPriority w:val="0"/>
    <w:pPr>
      <w:autoSpaceDE w:val="0"/>
      <w:autoSpaceDN w:val="0"/>
      <w:adjustRightInd w:val="0"/>
      <w:spacing w:before="100" w:after="100"/>
      <w:ind w:left="360" w:right="360"/>
      <w:jc w:val="left"/>
    </w:pPr>
    <w:rPr>
      <w:kern w:val="0"/>
      <w:sz w:val="24"/>
      <w:szCs w:val="20"/>
    </w:rPr>
  </w:style>
  <w:style w:type="character" w:customStyle="1" w:styleId="99">
    <w:name w:val="标题4 Char Char"/>
    <w:link w:val="100"/>
    <w:qFormat/>
    <w:uiPriority w:val="0"/>
    <w:rPr>
      <w:rFonts w:ascii="Arial" w:hAnsi="Arial"/>
      <w:b/>
      <w:bCs/>
      <w:sz w:val="24"/>
      <w:szCs w:val="32"/>
      <w:lang w:bidi="ar-SA"/>
    </w:rPr>
  </w:style>
  <w:style w:type="paragraph" w:customStyle="1" w:styleId="100">
    <w:name w:val="标题4"/>
    <w:basedOn w:val="7"/>
    <w:next w:val="23"/>
    <w:link w:val="99"/>
    <w:qFormat/>
    <w:uiPriority w:val="0"/>
    <w:pPr>
      <w:spacing w:line="413" w:lineRule="auto"/>
    </w:pPr>
    <w:rPr>
      <w:rFonts w:eastAsia="宋体"/>
      <w:kern w:val="0"/>
      <w:sz w:val="24"/>
    </w:rPr>
  </w:style>
  <w:style w:type="character" w:customStyle="1" w:styleId="101">
    <w:name w:val="_Style 99"/>
    <w:qFormat/>
    <w:uiPriority w:val="0"/>
    <w:rPr>
      <w:i/>
      <w:iCs/>
      <w:color w:val="808080"/>
    </w:rPr>
  </w:style>
  <w:style w:type="character" w:customStyle="1" w:styleId="102">
    <w:name w:val="Char Char3"/>
    <w:qFormat/>
    <w:uiPriority w:val="0"/>
    <w:rPr>
      <w:rFonts w:ascii="宋体" w:hAnsi="Courier New" w:eastAsia="幼圆"/>
      <w:kern w:val="2"/>
      <w:sz w:val="21"/>
    </w:rPr>
  </w:style>
  <w:style w:type="character" w:customStyle="1" w:styleId="103">
    <w:name w:val="副标题 Char1"/>
    <w:qFormat/>
    <w:uiPriority w:val="0"/>
    <w:rPr>
      <w:rFonts w:ascii="Cambria" w:hAnsi="Cambria" w:cs="Times New Roman"/>
      <w:b/>
      <w:bCs/>
      <w:kern w:val="28"/>
      <w:sz w:val="32"/>
      <w:szCs w:val="32"/>
    </w:rPr>
  </w:style>
  <w:style w:type="character" w:customStyle="1" w:styleId="104">
    <w:name w:val="p21"/>
    <w:qFormat/>
    <w:uiPriority w:val="0"/>
    <w:rPr>
      <w:color w:val="000000"/>
      <w:sz w:val="24"/>
      <w:szCs w:val="24"/>
    </w:rPr>
  </w:style>
  <w:style w:type="character" w:customStyle="1" w:styleId="105">
    <w:name w:val="_Style 103"/>
    <w:qFormat/>
    <w:uiPriority w:val="0"/>
    <w:rPr>
      <w:b/>
      <w:bCs/>
      <w:smallCaps/>
      <w:color w:val="C0504D"/>
      <w:spacing w:val="5"/>
      <w:u w:val="single"/>
    </w:rPr>
  </w:style>
  <w:style w:type="character" w:customStyle="1" w:styleId="106">
    <w:name w:val="普通文字1 Char"/>
    <w:qFormat/>
    <w:uiPriority w:val="0"/>
    <w:rPr>
      <w:rFonts w:ascii="宋体" w:hAnsi="Courier New" w:eastAsia="宋体" w:cs="Courier New"/>
      <w:kern w:val="2"/>
      <w:sz w:val="21"/>
      <w:szCs w:val="21"/>
      <w:lang w:val="en-US" w:eastAsia="zh-CN" w:bidi="ar-SA"/>
    </w:rPr>
  </w:style>
  <w:style w:type="character" w:customStyle="1" w:styleId="107">
    <w:name w:val="apple-converted-space"/>
    <w:basedOn w:val="49"/>
    <w:qFormat/>
    <w:uiPriority w:val="0"/>
  </w:style>
  <w:style w:type="character" w:customStyle="1" w:styleId="108">
    <w:name w:val="Char Char8"/>
    <w:qFormat/>
    <w:uiPriority w:val="0"/>
    <w:rPr>
      <w:rFonts w:eastAsia="宋体"/>
      <w:kern w:val="2"/>
      <w:sz w:val="21"/>
      <w:lang w:val="en-US" w:eastAsia="zh-CN" w:bidi="ar-SA"/>
    </w:rPr>
  </w:style>
  <w:style w:type="character" w:customStyle="1" w:styleId="109">
    <w:name w:val="明显引用 Char3"/>
    <w:qFormat/>
    <w:uiPriority w:val="0"/>
    <w:rPr>
      <w:b/>
      <w:i/>
      <w:color w:val="4F81BD"/>
      <w:kern w:val="2"/>
      <w:sz w:val="21"/>
      <w:lang w:bidi="ar-SA"/>
    </w:rPr>
  </w:style>
  <w:style w:type="character" w:customStyle="1" w:styleId="110">
    <w:name w:val="_Style 108"/>
    <w:unhideWhenUsed/>
    <w:qFormat/>
    <w:uiPriority w:val="99"/>
    <w:rPr>
      <w:color w:val="605E5C"/>
      <w:shd w:val="clear" w:color="auto" w:fill="E1DFDD"/>
    </w:rPr>
  </w:style>
  <w:style w:type="character" w:customStyle="1" w:styleId="111">
    <w:name w:val="副标题 Char2"/>
    <w:qFormat/>
    <w:uiPriority w:val="0"/>
    <w:rPr>
      <w:rFonts w:ascii="Cambria" w:hAnsi="Cambria" w:cs="Times New Roman"/>
      <w:b/>
      <w:bCs/>
      <w:kern w:val="28"/>
      <w:sz w:val="32"/>
      <w:szCs w:val="32"/>
    </w:rPr>
  </w:style>
  <w:style w:type="character" w:customStyle="1" w:styleId="112">
    <w:name w:val="Char Char16"/>
    <w:qFormat/>
    <w:uiPriority w:val="0"/>
    <w:rPr>
      <w:rFonts w:ascii="Arial" w:hAnsi="Arial" w:eastAsia="黑体"/>
      <w:b/>
      <w:bCs/>
      <w:kern w:val="2"/>
      <w:sz w:val="32"/>
      <w:szCs w:val="32"/>
      <w:lang w:val="en-US" w:eastAsia="zh-CN" w:bidi="ar-SA"/>
    </w:rPr>
  </w:style>
  <w:style w:type="character" w:customStyle="1" w:styleId="113">
    <w:name w:val="标题 5 Char"/>
    <w:qFormat/>
    <w:uiPriority w:val="0"/>
    <w:rPr>
      <w:rFonts w:ascii="Calibri" w:hAnsi="Calibri" w:eastAsia="宋体"/>
      <w:b/>
      <w:kern w:val="2"/>
      <w:sz w:val="28"/>
      <w:szCs w:val="20"/>
    </w:rPr>
  </w:style>
  <w:style w:type="character" w:customStyle="1" w:styleId="114">
    <w:name w:val="_Style 112"/>
    <w:qFormat/>
    <w:uiPriority w:val="0"/>
    <w:rPr>
      <w:b/>
      <w:bCs/>
      <w:i/>
      <w:iCs/>
      <w:color w:val="4F81BD"/>
    </w:rPr>
  </w:style>
  <w:style w:type="character" w:customStyle="1" w:styleId="115">
    <w:name w:val="正文文本 Char3"/>
    <w:qFormat/>
    <w:uiPriority w:val="0"/>
    <w:rPr>
      <w:kern w:val="2"/>
      <w:sz w:val="21"/>
      <w:szCs w:val="24"/>
    </w:rPr>
  </w:style>
  <w:style w:type="character" w:customStyle="1" w:styleId="116">
    <w:name w:val="z-窗体顶端 字符"/>
    <w:link w:val="117"/>
    <w:qFormat/>
    <w:uiPriority w:val="0"/>
    <w:rPr>
      <w:rFonts w:ascii="Arial" w:hAnsi="Arial"/>
      <w:vanish/>
      <w:sz w:val="16"/>
      <w:szCs w:val="16"/>
      <w:lang w:bidi="ar-SA"/>
    </w:rPr>
  </w:style>
  <w:style w:type="paragraph" w:customStyle="1" w:styleId="117">
    <w:name w:val="_Style 115"/>
    <w:basedOn w:val="1"/>
    <w:next w:val="1"/>
    <w:link w:val="116"/>
    <w:qFormat/>
    <w:uiPriority w:val="0"/>
    <w:pPr>
      <w:widowControl/>
      <w:pBdr>
        <w:bottom w:val="single" w:color="auto" w:sz="6" w:space="1"/>
      </w:pBdr>
      <w:jc w:val="center"/>
    </w:pPr>
    <w:rPr>
      <w:rFonts w:ascii="Arial" w:hAnsi="Arial"/>
      <w:vanish/>
      <w:kern w:val="0"/>
      <w:sz w:val="16"/>
      <w:szCs w:val="16"/>
    </w:rPr>
  </w:style>
  <w:style w:type="character" w:customStyle="1" w:styleId="118">
    <w:name w:val="批注主题 Char3"/>
    <w:qFormat/>
    <w:uiPriority w:val="0"/>
    <w:rPr>
      <w:rFonts w:ascii="Arial" w:hAnsi="Arial" w:eastAsia="宋体"/>
      <w:b/>
      <w:bCs/>
      <w:kern w:val="2"/>
      <w:sz w:val="21"/>
      <w:szCs w:val="24"/>
      <w:lang w:val="en-US" w:eastAsia="zh-CN" w:bidi="ar-SA"/>
    </w:rPr>
  </w:style>
  <w:style w:type="character" w:customStyle="1" w:styleId="119">
    <w:name w:val="Char Char17"/>
    <w:qFormat/>
    <w:uiPriority w:val="0"/>
    <w:rPr>
      <w:rFonts w:ascii="Arial" w:hAnsi="Arial" w:eastAsia="黑体"/>
      <w:b/>
      <w:bCs/>
      <w:kern w:val="2"/>
      <w:sz w:val="32"/>
      <w:szCs w:val="32"/>
      <w:lang w:val="en-US" w:eastAsia="zh-CN" w:bidi="ar-SA"/>
    </w:rPr>
  </w:style>
  <w:style w:type="character" w:customStyle="1" w:styleId="120">
    <w:name w:val="引用 Char2"/>
    <w:qFormat/>
    <w:uiPriority w:val="0"/>
    <w:rPr>
      <w:i/>
      <w:iCs/>
      <w:color w:val="000000"/>
      <w:kern w:val="2"/>
      <w:sz w:val="21"/>
      <w:szCs w:val="24"/>
    </w:rPr>
  </w:style>
  <w:style w:type="character" w:customStyle="1" w:styleId="121">
    <w:name w:val="批注文字 Char Char"/>
    <w:qFormat/>
    <w:uiPriority w:val="0"/>
    <w:rPr>
      <w:rFonts w:ascii="宋体" w:hAnsi="Times New Roman" w:eastAsia="宋体" w:cs="Times New Roman"/>
      <w:sz w:val="28"/>
      <w:szCs w:val="20"/>
    </w:rPr>
  </w:style>
  <w:style w:type="character" w:customStyle="1" w:styleId="122">
    <w:name w:val="日期 Char1"/>
    <w:qFormat/>
    <w:uiPriority w:val="0"/>
    <w:rPr>
      <w:kern w:val="2"/>
      <w:sz w:val="21"/>
      <w:szCs w:val="22"/>
    </w:rPr>
  </w:style>
  <w:style w:type="character" w:customStyle="1" w:styleId="123">
    <w:name w:val="Char Char6"/>
    <w:qFormat/>
    <w:uiPriority w:val="0"/>
    <w:rPr>
      <w:kern w:val="2"/>
      <w:sz w:val="18"/>
      <w:szCs w:val="18"/>
    </w:rPr>
  </w:style>
  <w:style w:type="character" w:customStyle="1" w:styleId="124">
    <w:name w:val="批注文字 Char Char Char"/>
    <w:qFormat/>
    <w:uiPriority w:val="0"/>
    <w:rPr>
      <w:kern w:val="2"/>
      <w:sz w:val="21"/>
    </w:rPr>
  </w:style>
  <w:style w:type="character" w:customStyle="1" w:styleId="125">
    <w:name w:val="批注主题 Char1"/>
    <w:qFormat/>
    <w:uiPriority w:val="0"/>
    <w:rPr>
      <w:b/>
      <w:bCs/>
      <w:kern w:val="2"/>
      <w:sz w:val="21"/>
      <w:szCs w:val="22"/>
    </w:rPr>
  </w:style>
  <w:style w:type="character" w:customStyle="1" w:styleId="126">
    <w:name w:val="Char Char1"/>
    <w:qFormat/>
    <w:uiPriority w:val="0"/>
    <w:rPr>
      <w:rFonts w:ascii="宋体" w:hAnsi="Courier New" w:eastAsia="宋体"/>
      <w:kern w:val="2"/>
      <w:sz w:val="21"/>
      <w:lang w:val="en-US" w:eastAsia="zh-CN" w:bidi="ar-SA"/>
    </w:rPr>
  </w:style>
  <w:style w:type="character" w:customStyle="1" w:styleId="127">
    <w:name w:val="font1"/>
    <w:qFormat/>
    <w:uiPriority w:val="0"/>
    <w:rPr>
      <w:sz w:val="18"/>
      <w:szCs w:val="18"/>
    </w:rPr>
  </w:style>
  <w:style w:type="character" w:customStyle="1" w:styleId="128">
    <w:name w:val="标题 4 Char"/>
    <w:qFormat/>
    <w:uiPriority w:val="0"/>
    <w:rPr>
      <w:rFonts w:ascii="Arial" w:hAnsi="Arial" w:eastAsia="宋体"/>
      <w:b/>
      <w:kern w:val="2"/>
      <w:sz w:val="21"/>
      <w:lang w:val="en-US" w:eastAsia="zh-CN" w:bidi="ar-SA"/>
    </w:rPr>
  </w:style>
  <w:style w:type="character" w:customStyle="1" w:styleId="129">
    <w:name w:val="标题 Char2"/>
    <w:qFormat/>
    <w:uiPriority w:val="0"/>
    <w:rPr>
      <w:rFonts w:ascii="Cambria" w:hAnsi="Cambria" w:cs="Times New Roman"/>
      <w:b/>
      <w:bCs/>
      <w:kern w:val="2"/>
      <w:sz w:val="32"/>
      <w:szCs w:val="32"/>
    </w:rPr>
  </w:style>
  <w:style w:type="character" w:customStyle="1" w:styleId="130">
    <w:name w:val="明显引用 Char2"/>
    <w:qFormat/>
    <w:uiPriority w:val="0"/>
    <w:rPr>
      <w:b/>
      <w:bCs/>
      <w:i/>
      <w:iCs/>
      <w:color w:val="4F81BD"/>
      <w:kern w:val="2"/>
      <w:sz w:val="21"/>
      <w:szCs w:val="24"/>
    </w:rPr>
  </w:style>
  <w:style w:type="character" w:customStyle="1" w:styleId="131">
    <w:name w:val="标题 2 Char"/>
    <w:qFormat/>
    <w:uiPriority w:val="0"/>
    <w:rPr>
      <w:rFonts w:ascii="Arial" w:hAnsi="Arial" w:eastAsia="黑体"/>
      <w:b/>
      <w:kern w:val="2"/>
      <w:sz w:val="32"/>
      <w:lang w:val="en-US" w:eastAsia="zh-CN" w:bidi="ar-SA"/>
    </w:rPr>
  </w:style>
  <w:style w:type="character" w:customStyle="1" w:styleId="132">
    <w:name w:val="Char Char27"/>
    <w:qFormat/>
    <w:uiPriority w:val="0"/>
    <w:rPr>
      <w:rFonts w:ascii="Arial" w:hAnsi="Arial" w:eastAsia="黑体"/>
      <w:b/>
      <w:kern w:val="2"/>
      <w:sz w:val="32"/>
      <w:lang w:val="en-US" w:eastAsia="zh-CN" w:bidi="ar-SA"/>
    </w:rPr>
  </w:style>
  <w:style w:type="character" w:customStyle="1" w:styleId="133">
    <w:name w:val="样式 标书正文 + 下划线 Char"/>
    <w:qFormat/>
    <w:uiPriority w:val="0"/>
    <w:rPr>
      <w:rFonts w:eastAsia="楷体_GB2312"/>
      <w:kern w:val="2"/>
      <w:sz w:val="28"/>
      <w:u w:val="single"/>
      <w:lang w:val="en-US" w:eastAsia="zh-CN"/>
    </w:rPr>
  </w:style>
  <w:style w:type="character" w:customStyle="1" w:styleId="134">
    <w:name w:val="Char Char30"/>
    <w:qFormat/>
    <w:uiPriority w:val="0"/>
    <w:rPr>
      <w:rFonts w:ascii="Arial" w:hAnsi="Arial" w:eastAsia="宋体"/>
      <w:b/>
      <w:bCs/>
      <w:kern w:val="2"/>
      <w:sz w:val="21"/>
      <w:szCs w:val="28"/>
      <w:lang w:val="en-US" w:eastAsia="zh-CN" w:bidi="ar-SA"/>
    </w:rPr>
  </w:style>
  <w:style w:type="character" w:customStyle="1" w:styleId="135">
    <w:name w:val="明显引用 Char1"/>
    <w:qFormat/>
    <w:uiPriority w:val="0"/>
    <w:rPr>
      <w:b/>
      <w:bCs/>
      <w:i/>
      <w:iCs/>
      <w:color w:val="4F81BD"/>
      <w:kern w:val="2"/>
      <w:sz w:val="21"/>
    </w:rPr>
  </w:style>
  <w:style w:type="character" w:customStyle="1" w:styleId="136">
    <w:name w:val="批注文字 Char1"/>
    <w:qFormat/>
    <w:uiPriority w:val="0"/>
    <w:rPr>
      <w:kern w:val="2"/>
      <w:sz w:val="21"/>
      <w:szCs w:val="24"/>
    </w:rPr>
  </w:style>
  <w:style w:type="character" w:customStyle="1" w:styleId="137">
    <w:name w:val="正文文本 Char1"/>
    <w:qFormat/>
    <w:uiPriority w:val="0"/>
    <w:rPr>
      <w:kern w:val="2"/>
      <w:sz w:val="21"/>
      <w:szCs w:val="22"/>
    </w:rPr>
  </w:style>
  <w:style w:type="character" w:customStyle="1" w:styleId="138">
    <w:name w:val="(F4) Char Char"/>
    <w:qFormat/>
    <w:uiPriority w:val="0"/>
    <w:rPr>
      <w:rFonts w:eastAsia="宋体"/>
      <w:b/>
      <w:bCs/>
      <w:kern w:val="2"/>
      <w:sz w:val="24"/>
      <w:szCs w:val="32"/>
      <w:lang w:val="en-US" w:eastAsia="zh-CN" w:bidi="ar-SA"/>
    </w:rPr>
  </w:style>
  <w:style w:type="character" w:customStyle="1" w:styleId="139">
    <w:name w:val="样式 标题 4 + 四号 Char Char"/>
    <w:link w:val="140"/>
    <w:qFormat/>
    <w:uiPriority w:val="0"/>
    <w:rPr>
      <w:rFonts w:ascii="Arial" w:hAnsi="Arial" w:eastAsia="宋体"/>
      <w:b/>
      <w:bCs/>
      <w:kern w:val="2"/>
      <w:sz w:val="24"/>
      <w:szCs w:val="28"/>
      <w:lang w:val="en-US" w:eastAsia="zh-CN" w:bidi="ar-SA"/>
    </w:rPr>
  </w:style>
  <w:style w:type="paragraph" w:customStyle="1" w:styleId="140">
    <w:name w:val="样式 标题 4 + 四号"/>
    <w:basedOn w:val="9"/>
    <w:link w:val="139"/>
    <w:qFormat/>
    <w:uiPriority w:val="0"/>
    <w:pPr>
      <w:spacing w:before="0" w:after="0" w:line="360" w:lineRule="auto"/>
    </w:pPr>
    <w:rPr>
      <w:rFonts w:eastAsia="宋体"/>
      <w:bCs/>
      <w:sz w:val="24"/>
      <w:szCs w:val="28"/>
    </w:rPr>
  </w:style>
  <w:style w:type="character" w:customStyle="1" w:styleId="141">
    <w:name w:val="批注框文本 Char1"/>
    <w:qFormat/>
    <w:uiPriority w:val="0"/>
    <w:rPr>
      <w:kern w:val="2"/>
      <w:sz w:val="18"/>
      <w:szCs w:val="18"/>
    </w:rPr>
  </w:style>
  <w:style w:type="character" w:customStyle="1" w:styleId="142">
    <w:name w:val="Char Char29"/>
    <w:qFormat/>
    <w:uiPriority w:val="0"/>
    <w:rPr>
      <w:rFonts w:ascii="Calibri" w:hAnsi="Calibri" w:eastAsia="宋体"/>
      <w:b/>
      <w:kern w:val="2"/>
      <w:sz w:val="28"/>
      <w:szCs w:val="20"/>
      <w:lang w:val="en-US" w:eastAsia="zh-CN" w:bidi="ar-SA"/>
    </w:rPr>
  </w:style>
  <w:style w:type="character" w:customStyle="1" w:styleId="143">
    <w:name w:val="Char Char31"/>
    <w:qFormat/>
    <w:uiPriority w:val="0"/>
    <w:rPr>
      <w:rFonts w:eastAsia="宋体"/>
      <w:b/>
      <w:bCs/>
      <w:kern w:val="2"/>
      <w:sz w:val="24"/>
      <w:szCs w:val="32"/>
      <w:lang w:val="en-US" w:eastAsia="zh-CN" w:bidi="ar-SA"/>
    </w:rPr>
  </w:style>
  <w:style w:type="character" w:customStyle="1" w:styleId="144">
    <w:name w:val="标题 2 Char Char Char Char"/>
    <w:qFormat/>
    <w:uiPriority w:val="0"/>
    <w:rPr>
      <w:rFonts w:ascii="Arial" w:hAnsi="Arial" w:eastAsia="黑体"/>
      <w:b/>
      <w:bCs/>
      <w:kern w:val="2"/>
      <w:sz w:val="32"/>
      <w:szCs w:val="32"/>
      <w:lang w:val="en-US" w:eastAsia="zh-CN" w:bidi="ar-SA"/>
    </w:rPr>
  </w:style>
  <w:style w:type="character" w:customStyle="1" w:styleId="145">
    <w:name w:val="明显引用 字符"/>
    <w:link w:val="146"/>
    <w:qFormat/>
    <w:uiPriority w:val="0"/>
    <w:rPr>
      <w:b/>
      <w:bCs/>
      <w:i/>
      <w:iCs/>
      <w:color w:val="4F81BD"/>
      <w:kern w:val="2"/>
      <w:sz w:val="21"/>
      <w:szCs w:val="22"/>
      <w:lang w:bidi="ar-SA"/>
    </w:rPr>
  </w:style>
  <w:style w:type="paragraph" w:styleId="146">
    <w:name w:val="Intense Quote"/>
    <w:basedOn w:val="1"/>
    <w:next w:val="1"/>
    <w:link w:val="145"/>
    <w:qFormat/>
    <w:uiPriority w:val="0"/>
    <w:pPr>
      <w:pBdr>
        <w:bottom w:val="single" w:color="4F81BD" w:sz="4" w:space="4"/>
      </w:pBdr>
      <w:spacing w:before="200" w:after="280"/>
      <w:ind w:left="936" w:right="936"/>
    </w:pPr>
    <w:rPr>
      <w:b/>
      <w:bCs/>
      <w:i/>
      <w:iCs/>
      <w:color w:val="4F81BD"/>
      <w:szCs w:val="22"/>
    </w:rPr>
  </w:style>
  <w:style w:type="character" w:customStyle="1" w:styleId="147">
    <w:name w:val="_Style 145"/>
    <w:qFormat/>
    <w:uiPriority w:val="0"/>
    <w:rPr>
      <w:smallCaps/>
      <w:color w:val="C0504D"/>
      <w:u w:val="single"/>
    </w:rPr>
  </w:style>
  <w:style w:type="character" w:customStyle="1" w:styleId="148">
    <w:name w:val="style1"/>
    <w:qFormat/>
    <w:uiPriority w:val="0"/>
    <w:rPr>
      <w:szCs w:val="20"/>
    </w:rPr>
  </w:style>
  <w:style w:type="paragraph" w:customStyle="1" w:styleId="149">
    <w:name w:val="简单回函地址"/>
    <w:basedOn w:val="1"/>
    <w:qFormat/>
    <w:uiPriority w:val="0"/>
  </w:style>
  <w:style w:type="paragraph" w:customStyle="1" w:styleId="150">
    <w:name w:val="Char"/>
    <w:basedOn w:val="1"/>
    <w:qFormat/>
    <w:uiPriority w:val="0"/>
    <w:pPr>
      <w:adjustRightInd w:val="0"/>
      <w:snapToGrid w:val="0"/>
    </w:pPr>
    <w:rPr>
      <w:rFonts w:ascii="Arial" w:hAnsi="Arial" w:eastAsia="黑体"/>
      <w:b/>
      <w:sz w:val="32"/>
      <w:szCs w:val="20"/>
    </w:rPr>
  </w:style>
  <w:style w:type="paragraph" w:customStyle="1" w:styleId="151">
    <w:name w:val="font6"/>
    <w:basedOn w:val="1"/>
    <w:qFormat/>
    <w:uiPriority w:val="0"/>
    <w:pPr>
      <w:widowControl/>
      <w:spacing w:before="100" w:beforeAutospacing="1" w:after="100" w:afterAutospacing="1"/>
      <w:jc w:val="left"/>
    </w:pPr>
    <w:rPr>
      <w:rFonts w:hint="eastAsia" w:ascii="宋体" w:hAnsi="宋体"/>
      <w:b/>
      <w:bCs/>
      <w:kern w:val="0"/>
      <w:sz w:val="36"/>
      <w:szCs w:val="36"/>
    </w:rPr>
  </w:style>
  <w:style w:type="paragraph" w:customStyle="1" w:styleId="152">
    <w:name w:val="样式 标题 3 + (中文) 黑体 小四 非加粗 段前: 7.8 磅 段后: 0 磅 行距: 固定值 20 磅"/>
    <w:basedOn w:val="8"/>
    <w:qFormat/>
    <w:uiPriority w:val="0"/>
    <w:pPr>
      <w:spacing w:before="0" w:after="0" w:line="400" w:lineRule="exact"/>
    </w:pPr>
    <w:rPr>
      <w:rFonts w:eastAsia="黑体" w:cs="宋体"/>
      <w:b w:val="0"/>
      <w:bCs w:val="0"/>
      <w:sz w:val="24"/>
      <w:szCs w:val="20"/>
    </w:rPr>
  </w:style>
  <w:style w:type="paragraph" w:customStyle="1" w:styleId="153">
    <w:name w:val="Char Char10 Char"/>
    <w:basedOn w:val="1"/>
    <w:qFormat/>
    <w:uiPriority w:val="0"/>
  </w:style>
  <w:style w:type="paragraph" w:customStyle="1" w:styleId="154">
    <w:name w:val="Table Contents"/>
    <w:basedOn w:val="5"/>
    <w:qFormat/>
    <w:uiPriority w:val="0"/>
    <w:pPr>
      <w:suppressLineNumbers/>
      <w:suppressAutoHyphens/>
      <w:jc w:val="left"/>
    </w:pPr>
    <w:rPr>
      <w:rFonts w:eastAsia="PMingLiU"/>
      <w:kern w:val="0"/>
      <w:sz w:val="24"/>
      <w:szCs w:val="24"/>
    </w:rPr>
  </w:style>
  <w:style w:type="paragraph" w:customStyle="1" w:styleId="155">
    <w:name w:val="Table Heading"/>
    <w:basedOn w:val="154"/>
    <w:qFormat/>
    <w:uiPriority w:val="0"/>
    <w:pPr>
      <w:jc w:val="center"/>
    </w:pPr>
    <w:rPr>
      <w:b/>
      <w:bCs/>
      <w:i/>
      <w:iCs/>
    </w:rPr>
  </w:style>
  <w:style w:type="paragraph" w:customStyle="1" w:styleId="156">
    <w:name w:val="right"/>
    <w:basedOn w:val="1"/>
    <w:qFormat/>
    <w:uiPriority w:val="0"/>
    <w:pPr>
      <w:widowControl/>
      <w:spacing w:before="100" w:beforeAutospacing="1" w:after="100" w:afterAutospacing="1"/>
      <w:jc w:val="left"/>
    </w:pPr>
    <w:rPr>
      <w:rFonts w:ascii="ˎ̥" w:hAnsi="ˎ̥"/>
      <w:color w:val="000099"/>
      <w:kern w:val="0"/>
      <w:sz w:val="18"/>
      <w:szCs w:val="20"/>
    </w:rPr>
  </w:style>
  <w:style w:type="paragraph" w:customStyle="1" w:styleId="157">
    <w:name w:val="默认段落字体 Para Char Char Char Char"/>
    <w:basedOn w:val="1"/>
    <w:qFormat/>
    <w:uiPriority w:val="0"/>
    <w:pPr>
      <w:snapToGrid w:val="0"/>
      <w:spacing w:line="360" w:lineRule="auto"/>
      <w:ind w:firstLine="200" w:firstLineChars="200"/>
    </w:pPr>
    <w:rPr>
      <w:rFonts w:ascii="Calibri" w:hAnsi="Calibri"/>
      <w:szCs w:val="20"/>
    </w:rPr>
  </w:style>
  <w:style w:type="paragraph" w:customStyle="1" w:styleId="158">
    <w:name w:val="样式 标题 2 + Times New Roman 四号 非加粗 段前: 5 磅 段后: 0 磅 行距: 固定值 20..."/>
    <w:basedOn w:val="7"/>
    <w:qFormat/>
    <w:uiPriority w:val="0"/>
    <w:pPr>
      <w:spacing w:before="100" w:after="0" w:line="400" w:lineRule="exact"/>
    </w:pPr>
    <w:rPr>
      <w:rFonts w:ascii="Times New Roman" w:hAnsi="Times New Roman" w:cs="宋体"/>
      <w:b w:val="0"/>
      <w:bCs w:val="0"/>
      <w:sz w:val="28"/>
      <w:szCs w:val="20"/>
    </w:rPr>
  </w:style>
  <w:style w:type="paragraph" w:customStyle="1" w:styleId="159">
    <w:name w:val="样式 小四"/>
    <w:basedOn w:val="1"/>
    <w:qFormat/>
    <w:uiPriority w:val="0"/>
    <w:pPr>
      <w:ind w:firstLine="480" w:firstLineChars="200"/>
    </w:pPr>
    <w:rPr>
      <w:sz w:val="24"/>
      <w:szCs w:val="20"/>
    </w:rPr>
  </w:style>
  <w:style w:type="paragraph" w:customStyle="1" w:styleId="160">
    <w:name w:val="black"/>
    <w:basedOn w:val="1"/>
    <w:qFormat/>
    <w:uiPriority w:val="0"/>
    <w:pPr>
      <w:widowControl/>
      <w:spacing w:before="100" w:beforeAutospacing="1" w:after="100" w:afterAutospacing="1"/>
      <w:jc w:val="left"/>
    </w:pPr>
    <w:rPr>
      <w:rFonts w:ascii="ˎ̥" w:hAnsi="ˎ̥"/>
      <w:color w:val="000066"/>
      <w:kern w:val="0"/>
      <w:sz w:val="18"/>
      <w:szCs w:val="20"/>
    </w:rPr>
  </w:style>
  <w:style w:type="paragraph" w:customStyle="1" w:styleId="161">
    <w:name w:val="xl25"/>
    <w:basedOn w:val="1"/>
    <w:qFormat/>
    <w:uiPriority w:val="0"/>
    <w:pPr>
      <w:widowControl/>
      <w:pBdr>
        <w:bottom w:val="single" w:color="auto" w:sz="4" w:space="0"/>
      </w:pBdr>
      <w:spacing w:before="100" w:beforeAutospacing="1" w:after="100" w:afterAutospacing="1"/>
      <w:jc w:val="center"/>
      <w:textAlignment w:val="center"/>
    </w:pPr>
    <w:rPr>
      <w:rFonts w:ascii="宋体" w:hAnsi="宋体"/>
      <w:b/>
      <w:bCs/>
      <w:kern w:val="0"/>
      <w:sz w:val="36"/>
      <w:szCs w:val="36"/>
    </w:rPr>
  </w:style>
  <w:style w:type="paragraph" w:customStyle="1" w:styleId="162">
    <w:name w:val="表格文字"/>
    <w:basedOn w:val="1"/>
    <w:qFormat/>
    <w:uiPriority w:val="0"/>
    <w:pPr>
      <w:adjustRightInd w:val="0"/>
      <w:spacing w:line="420" w:lineRule="atLeast"/>
      <w:jc w:val="left"/>
      <w:textAlignment w:val="baseline"/>
    </w:pPr>
    <w:rPr>
      <w:kern w:val="0"/>
      <w:szCs w:val="20"/>
    </w:rPr>
  </w:style>
  <w:style w:type="paragraph" w:customStyle="1" w:styleId="163">
    <w:name w:val="top"/>
    <w:basedOn w:val="1"/>
    <w:qFormat/>
    <w:uiPriority w:val="0"/>
    <w:pPr>
      <w:widowControl/>
      <w:spacing w:before="100" w:beforeAutospacing="1" w:after="100" w:afterAutospacing="1"/>
      <w:jc w:val="left"/>
    </w:pPr>
    <w:rPr>
      <w:rFonts w:ascii="ˎ̥" w:hAnsi="ˎ̥"/>
      <w:color w:val="FFFFFF"/>
      <w:kern w:val="0"/>
      <w:sz w:val="18"/>
      <w:szCs w:val="20"/>
    </w:rPr>
  </w:style>
  <w:style w:type="paragraph" w:customStyle="1" w:styleId="164">
    <w:name w:val="Char1 Char Char Char"/>
    <w:basedOn w:val="1"/>
    <w:qFormat/>
    <w:uiPriority w:val="0"/>
    <w:rPr>
      <w:szCs w:val="20"/>
    </w:rPr>
  </w:style>
  <w:style w:type="paragraph" w:customStyle="1" w:styleId="165">
    <w:name w:val="标题3"/>
    <w:basedOn w:val="33"/>
    <w:qFormat/>
    <w:uiPriority w:val="0"/>
    <w:pPr>
      <w:tabs>
        <w:tab w:val="clear" w:pos="8296"/>
      </w:tabs>
      <w:ind w:right="0" w:rightChars="0"/>
      <w:jc w:val="both"/>
    </w:pPr>
    <w:rPr>
      <w:rFonts w:ascii="Tahoma" w:hAnsi="Tahoma" w:eastAsia="黑体"/>
      <w:b/>
      <w:sz w:val="24"/>
    </w:rPr>
  </w:style>
  <w:style w:type="paragraph" w:customStyle="1" w:styleId="166">
    <w:name w:val="Default"/>
    <w:basedOn w:val="26"/>
    <w:next w:val="1"/>
    <w:qFormat/>
    <w:uiPriority w:val="0"/>
    <w:pPr>
      <w:autoSpaceDE w:val="0"/>
      <w:autoSpaceDN w:val="0"/>
      <w:adjustRightInd w:val="0"/>
    </w:pPr>
    <w:rPr>
      <w:color w:val="000000"/>
      <w:sz w:val="24"/>
    </w:rPr>
  </w:style>
  <w:style w:type="paragraph" w:customStyle="1" w:styleId="167">
    <w:name w:val="font7"/>
    <w:basedOn w:val="1"/>
    <w:qFormat/>
    <w:uiPriority w:val="0"/>
    <w:pPr>
      <w:widowControl/>
      <w:spacing w:before="100" w:beforeAutospacing="1" w:after="100" w:afterAutospacing="1"/>
      <w:jc w:val="left"/>
    </w:pPr>
    <w:rPr>
      <w:b/>
      <w:bCs/>
      <w:kern w:val="0"/>
      <w:sz w:val="36"/>
      <w:szCs w:val="36"/>
    </w:rPr>
  </w:style>
  <w:style w:type="paragraph" w:customStyle="1" w:styleId="168">
    <w:name w:val="news"/>
    <w:basedOn w:val="1"/>
    <w:qFormat/>
    <w:uiPriority w:val="0"/>
    <w:pPr>
      <w:widowControl/>
      <w:spacing w:before="100" w:beforeAutospacing="1" w:after="100" w:afterAutospacing="1" w:line="165" w:lineRule="atLeast"/>
      <w:jc w:val="left"/>
    </w:pPr>
    <w:rPr>
      <w:rFonts w:ascii="ˎ̥" w:hAnsi="ˎ̥"/>
      <w:color w:val="000000"/>
      <w:kern w:val="0"/>
      <w:sz w:val="11"/>
      <w:szCs w:val="20"/>
    </w:rPr>
  </w:style>
  <w:style w:type="paragraph" w:customStyle="1" w:styleId="169">
    <w:name w:val="Char1"/>
    <w:basedOn w:val="1"/>
    <w:qFormat/>
    <w:uiPriority w:val="0"/>
    <w:pPr>
      <w:widowControl/>
      <w:spacing w:after="160" w:line="240" w:lineRule="exact"/>
      <w:jc w:val="left"/>
    </w:pPr>
  </w:style>
  <w:style w:type="paragraph" w:customStyle="1" w:styleId="170">
    <w:name w:val="Char Char Char"/>
    <w:basedOn w:val="1"/>
    <w:qFormat/>
    <w:uiPriority w:val="0"/>
    <w:pPr>
      <w:adjustRightInd w:val="0"/>
      <w:spacing w:line="360" w:lineRule="atLeast"/>
    </w:pPr>
  </w:style>
  <w:style w:type="paragraph" w:customStyle="1" w:styleId="171">
    <w:name w:val="noline"/>
    <w:basedOn w:val="1"/>
    <w:qFormat/>
    <w:uiPriority w:val="0"/>
    <w:pPr>
      <w:widowControl/>
      <w:spacing w:before="100" w:beforeAutospacing="1" w:after="100" w:afterAutospacing="1"/>
      <w:jc w:val="left"/>
    </w:pPr>
    <w:rPr>
      <w:rFonts w:ascii="ˎ̥" w:hAnsi="ˎ̥"/>
      <w:color w:val="000000"/>
      <w:kern w:val="0"/>
      <w:sz w:val="18"/>
      <w:szCs w:val="20"/>
    </w:rPr>
  </w:style>
  <w:style w:type="paragraph" w:customStyle="1" w:styleId="172">
    <w:name w:val="标书正文"/>
    <w:basedOn w:val="1"/>
    <w:qFormat/>
    <w:uiPriority w:val="0"/>
    <w:pPr>
      <w:snapToGrid w:val="0"/>
      <w:spacing w:line="360" w:lineRule="auto"/>
      <w:ind w:firstLine="560" w:firstLineChars="200"/>
    </w:pPr>
    <w:rPr>
      <w:rFonts w:ascii="宋体" w:hAnsi="宋体"/>
      <w:color w:val="000000"/>
      <w:sz w:val="24"/>
      <w:szCs w:val="20"/>
    </w:rPr>
  </w:style>
  <w:style w:type="paragraph" w:customStyle="1" w:styleId="173">
    <w:name w:val="列出段落"/>
    <w:basedOn w:val="1"/>
    <w:qFormat/>
    <w:uiPriority w:val="0"/>
    <w:pPr>
      <w:ind w:firstLine="420" w:firstLineChars="200"/>
    </w:pPr>
    <w:rPr>
      <w:rFonts w:ascii="Calibri" w:hAnsi="Calibri"/>
      <w:szCs w:val="22"/>
    </w:rPr>
  </w:style>
  <w:style w:type="paragraph" w:customStyle="1" w:styleId="174">
    <w:name w:val="样式 标题 1 + 黑体 三号 非加粗 居中 段前: 6 磅 段后: 6 磅 行距: 固定值 20 磅"/>
    <w:basedOn w:val="6"/>
    <w:qFormat/>
    <w:uiPriority w:val="0"/>
    <w:pPr>
      <w:spacing w:before="120" w:after="120" w:line="400" w:lineRule="exact"/>
      <w:jc w:val="center"/>
    </w:pPr>
    <w:rPr>
      <w:rFonts w:ascii="黑体" w:hAnsi="黑体" w:eastAsia="黑体"/>
      <w:b w:val="0"/>
      <w:bCs w:val="0"/>
      <w:sz w:val="32"/>
      <w:szCs w:val="20"/>
    </w:rPr>
  </w:style>
  <w:style w:type="paragraph" w:customStyle="1" w:styleId="175">
    <w:name w:val="Char11"/>
    <w:basedOn w:val="1"/>
    <w:qFormat/>
    <w:uiPriority w:val="0"/>
    <w:rPr>
      <w:szCs w:val="20"/>
    </w:rPr>
  </w:style>
  <w:style w:type="paragraph" w:customStyle="1" w:styleId="176">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177">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178">
    <w:name w:val="文档正文"/>
    <w:basedOn w:val="1"/>
    <w:qFormat/>
    <w:uiPriority w:val="0"/>
    <w:pPr>
      <w:adjustRightInd w:val="0"/>
      <w:spacing w:line="480" w:lineRule="atLeast"/>
      <w:ind w:firstLine="567"/>
      <w:textAlignment w:val="baseline"/>
    </w:pPr>
    <w:rPr>
      <w:rFonts w:ascii="仿宋_GB2312" w:eastAsia="仿宋_GB2312"/>
      <w:kern w:val="0"/>
      <w:sz w:val="28"/>
      <w:szCs w:val="20"/>
    </w:rPr>
  </w:style>
  <w:style w:type="paragraph" w:customStyle="1" w:styleId="179">
    <w:name w:val="_Style 177"/>
    <w:basedOn w:val="6"/>
    <w:next w:val="1"/>
    <w:qFormat/>
    <w:uiPriority w:val="0"/>
    <w:pPr>
      <w:spacing w:line="576" w:lineRule="auto"/>
      <w:outlineLvl w:val="9"/>
    </w:pPr>
    <w:rPr>
      <w:rFonts w:ascii="Calibri" w:hAnsi="Calibri"/>
    </w:rPr>
  </w:style>
  <w:style w:type="paragraph" w:customStyle="1" w:styleId="180">
    <w:name w:val="middle"/>
    <w:basedOn w:val="1"/>
    <w:qFormat/>
    <w:uiPriority w:val="0"/>
    <w:pPr>
      <w:widowControl/>
      <w:spacing w:before="100" w:beforeAutospacing="1" w:after="100" w:afterAutospacing="1"/>
      <w:jc w:val="left"/>
    </w:pPr>
    <w:rPr>
      <w:rFonts w:ascii="ˎ̥" w:hAnsi="ˎ̥"/>
      <w:color w:val="666666"/>
      <w:kern w:val="0"/>
      <w:sz w:val="18"/>
      <w:szCs w:val="20"/>
    </w:rPr>
  </w:style>
  <w:style w:type="paragraph" w:customStyle="1" w:styleId="181">
    <w:name w:val="class"/>
    <w:basedOn w:val="1"/>
    <w:qFormat/>
    <w:uiPriority w:val="0"/>
    <w:pPr>
      <w:widowControl/>
      <w:spacing w:before="100" w:beforeAutospacing="1" w:after="100" w:afterAutospacing="1"/>
      <w:jc w:val="left"/>
    </w:pPr>
    <w:rPr>
      <w:rFonts w:ascii="ˎ̥" w:hAnsi="ˎ̥"/>
      <w:color w:val="000099"/>
      <w:kern w:val="0"/>
      <w:sz w:val="18"/>
      <w:szCs w:val="20"/>
    </w:rPr>
  </w:style>
  <w:style w:type="paragraph" w:customStyle="1" w:styleId="182">
    <w:name w:val="flNote"/>
    <w:basedOn w:val="1"/>
    <w:qFormat/>
    <w:uiPriority w:val="0"/>
    <w:pPr>
      <w:adjustRightInd w:val="0"/>
      <w:spacing w:before="320" w:after="160" w:line="360" w:lineRule="atLeast"/>
      <w:jc w:val="center"/>
      <w:textAlignment w:val="baseline"/>
    </w:pPr>
    <w:rPr>
      <w:rFonts w:ascii="Arial" w:eastAsia="黑体"/>
      <w:kern w:val="0"/>
      <w:sz w:val="30"/>
      <w:szCs w:val="20"/>
    </w:rPr>
  </w:style>
  <w:style w:type="paragraph" w:customStyle="1" w:styleId="183">
    <w:name w:val="1 Char"/>
    <w:basedOn w:val="1"/>
    <w:qFormat/>
    <w:uiPriority w:val="0"/>
    <w:rPr>
      <w:rFonts w:ascii="Tahoma" w:hAnsi="Tahoma"/>
      <w:sz w:val="24"/>
      <w:szCs w:val="20"/>
    </w:rPr>
  </w:style>
  <w:style w:type="paragraph" w:customStyle="1" w:styleId="184">
    <w:name w:val="top1"/>
    <w:basedOn w:val="1"/>
    <w:qFormat/>
    <w:uiPriority w:val="0"/>
    <w:pPr>
      <w:widowControl/>
      <w:spacing w:before="100" w:beforeAutospacing="1" w:after="100" w:afterAutospacing="1"/>
      <w:jc w:val="left"/>
    </w:pPr>
    <w:rPr>
      <w:rFonts w:ascii="ˎ̥" w:hAnsi="ˎ̥"/>
      <w:color w:val="000066"/>
      <w:kern w:val="0"/>
      <w:sz w:val="18"/>
      <w:szCs w:val="20"/>
    </w:rPr>
  </w:style>
  <w:style w:type="paragraph" w:customStyle="1" w:styleId="185">
    <w:name w:val="Char Char Char Char Char Char Char"/>
    <w:basedOn w:val="1"/>
    <w:qFormat/>
    <w:uiPriority w:val="0"/>
  </w:style>
  <w:style w:type="paragraph" w:customStyle="1" w:styleId="186">
    <w:name w:val="r_title"/>
    <w:basedOn w:val="1"/>
    <w:qFormat/>
    <w:uiPriority w:val="0"/>
    <w:pPr>
      <w:widowControl/>
      <w:spacing w:before="100" w:beforeAutospacing="1" w:after="100" w:afterAutospacing="1"/>
      <w:jc w:val="left"/>
    </w:pPr>
    <w:rPr>
      <w:rFonts w:ascii="ˎ̥" w:hAnsi="ˎ̥"/>
      <w:color w:val="000000"/>
      <w:kern w:val="0"/>
      <w:sz w:val="18"/>
      <w:szCs w:val="20"/>
    </w:rPr>
  </w:style>
  <w:style w:type="paragraph" w:customStyle="1" w:styleId="187">
    <w:name w:val="Char Char1 Char Char Char Char Char Char"/>
    <w:basedOn w:val="1"/>
    <w:qFormat/>
    <w:uiPriority w:val="0"/>
    <w:pPr>
      <w:widowControl/>
      <w:adjustRightInd w:val="0"/>
      <w:snapToGrid w:val="0"/>
      <w:spacing w:line="360" w:lineRule="auto"/>
      <w:ind w:firstLine="601"/>
    </w:pPr>
    <w:rPr>
      <w:rFonts w:ascii="宋体" w:hAnsi="宋体"/>
      <w:color w:val="000000"/>
      <w:kern w:val="0"/>
      <w:sz w:val="24"/>
      <w:szCs w:val="20"/>
    </w:rPr>
  </w:style>
  <w:style w:type="paragraph" w:customStyle="1" w:styleId="188">
    <w:name w:val="Char Char Char Char Char Char Char Char Char Char"/>
    <w:basedOn w:val="1"/>
    <w:qFormat/>
    <w:uiPriority w:val="0"/>
    <w:pPr>
      <w:widowControl/>
      <w:spacing w:after="160" w:line="240" w:lineRule="exact"/>
      <w:jc w:val="left"/>
    </w:pPr>
    <w:rPr>
      <w:szCs w:val="20"/>
    </w:rPr>
  </w:style>
  <w:style w:type="paragraph" w:customStyle="1" w:styleId="189">
    <w:name w:val="m_title"/>
    <w:basedOn w:val="1"/>
    <w:qFormat/>
    <w:uiPriority w:val="0"/>
    <w:pPr>
      <w:widowControl/>
      <w:spacing w:before="100" w:beforeAutospacing="1" w:after="100" w:afterAutospacing="1"/>
      <w:jc w:val="left"/>
    </w:pPr>
    <w:rPr>
      <w:rFonts w:ascii="ˎ̥" w:hAnsi="ˎ̥"/>
      <w:color w:val="FFFFFF"/>
      <w:kern w:val="0"/>
      <w:sz w:val="18"/>
      <w:szCs w:val="20"/>
    </w:rPr>
  </w:style>
  <w:style w:type="paragraph" w:customStyle="1" w:styleId="190">
    <w:name w:val="样式 Arial 左侧:  2 字符 行距: 固定值 29 磅"/>
    <w:basedOn w:val="1"/>
    <w:qFormat/>
    <w:uiPriority w:val="0"/>
    <w:pPr>
      <w:adjustRightInd w:val="0"/>
      <w:spacing w:line="580" w:lineRule="exact"/>
      <w:textAlignment w:val="baseline"/>
    </w:pPr>
    <w:rPr>
      <w:rFonts w:ascii="Arial" w:hAnsi="Arial"/>
      <w:kern w:val="0"/>
      <w:sz w:val="24"/>
      <w:szCs w:val="20"/>
    </w:rPr>
  </w:style>
  <w:style w:type="paragraph" w:customStyle="1" w:styleId="191">
    <w:name w:val="xl24"/>
    <w:basedOn w:val="1"/>
    <w:qFormat/>
    <w:uiPriority w:val="0"/>
    <w:pPr>
      <w:widowControl/>
      <w:spacing w:before="100" w:beforeAutospacing="1" w:after="100" w:afterAutospacing="1"/>
      <w:jc w:val="left"/>
      <w:textAlignment w:val="center"/>
    </w:pPr>
    <w:rPr>
      <w:kern w:val="0"/>
      <w:sz w:val="24"/>
    </w:rPr>
  </w:style>
  <w:style w:type="paragraph" w:customStyle="1" w:styleId="192">
    <w:name w:val="link"/>
    <w:basedOn w:val="1"/>
    <w:qFormat/>
    <w:uiPriority w:val="0"/>
    <w:pPr>
      <w:widowControl/>
      <w:spacing w:before="100" w:beforeAutospacing="1" w:after="100" w:afterAutospacing="1"/>
      <w:jc w:val="left"/>
    </w:pPr>
    <w:rPr>
      <w:rFonts w:ascii="ˎ̥" w:hAnsi="ˎ̥"/>
      <w:color w:val="336699"/>
      <w:kern w:val="0"/>
      <w:sz w:val="18"/>
      <w:szCs w:val="20"/>
    </w:rPr>
  </w:style>
  <w:style w:type="paragraph" w:customStyle="1" w:styleId="193">
    <w:name w:val="_Style 191"/>
    <w:qFormat/>
    <w:uiPriority w:val="0"/>
    <w:rPr>
      <w:rFonts w:ascii="Times New Roman" w:hAnsi="Times New Roman" w:eastAsia="宋体" w:cs="Times New Roman"/>
      <w:kern w:val="2"/>
      <w:sz w:val="21"/>
      <w:szCs w:val="24"/>
      <w:lang w:val="en-US" w:eastAsia="zh-CN" w:bidi="ar-SA"/>
    </w:rPr>
  </w:style>
  <w:style w:type="paragraph" w:customStyle="1" w:styleId="194">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195">
    <w:name w:val="样式2"/>
    <w:basedOn w:val="1"/>
    <w:qFormat/>
    <w:uiPriority w:val="0"/>
    <w:pPr>
      <w:ind w:firstLine="540" w:firstLineChars="225"/>
    </w:pPr>
    <w:rPr>
      <w:sz w:val="24"/>
      <w:szCs w:val="20"/>
    </w:rPr>
  </w:style>
  <w:style w:type="paragraph" w:customStyle="1" w:styleId="196">
    <w:name w:val="Char Char Char1"/>
    <w:basedOn w:val="1"/>
    <w:qFormat/>
    <w:uiPriority w:val="0"/>
    <w:rPr>
      <w:rFonts w:ascii="Tahoma" w:hAnsi="Tahoma"/>
      <w:sz w:val="24"/>
      <w:szCs w:val="20"/>
    </w:rPr>
  </w:style>
  <w:style w:type="paragraph" w:customStyle="1" w:styleId="197">
    <w:name w:val="空半行"/>
    <w:basedOn w:val="1"/>
    <w:qFormat/>
    <w:uiPriority w:val="0"/>
    <w:pPr>
      <w:adjustRightInd w:val="0"/>
      <w:spacing w:line="120" w:lineRule="exact"/>
      <w:textAlignment w:val="baseline"/>
    </w:pPr>
    <w:rPr>
      <w:rFonts w:eastAsia="仿宋_GB2312"/>
      <w:color w:val="FFFFFF"/>
      <w:kern w:val="0"/>
      <w:sz w:val="30"/>
      <w:szCs w:val="20"/>
    </w:rPr>
  </w:style>
  <w:style w:type="paragraph" w:customStyle="1" w:styleId="198">
    <w:name w:val="lift_top"/>
    <w:basedOn w:val="1"/>
    <w:qFormat/>
    <w:uiPriority w:val="0"/>
    <w:pPr>
      <w:widowControl/>
      <w:spacing w:before="100" w:beforeAutospacing="1" w:after="100" w:afterAutospacing="1"/>
      <w:jc w:val="left"/>
    </w:pPr>
    <w:rPr>
      <w:rFonts w:ascii="ˎ̥" w:hAnsi="ˎ̥"/>
      <w:color w:val="000099"/>
      <w:kern w:val="0"/>
      <w:sz w:val="9"/>
      <w:szCs w:val="20"/>
    </w:rPr>
  </w:style>
  <w:style w:type="paragraph" w:customStyle="1" w:styleId="199">
    <w:name w:val="p0"/>
    <w:basedOn w:val="1"/>
    <w:qFormat/>
    <w:uiPriority w:val="0"/>
    <w:pPr>
      <w:widowControl/>
    </w:pPr>
    <w:rPr>
      <w:kern w:val="0"/>
      <w:szCs w:val="21"/>
    </w:rPr>
  </w:style>
  <w:style w:type="paragraph" w:customStyle="1" w:styleId="200">
    <w:name w:val="bottom"/>
    <w:basedOn w:val="1"/>
    <w:qFormat/>
    <w:uiPriority w:val="0"/>
    <w:pPr>
      <w:widowControl/>
      <w:spacing w:before="100" w:beforeAutospacing="1" w:after="100" w:afterAutospacing="1"/>
      <w:jc w:val="left"/>
    </w:pPr>
    <w:rPr>
      <w:rFonts w:ascii="ˎ̥" w:hAnsi="ˎ̥"/>
      <w:color w:val="333333"/>
      <w:kern w:val="0"/>
      <w:sz w:val="18"/>
      <w:szCs w:val="20"/>
    </w:rPr>
  </w:style>
  <w:style w:type="paragraph" w:customStyle="1" w:styleId="201">
    <w:name w:val="1.1.1"/>
    <w:basedOn w:val="1"/>
    <w:qFormat/>
    <w:uiPriority w:val="0"/>
    <w:pPr>
      <w:tabs>
        <w:tab w:val="left" w:pos="0"/>
        <w:tab w:val="left" w:pos="1134"/>
        <w:tab w:val="left" w:pos="8505"/>
      </w:tabs>
      <w:autoSpaceDE w:val="0"/>
      <w:autoSpaceDN w:val="0"/>
      <w:adjustRightInd w:val="0"/>
      <w:spacing w:before="240" w:after="60" w:line="360" w:lineRule="atLeast"/>
    </w:pPr>
    <w:rPr>
      <w:rFonts w:ascii="宋体"/>
      <w:b/>
      <w:kern w:val="0"/>
      <w:sz w:val="24"/>
      <w:szCs w:val="20"/>
    </w:rPr>
  </w:style>
  <w:style w:type="paragraph" w:customStyle="1" w:styleId="202">
    <w:name w:val="Char Char Char Char"/>
    <w:basedOn w:val="1"/>
    <w:qFormat/>
    <w:uiPriority w:val="0"/>
    <w:rPr>
      <w:rFonts w:ascii="Tahoma" w:hAnsi="Tahoma"/>
      <w:sz w:val="24"/>
      <w:szCs w:val="20"/>
    </w:rPr>
  </w:style>
  <w:style w:type="paragraph" w:customStyle="1" w:styleId="203">
    <w:name w:val="1"/>
    <w:basedOn w:val="1"/>
    <w:next w:val="1"/>
    <w:qFormat/>
    <w:uiPriority w:val="0"/>
    <w:rPr>
      <w:szCs w:val="20"/>
    </w:rPr>
  </w:style>
  <w:style w:type="paragraph" w:customStyle="1" w:styleId="204">
    <w:name w:val="eng"/>
    <w:basedOn w:val="1"/>
    <w:qFormat/>
    <w:uiPriority w:val="0"/>
    <w:pPr>
      <w:widowControl/>
      <w:spacing w:before="100" w:beforeAutospacing="1" w:after="100" w:afterAutospacing="1"/>
      <w:jc w:val="left"/>
    </w:pPr>
    <w:rPr>
      <w:rFonts w:ascii="Verdana" w:hAnsi="Verdana"/>
      <w:color w:val="FFFFFF"/>
      <w:kern w:val="0"/>
      <w:sz w:val="18"/>
      <w:szCs w:val="20"/>
    </w:rPr>
  </w:style>
  <w:style w:type="paragraph" w:customStyle="1" w:styleId="205">
    <w:name w:val="lift"/>
    <w:basedOn w:val="1"/>
    <w:qFormat/>
    <w:uiPriority w:val="0"/>
    <w:pPr>
      <w:widowControl/>
      <w:spacing w:before="100" w:beforeAutospacing="1" w:after="100" w:afterAutospacing="1"/>
      <w:jc w:val="left"/>
    </w:pPr>
    <w:rPr>
      <w:rFonts w:ascii="ˎ̥" w:hAnsi="ˎ̥"/>
      <w:color w:val="000099"/>
      <w:kern w:val="0"/>
      <w:sz w:val="9"/>
      <w:szCs w:val="20"/>
    </w:rPr>
  </w:style>
  <w:style w:type="paragraph" w:customStyle="1" w:styleId="206">
    <w:name w:val="Char2"/>
    <w:basedOn w:val="1"/>
    <w:qFormat/>
    <w:uiPriority w:val="0"/>
    <w:rPr>
      <w:rFonts w:ascii="Tahoma" w:hAnsi="Tahoma"/>
      <w:sz w:val="24"/>
      <w:szCs w:val="20"/>
    </w:rPr>
  </w:style>
  <w:style w:type="paragraph" w:customStyle="1" w:styleId="207">
    <w:name w:val="List Paragraph1"/>
    <w:basedOn w:val="1"/>
    <w:qFormat/>
    <w:uiPriority w:val="0"/>
    <w:pPr>
      <w:ind w:firstLine="420" w:firstLineChars="200"/>
    </w:pPr>
    <w:rPr>
      <w:rFonts w:ascii="Calibri" w:hAnsi="Calibri"/>
      <w:szCs w:val="22"/>
    </w:rPr>
  </w:style>
  <w:style w:type="paragraph" w:customStyle="1" w:styleId="208">
    <w:name w:val="表格"/>
    <w:basedOn w:val="1"/>
    <w:qFormat/>
    <w:uiPriority w:val="0"/>
    <w:pPr>
      <w:jc w:val="center"/>
      <w:textAlignment w:val="center"/>
    </w:pPr>
    <w:rPr>
      <w:rFonts w:ascii="华文细黑" w:hAnsi="华文细黑"/>
      <w:kern w:val="0"/>
      <w:szCs w:val="20"/>
    </w:rPr>
  </w:style>
  <w:style w:type="paragraph" w:customStyle="1" w:styleId="209">
    <w:name w:val="l_title"/>
    <w:basedOn w:val="1"/>
    <w:qFormat/>
    <w:uiPriority w:val="0"/>
    <w:pPr>
      <w:widowControl/>
      <w:spacing w:before="100" w:beforeAutospacing="1" w:after="100" w:afterAutospacing="1"/>
      <w:jc w:val="left"/>
    </w:pPr>
    <w:rPr>
      <w:rFonts w:ascii="ˎ̥" w:hAnsi="ˎ̥"/>
      <w:color w:val="000000"/>
      <w:kern w:val="0"/>
      <w:sz w:val="18"/>
      <w:szCs w:val="20"/>
    </w:rPr>
  </w:style>
  <w:style w:type="paragraph" w:customStyle="1" w:styleId="210">
    <w:name w:val="样式1"/>
    <w:basedOn w:val="1"/>
    <w:qFormat/>
    <w:uiPriority w:val="0"/>
    <w:pPr>
      <w:spacing w:before="120" w:after="120" w:line="300" w:lineRule="auto"/>
    </w:pPr>
    <w:rPr>
      <w:rFonts w:ascii="宋体" w:hAnsi="宋体"/>
      <w:b/>
      <w:sz w:val="24"/>
      <w:szCs w:val="20"/>
    </w:rPr>
  </w:style>
  <w:style w:type="paragraph" w:customStyle="1" w:styleId="211">
    <w:name w:val="reader-word-layer reader-word-s1-13"/>
    <w:basedOn w:val="1"/>
    <w:qFormat/>
    <w:uiPriority w:val="0"/>
    <w:pPr>
      <w:widowControl/>
      <w:spacing w:before="100" w:beforeAutospacing="1" w:after="100" w:afterAutospacing="1"/>
      <w:jc w:val="left"/>
    </w:pPr>
    <w:rPr>
      <w:rFonts w:ascii="宋体" w:hAnsi="宋体" w:cs="宋体"/>
      <w:kern w:val="0"/>
      <w:sz w:val="24"/>
    </w:rPr>
  </w:style>
  <w:style w:type="paragraph" w:styleId="212">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213">
    <w:name w:val="_Style 211"/>
    <w:basedOn w:val="1"/>
    <w:next w:val="1"/>
    <w:qFormat/>
    <w:uiPriority w:val="0"/>
    <w:pPr>
      <w:widowControl/>
      <w:pBdr>
        <w:top w:val="single" w:color="auto" w:sz="6" w:space="1"/>
      </w:pBdr>
      <w:jc w:val="center"/>
    </w:pPr>
    <w:rPr>
      <w:rFonts w:ascii="Arial" w:hAnsi="Arial" w:eastAsia="Times New Roman"/>
      <w:vanish/>
      <w:kern w:val="0"/>
      <w:sz w:val="16"/>
      <w:szCs w:val="16"/>
    </w:rPr>
  </w:style>
  <w:style w:type="paragraph" w:customStyle="1" w:styleId="214">
    <w:name w:val="font0"/>
    <w:basedOn w:val="1"/>
    <w:qFormat/>
    <w:uiPriority w:val="0"/>
    <w:pPr>
      <w:widowControl/>
      <w:spacing w:before="100" w:beforeAutospacing="1" w:after="100" w:afterAutospacing="1"/>
      <w:jc w:val="left"/>
    </w:pPr>
    <w:rPr>
      <w:rFonts w:hint="eastAsia" w:ascii="宋体" w:hAnsi="宋体"/>
      <w:kern w:val="0"/>
      <w:sz w:val="24"/>
    </w:rPr>
  </w:style>
  <w:style w:type="paragraph" w:customStyle="1" w:styleId="215">
    <w:name w:val="p16"/>
    <w:basedOn w:val="1"/>
    <w:qFormat/>
    <w:uiPriority w:val="0"/>
    <w:pPr>
      <w:widowControl/>
      <w:spacing w:before="100" w:line="400" w:lineRule="atLeast"/>
    </w:pPr>
    <w:rPr>
      <w:kern w:val="0"/>
      <w:sz w:val="28"/>
      <w:szCs w:val="20"/>
    </w:rPr>
  </w:style>
  <w:style w:type="paragraph" w:customStyle="1" w:styleId="216">
    <w:name w:val="p17"/>
    <w:basedOn w:val="1"/>
    <w:qFormat/>
    <w:uiPriority w:val="0"/>
    <w:pPr>
      <w:widowControl/>
      <w:snapToGrid w:val="0"/>
      <w:jc w:val="left"/>
    </w:pPr>
    <w:rPr>
      <w:rFonts w:ascii="宋体" w:hAnsi="宋体"/>
      <w:color w:val="000000"/>
      <w:kern w:val="0"/>
      <w:sz w:val="24"/>
      <w:szCs w:val="20"/>
    </w:rPr>
  </w:style>
  <w:style w:type="paragraph" w:customStyle="1" w:styleId="217">
    <w:name w:val="p15"/>
    <w:basedOn w:val="1"/>
    <w:qFormat/>
    <w:uiPriority w:val="0"/>
    <w:pPr>
      <w:widowControl/>
      <w:snapToGrid w:val="0"/>
      <w:jc w:val="left"/>
    </w:pPr>
    <w:rPr>
      <w:rFonts w:hint="eastAsia" w:ascii="宋体" w:hAnsi="宋体"/>
      <w:color w:val="000000"/>
      <w:sz w:val="24"/>
      <w:szCs w:val="20"/>
    </w:rPr>
  </w:style>
  <w:style w:type="character" w:customStyle="1" w:styleId="218">
    <w:name w:val="日期 Char"/>
    <w:qFormat/>
    <w:uiPriority w:val="0"/>
    <w:rPr>
      <w:rFonts w:ascii="仿宋_GB2312" w:hAnsi="宋体" w:eastAsia="仿宋_GB2312"/>
      <w:color w:val="000000"/>
      <w:kern w:val="2"/>
      <w:sz w:val="24"/>
      <w:szCs w:val="24"/>
      <w:lang w:bidi="ar-SA"/>
    </w:rPr>
  </w:style>
  <w:style w:type="character" w:customStyle="1" w:styleId="219">
    <w:name w:val="页眉 Char"/>
    <w:qFormat/>
    <w:uiPriority w:val="0"/>
    <w:rPr>
      <w:rFonts w:eastAsia="宋体"/>
      <w:kern w:val="2"/>
      <w:sz w:val="18"/>
      <w:szCs w:val="18"/>
      <w:lang w:val="en-US" w:eastAsia="zh-CN" w:bidi="ar-SA"/>
    </w:rPr>
  </w:style>
  <w:style w:type="character" w:customStyle="1" w:styleId="220">
    <w:name w:val="批注主题 Char"/>
    <w:qFormat/>
    <w:uiPriority w:val="0"/>
    <w:rPr>
      <w:b/>
      <w:bCs/>
      <w:kern w:val="2"/>
      <w:sz w:val="21"/>
      <w:szCs w:val="24"/>
      <w:lang w:bidi="ar-SA"/>
    </w:rPr>
  </w:style>
  <w:style w:type="character" w:customStyle="1" w:styleId="221">
    <w:name w:val="纯文本 Char1"/>
    <w:link w:val="222"/>
    <w:qFormat/>
    <w:uiPriority w:val="0"/>
    <w:rPr>
      <w:rFonts w:ascii="宋体" w:hAnsi="Courier New"/>
      <w:lang w:bidi="ar-SA"/>
    </w:rPr>
  </w:style>
  <w:style w:type="paragraph" w:customStyle="1" w:styleId="222">
    <w:name w:val="纯文本1"/>
    <w:basedOn w:val="1"/>
    <w:link w:val="221"/>
    <w:qFormat/>
    <w:uiPriority w:val="0"/>
    <w:rPr>
      <w:rFonts w:ascii="宋体" w:hAnsi="Courier New"/>
      <w:kern w:val="0"/>
      <w:sz w:val="20"/>
      <w:szCs w:val="20"/>
    </w:rPr>
  </w:style>
  <w:style w:type="character" w:customStyle="1" w:styleId="223">
    <w:name w:val="标题 1 Char"/>
    <w:qFormat/>
    <w:uiPriority w:val="0"/>
    <w:rPr>
      <w:rFonts w:ascii="宋体" w:eastAsia="宋体"/>
      <w:b/>
      <w:kern w:val="44"/>
      <w:sz w:val="32"/>
      <w:lang w:val="en-US" w:eastAsia="zh-CN" w:bidi="ar-SA"/>
    </w:rPr>
  </w:style>
  <w:style w:type="character" w:customStyle="1" w:styleId="224">
    <w:name w:val="页脚 Char"/>
    <w:qFormat/>
    <w:uiPriority w:val="0"/>
    <w:rPr>
      <w:rFonts w:eastAsia="宋体"/>
      <w:kern w:val="2"/>
      <w:sz w:val="18"/>
      <w:szCs w:val="18"/>
      <w:lang w:val="en-US" w:eastAsia="zh-CN" w:bidi="ar-SA"/>
    </w:rPr>
  </w:style>
  <w:style w:type="character" w:customStyle="1" w:styleId="225">
    <w:name w:val="正文文本 Char"/>
    <w:qFormat/>
    <w:uiPriority w:val="0"/>
    <w:rPr>
      <w:rFonts w:ascii="宋体" w:hAnsi="宋体"/>
      <w:kern w:val="2"/>
      <w:sz w:val="24"/>
      <w:szCs w:val="24"/>
      <w:lang w:bidi="ar-SA"/>
    </w:rPr>
  </w:style>
  <w:style w:type="character" w:customStyle="1" w:styleId="226">
    <w:name w:val="正文缩进 Char1"/>
    <w:link w:val="227"/>
    <w:qFormat/>
    <w:uiPriority w:val="0"/>
    <w:rPr>
      <w:rFonts w:ascii="宋体"/>
      <w:sz w:val="24"/>
      <w:lang w:bidi="ar-SA"/>
    </w:rPr>
  </w:style>
  <w:style w:type="paragraph" w:customStyle="1" w:styleId="227">
    <w:name w:val="正文缩进1"/>
    <w:basedOn w:val="1"/>
    <w:link w:val="226"/>
    <w:qFormat/>
    <w:uiPriority w:val="0"/>
    <w:pPr>
      <w:autoSpaceDE w:val="0"/>
      <w:autoSpaceDN w:val="0"/>
      <w:adjustRightInd w:val="0"/>
      <w:ind w:firstLine="420"/>
      <w:jc w:val="left"/>
    </w:pPr>
    <w:rPr>
      <w:rFonts w:ascii="宋体"/>
      <w:kern w:val="0"/>
      <w:sz w:val="24"/>
      <w:szCs w:val="20"/>
    </w:rPr>
  </w:style>
  <w:style w:type="character" w:customStyle="1" w:styleId="228">
    <w:name w:val="批注文字 Char"/>
    <w:qFormat/>
    <w:uiPriority w:val="0"/>
    <w:rPr>
      <w:kern w:val="2"/>
      <w:sz w:val="21"/>
      <w:szCs w:val="24"/>
      <w:lang w:bidi="ar-SA"/>
    </w:rPr>
  </w:style>
  <w:style w:type="character" w:customStyle="1" w:styleId="229">
    <w:name w:val="批注框文本 Char"/>
    <w:qFormat/>
    <w:uiPriority w:val="0"/>
    <w:rPr>
      <w:kern w:val="2"/>
      <w:sz w:val="18"/>
      <w:szCs w:val="18"/>
      <w:lang w:bidi="ar-SA"/>
    </w:rPr>
  </w:style>
  <w:style w:type="paragraph" w:customStyle="1" w:styleId="230">
    <w:name w:val="索引 11"/>
    <w:basedOn w:val="1"/>
    <w:next w:val="1"/>
    <w:qFormat/>
    <w:uiPriority w:val="0"/>
    <w:pPr>
      <w:spacing w:line="360" w:lineRule="auto"/>
    </w:pPr>
    <w:rPr>
      <w:rFonts w:ascii="仿宋_GB2312" w:eastAsia="仿宋_GB2312"/>
      <w:sz w:val="24"/>
      <w:szCs w:val="20"/>
    </w:rPr>
  </w:style>
  <w:style w:type="character" w:customStyle="1" w:styleId="231">
    <w:name w:val="Char Char22"/>
    <w:qFormat/>
    <w:uiPriority w:val="0"/>
    <w:rPr>
      <w:rFonts w:eastAsia="宋体"/>
      <w:kern w:val="2"/>
      <w:sz w:val="18"/>
      <w:szCs w:val="18"/>
      <w:lang w:val="en-US" w:eastAsia="zh-CN" w:bidi="ar-SA"/>
    </w:rPr>
  </w:style>
  <w:style w:type="character" w:customStyle="1" w:styleId="232">
    <w:name w:val="Date Char"/>
    <w:qFormat/>
    <w:locked/>
    <w:uiPriority w:val="0"/>
    <w:rPr>
      <w:sz w:val="28"/>
    </w:rPr>
  </w:style>
  <w:style w:type="character" w:customStyle="1" w:styleId="233">
    <w:name w:val="z-窗体顶端 Char1"/>
    <w:link w:val="234"/>
    <w:qFormat/>
    <w:locked/>
    <w:uiPriority w:val="0"/>
    <w:rPr>
      <w:rFonts w:ascii="Arial" w:hAnsi="Arial" w:eastAsia="宋体"/>
      <w:vanish/>
      <w:kern w:val="2"/>
      <w:sz w:val="16"/>
      <w:szCs w:val="16"/>
      <w:lang w:val="en-US" w:eastAsia="zh-CN" w:bidi="ar-SA"/>
    </w:rPr>
  </w:style>
  <w:style w:type="paragraph" w:customStyle="1" w:styleId="234">
    <w:name w:val="z-窗体顶端2"/>
    <w:basedOn w:val="1"/>
    <w:next w:val="1"/>
    <w:link w:val="233"/>
    <w:qFormat/>
    <w:uiPriority w:val="0"/>
    <w:pPr>
      <w:widowControl/>
      <w:pBdr>
        <w:bottom w:val="single" w:color="auto" w:sz="6" w:space="1"/>
      </w:pBdr>
      <w:jc w:val="center"/>
    </w:pPr>
    <w:rPr>
      <w:rFonts w:ascii="Arial" w:hAnsi="Arial"/>
      <w:vanish/>
      <w:sz w:val="16"/>
      <w:szCs w:val="16"/>
    </w:rPr>
  </w:style>
  <w:style w:type="character" w:customStyle="1" w:styleId="235">
    <w:name w:val="设计-二级标题 Char Char"/>
    <w:link w:val="236"/>
    <w:qFormat/>
    <w:uiPriority w:val="0"/>
    <w:rPr>
      <w:rFonts w:eastAsia="黑体"/>
      <w:sz w:val="28"/>
      <w:szCs w:val="24"/>
      <w:lang w:bidi="ar-SA"/>
    </w:rPr>
  </w:style>
  <w:style w:type="paragraph" w:customStyle="1" w:styleId="236">
    <w:name w:val="设计-二级标题"/>
    <w:basedOn w:val="1"/>
    <w:next w:val="1"/>
    <w:link w:val="235"/>
    <w:qFormat/>
    <w:uiPriority w:val="0"/>
    <w:pPr>
      <w:spacing w:line="360" w:lineRule="auto"/>
      <w:outlineLvl w:val="1"/>
    </w:pPr>
    <w:rPr>
      <w:rFonts w:eastAsia="黑体"/>
      <w:kern w:val="0"/>
      <w:sz w:val="28"/>
    </w:rPr>
  </w:style>
  <w:style w:type="character" w:customStyle="1" w:styleId="237">
    <w:name w:val="NormalCharacter"/>
    <w:qFormat/>
    <w:uiPriority w:val="0"/>
  </w:style>
  <w:style w:type="paragraph" w:customStyle="1" w:styleId="238">
    <w:name w:val="Char Char1 Char Char"/>
    <w:basedOn w:val="1"/>
    <w:qFormat/>
    <w:uiPriority w:val="0"/>
    <w:rPr>
      <w:rFonts w:ascii="Tahoma" w:hAnsi="Tahoma"/>
      <w:sz w:val="24"/>
      <w:szCs w:val="20"/>
    </w:rPr>
  </w:style>
  <w:style w:type="character" w:customStyle="1" w:styleId="239">
    <w:name w:val="gray1"/>
    <w:qFormat/>
    <w:uiPriority w:val="0"/>
    <w:rPr>
      <w:u w:val="none"/>
    </w:rPr>
  </w:style>
  <w:style w:type="character" w:customStyle="1" w:styleId="240">
    <w:name w:val="标题 3 Char1"/>
    <w:qFormat/>
    <w:uiPriority w:val="0"/>
    <w:rPr>
      <w:rFonts w:eastAsia="宋体"/>
      <w:b/>
      <w:bCs/>
      <w:kern w:val="2"/>
      <w:sz w:val="32"/>
      <w:szCs w:val="32"/>
      <w:lang w:val="en-US" w:eastAsia="zh-CN" w:bidi="ar-SA"/>
    </w:rPr>
  </w:style>
  <w:style w:type="character" w:customStyle="1" w:styleId="241">
    <w:name w:val="标题 2 Char1"/>
    <w:qFormat/>
    <w:uiPriority w:val="0"/>
    <w:rPr>
      <w:rFonts w:ascii="Arial" w:hAnsi="Arial" w:eastAsia="黑体"/>
      <w:b/>
      <w:bCs/>
      <w:kern w:val="2"/>
      <w:sz w:val="32"/>
      <w:szCs w:val="32"/>
      <w:lang w:val="en-US" w:eastAsia="zh-CN" w:bidi="ar-SA"/>
    </w:rPr>
  </w:style>
  <w:style w:type="character" w:customStyle="1" w:styleId="242">
    <w:name w:val="标题 1 Char1"/>
    <w:qFormat/>
    <w:uiPriority w:val="0"/>
    <w:rPr>
      <w:rFonts w:eastAsia="宋体"/>
      <w:b/>
      <w:bCs/>
      <w:kern w:val="44"/>
      <w:sz w:val="44"/>
      <w:szCs w:val="44"/>
      <w:lang w:val="en-US" w:eastAsia="zh-CN" w:bidi="ar-SA"/>
    </w:rPr>
  </w:style>
  <w:style w:type="character" w:customStyle="1" w:styleId="243">
    <w:name w:val="标题 4 Char1"/>
    <w:qFormat/>
    <w:uiPriority w:val="0"/>
    <w:rPr>
      <w:rFonts w:ascii="Arial" w:hAnsi="Arial" w:eastAsia="黑体"/>
      <w:b/>
      <w:kern w:val="2"/>
      <w:sz w:val="28"/>
      <w:lang w:val="en-US" w:eastAsia="zh-CN" w:bidi="ar-SA"/>
    </w:rPr>
  </w:style>
  <w:style w:type="character" w:customStyle="1" w:styleId="244">
    <w:name w:val="标题 5 Char1"/>
    <w:qFormat/>
    <w:uiPriority w:val="0"/>
    <w:rPr>
      <w:rFonts w:eastAsia="宋体"/>
      <w:b/>
      <w:sz w:val="28"/>
      <w:lang w:val="en-US" w:eastAsia="zh-CN" w:bidi="ar-SA"/>
    </w:rPr>
  </w:style>
  <w:style w:type="character" w:customStyle="1" w:styleId="245">
    <w:name w:val="标题 6 Char"/>
    <w:qFormat/>
    <w:uiPriority w:val="0"/>
    <w:rPr>
      <w:rFonts w:ascii="Arial" w:hAnsi="Arial" w:eastAsia="黑体"/>
      <w:b/>
      <w:sz w:val="24"/>
      <w:lang w:val="en-US" w:eastAsia="zh-CN" w:bidi="ar-SA"/>
    </w:rPr>
  </w:style>
  <w:style w:type="character" w:customStyle="1" w:styleId="246">
    <w:name w:val="标题 7 Char"/>
    <w:qFormat/>
    <w:uiPriority w:val="0"/>
    <w:rPr>
      <w:rFonts w:eastAsia="宋体"/>
      <w:b/>
      <w:sz w:val="24"/>
      <w:lang w:val="en-US" w:eastAsia="zh-CN" w:bidi="ar-SA"/>
    </w:rPr>
  </w:style>
  <w:style w:type="character" w:customStyle="1" w:styleId="247">
    <w:name w:val="标题 8 Char"/>
    <w:qFormat/>
    <w:uiPriority w:val="0"/>
    <w:rPr>
      <w:rFonts w:ascii="Arial" w:hAnsi="Arial" w:eastAsia="黑体"/>
      <w:sz w:val="24"/>
      <w:lang w:val="en-US" w:eastAsia="zh-CN" w:bidi="ar-SA"/>
    </w:rPr>
  </w:style>
  <w:style w:type="character" w:customStyle="1" w:styleId="248">
    <w:name w:val="标题 9 Char"/>
    <w:qFormat/>
    <w:uiPriority w:val="0"/>
    <w:rPr>
      <w:rFonts w:ascii="Arial" w:hAnsi="Arial" w:eastAsia="黑体"/>
      <w:sz w:val="21"/>
      <w:lang w:val="en-US" w:eastAsia="zh-CN" w:bidi="ar-SA"/>
    </w:rPr>
  </w:style>
  <w:style w:type="character" w:customStyle="1" w:styleId="249">
    <w:name w:val="页脚 Char1"/>
    <w:qFormat/>
    <w:uiPriority w:val="0"/>
    <w:rPr>
      <w:rFonts w:eastAsia="宋体"/>
      <w:kern w:val="2"/>
      <w:sz w:val="18"/>
      <w:szCs w:val="18"/>
      <w:lang w:val="en-US" w:eastAsia="zh-CN" w:bidi="ar-SA"/>
    </w:rPr>
  </w:style>
  <w:style w:type="character" w:customStyle="1" w:styleId="250">
    <w:name w:val="批注框文本 Char2"/>
    <w:qFormat/>
    <w:uiPriority w:val="0"/>
    <w:rPr>
      <w:kern w:val="2"/>
      <w:sz w:val="18"/>
      <w:lang w:bidi="ar-SA"/>
    </w:rPr>
  </w:style>
  <w:style w:type="character" w:customStyle="1" w:styleId="251">
    <w:name w:val="引用 Char"/>
    <w:qFormat/>
    <w:uiPriority w:val="0"/>
    <w:rPr>
      <w:i/>
      <w:iCs/>
      <w:color w:val="000000"/>
      <w:kern w:val="2"/>
      <w:sz w:val="21"/>
      <w:szCs w:val="22"/>
      <w:lang w:bidi="ar-SA"/>
    </w:rPr>
  </w:style>
  <w:style w:type="character" w:customStyle="1" w:styleId="252">
    <w:name w:val="副标题 Char"/>
    <w:qFormat/>
    <w:uiPriority w:val="0"/>
    <w:rPr>
      <w:rFonts w:ascii="Cambria" w:hAnsi="Cambria"/>
      <w:b/>
      <w:bCs/>
      <w:kern w:val="28"/>
      <w:sz w:val="32"/>
      <w:szCs w:val="32"/>
      <w:lang w:bidi="ar-SA"/>
    </w:rPr>
  </w:style>
  <w:style w:type="character" w:customStyle="1" w:styleId="253">
    <w:name w:val="正文文本 2 Char"/>
    <w:qFormat/>
    <w:uiPriority w:val="0"/>
    <w:rPr>
      <w:kern w:val="2"/>
      <w:sz w:val="21"/>
      <w:lang w:bidi="ar-SA"/>
    </w:rPr>
  </w:style>
  <w:style w:type="character" w:customStyle="1" w:styleId="254">
    <w:name w:val="纯文本 Char2"/>
    <w:qFormat/>
    <w:uiPriority w:val="0"/>
    <w:rPr>
      <w:rFonts w:ascii="宋体" w:hAnsi="Courier New" w:eastAsia="宋体"/>
      <w:kern w:val="2"/>
      <w:sz w:val="21"/>
      <w:lang w:val="en-US" w:eastAsia="zh-CN" w:bidi="ar-SA"/>
    </w:rPr>
  </w:style>
  <w:style w:type="character" w:customStyle="1" w:styleId="255">
    <w:name w:val="批注主题 Char2"/>
    <w:qFormat/>
    <w:uiPriority w:val="0"/>
    <w:rPr>
      <w:b/>
      <w:bCs/>
      <w:kern w:val="2"/>
      <w:sz w:val="21"/>
      <w:lang w:bidi="ar-SA"/>
    </w:rPr>
  </w:style>
  <w:style w:type="character" w:customStyle="1" w:styleId="256">
    <w:name w:val="批注文字 Char2"/>
    <w:qFormat/>
    <w:uiPriority w:val="0"/>
    <w:rPr>
      <w:rFonts w:eastAsia="宋体"/>
      <w:kern w:val="2"/>
      <w:sz w:val="21"/>
      <w:szCs w:val="24"/>
      <w:lang w:val="en-US" w:eastAsia="zh-CN" w:bidi="ar-SA"/>
    </w:rPr>
  </w:style>
  <w:style w:type="character" w:customStyle="1" w:styleId="257">
    <w:name w:val="z-窗体顶端 Char"/>
    <w:qFormat/>
    <w:uiPriority w:val="0"/>
    <w:rPr>
      <w:rFonts w:ascii="Arial" w:hAnsi="Arial"/>
      <w:vanish/>
      <w:sz w:val="16"/>
      <w:szCs w:val="16"/>
      <w:lang w:bidi="ar-SA"/>
    </w:rPr>
  </w:style>
  <w:style w:type="character" w:customStyle="1" w:styleId="258">
    <w:name w:val="正文文本缩进 2 Char"/>
    <w:semiHidden/>
    <w:qFormat/>
    <w:locked/>
    <w:uiPriority w:val="0"/>
    <w:rPr>
      <w:rFonts w:eastAsia="宋体"/>
      <w:spacing w:val="4"/>
      <w:sz w:val="28"/>
      <w:lang w:val="en-US" w:eastAsia="zh-CN" w:bidi="ar-SA"/>
    </w:rPr>
  </w:style>
  <w:style w:type="character" w:customStyle="1" w:styleId="259">
    <w:name w:val="正文文本缩进 Char"/>
    <w:qFormat/>
    <w:uiPriority w:val="0"/>
    <w:rPr>
      <w:rFonts w:eastAsia="宋体"/>
      <w:kern w:val="2"/>
      <w:sz w:val="21"/>
      <w:lang w:val="en-US" w:eastAsia="zh-CN" w:bidi="ar-SA"/>
    </w:rPr>
  </w:style>
  <w:style w:type="character" w:customStyle="1" w:styleId="260">
    <w:name w:val="正文文本 Char2"/>
    <w:qFormat/>
    <w:uiPriority w:val="0"/>
    <w:rPr>
      <w:kern w:val="2"/>
      <w:sz w:val="21"/>
      <w:lang w:bidi="ar-SA"/>
    </w:rPr>
  </w:style>
  <w:style w:type="character" w:customStyle="1" w:styleId="261">
    <w:name w:val="页眉 Char1"/>
    <w:qFormat/>
    <w:uiPriority w:val="0"/>
    <w:rPr>
      <w:rFonts w:eastAsia="宋体"/>
      <w:kern w:val="2"/>
      <w:sz w:val="18"/>
      <w:szCs w:val="18"/>
      <w:lang w:val="en-US" w:eastAsia="zh-CN" w:bidi="ar-SA"/>
    </w:rPr>
  </w:style>
  <w:style w:type="character" w:customStyle="1" w:styleId="262">
    <w:name w:val="文档结构图 Char"/>
    <w:qFormat/>
    <w:uiPriority w:val="0"/>
    <w:rPr>
      <w:kern w:val="2"/>
      <w:sz w:val="21"/>
      <w:shd w:val="clear" w:color="auto" w:fill="000080"/>
      <w:lang w:bidi="ar-SA"/>
    </w:rPr>
  </w:style>
  <w:style w:type="character" w:customStyle="1" w:styleId="263">
    <w:name w:val="日期 Char2"/>
    <w:qFormat/>
    <w:uiPriority w:val="0"/>
    <w:rPr>
      <w:kern w:val="2"/>
      <w:sz w:val="24"/>
      <w:lang w:bidi="ar-SA"/>
    </w:rPr>
  </w:style>
  <w:style w:type="character" w:customStyle="1" w:styleId="264">
    <w:name w:val="标题 Char"/>
    <w:qFormat/>
    <w:uiPriority w:val="0"/>
    <w:rPr>
      <w:rFonts w:ascii="Arial" w:hAnsi="Arial"/>
      <w:b/>
      <w:sz w:val="32"/>
      <w:lang w:bidi="ar-SA"/>
    </w:rPr>
  </w:style>
  <w:style w:type="character" w:customStyle="1" w:styleId="265">
    <w:name w:val="明显引用 Char"/>
    <w:qFormat/>
    <w:uiPriority w:val="0"/>
    <w:rPr>
      <w:b/>
      <w:bCs/>
      <w:i/>
      <w:iCs/>
      <w:color w:val="4F81BD"/>
      <w:kern w:val="2"/>
      <w:sz w:val="21"/>
      <w:szCs w:val="22"/>
      <w:lang w:bidi="ar-SA"/>
    </w:rPr>
  </w:style>
  <w:style w:type="paragraph" w:customStyle="1" w:styleId="266">
    <w:name w:val="2"/>
    <w:basedOn w:val="3"/>
    <w:next w:val="2"/>
    <w:qFormat/>
    <w:uiPriority w:val="0"/>
    <w:pPr>
      <w:ind w:firstLine="420" w:firstLineChars="200"/>
    </w:pPr>
    <w:rPr>
      <w:szCs w:val="21"/>
    </w:rPr>
  </w:style>
  <w:style w:type="paragraph" w:customStyle="1" w:styleId="267">
    <w:name w:val="Char Char19 Char Char"/>
    <w:basedOn w:val="1"/>
    <w:qFormat/>
    <w:uiPriority w:val="0"/>
    <w:rPr>
      <w:rFonts w:ascii="Tahoma" w:hAnsi="Tahoma"/>
      <w:sz w:val="24"/>
      <w:szCs w:val="20"/>
    </w:rPr>
  </w:style>
  <w:style w:type="paragraph" w:customStyle="1" w:styleId="268">
    <w:name w:val="shsj2em1"/>
    <w:basedOn w:val="1"/>
    <w:qFormat/>
    <w:uiPriority w:val="0"/>
    <w:pPr>
      <w:widowControl/>
      <w:spacing w:line="432" w:lineRule="auto"/>
      <w:ind w:firstLine="480"/>
      <w:jc w:val="left"/>
    </w:pPr>
    <w:rPr>
      <w:rFonts w:ascii="微软雅黑" w:hAnsi="微软雅黑" w:eastAsia="微软雅黑" w:cs="宋体"/>
      <w:kern w:val="0"/>
      <w:sz w:val="24"/>
    </w:rPr>
  </w:style>
  <w:style w:type="character" w:customStyle="1" w:styleId="269">
    <w:name w:val="正文文本 字符1"/>
    <w:qFormat/>
    <w:uiPriority w:val="0"/>
    <w:rPr>
      <w:kern w:val="2"/>
      <w:sz w:val="21"/>
      <w:lang w:bidi="ar-SA"/>
    </w:rPr>
  </w:style>
  <w:style w:type="paragraph" w:customStyle="1" w:styleId="270">
    <w:name w:val="Char Char19 Char Char Char Char Char Char Char Char"/>
    <w:basedOn w:val="1"/>
    <w:qFormat/>
    <w:uiPriority w:val="0"/>
    <w:rPr>
      <w:rFonts w:ascii="Tahoma" w:hAnsi="Tahoma"/>
      <w:sz w:val="24"/>
      <w:szCs w:val="20"/>
    </w:rPr>
  </w:style>
  <w:style w:type="character" w:customStyle="1" w:styleId="271">
    <w:name w:val="标题 2 字符1"/>
    <w:qFormat/>
    <w:uiPriority w:val="0"/>
    <w:rPr>
      <w:rFonts w:ascii="Arial" w:hAnsi="Arial" w:eastAsia="黑体"/>
      <w:b/>
      <w:bCs/>
      <w:kern w:val="2"/>
      <w:sz w:val="32"/>
      <w:szCs w:val="32"/>
      <w:lang w:val="en-US" w:eastAsia="zh-CN" w:bidi="ar-SA"/>
    </w:rPr>
  </w:style>
  <w:style w:type="character" w:customStyle="1" w:styleId="272">
    <w:name w:val="标题 3 字符1"/>
    <w:qFormat/>
    <w:uiPriority w:val="0"/>
    <w:rPr>
      <w:rFonts w:eastAsia="宋体"/>
      <w:b/>
      <w:bCs/>
      <w:kern w:val="2"/>
      <w:sz w:val="32"/>
      <w:szCs w:val="32"/>
      <w:lang w:val="en-US" w:eastAsia="zh-CN" w:bidi="ar-SA"/>
    </w:rPr>
  </w:style>
  <w:style w:type="paragraph" w:styleId="273">
    <w:name w:val="List Paragraph"/>
    <w:basedOn w:val="1"/>
    <w:qFormat/>
    <w:uiPriority w:val="1"/>
    <w:pPr>
      <w:autoSpaceDE w:val="0"/>
      <w:autoSpaceDN w:val="0"/>
      <w:ind w:left="1776" w:hanging="720"/>
      <w:jc w:val="left"/>
    </w:pPr>
    <w:rPr>
      <w:rFonts w:ascii="宋体" w:hAnsi="宋体" w:cs="宋体"/>
      <w:kern w:val="0"/>
      <w:sz w:val="22"/>
      <w:szCs w:val="22"/>
      <w:lang w:eastAsia="en-US"/>
    </w:rPr>
  </w:style>
  <w:style w:type="table" w:customStyle="1" w:styleId="274">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275">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76">
    <w:name w:val="无间隔1"/>
    <w:basedOn w:val="277"/>
    <w:qFormat/>
    <w:uiPriority w:val="0"/>
    <w:rPr>
      <w:szCs w:val="22"/>
    </w:rPr>
  </w:style>
  <w:style w:type="paragraph" w:customStyle="1" w:styleId="277">
    <w:name w:val="正文_1"/>
    <w:next w:val="1"/>
    <w:qFormat/>
    <w:uiPriority w:val="0"/>
    <w:pPr>
      <w:widowControl w:val="0"/>
      <w:jc w:val="both"/>
    </w:pPr>
    <w:rPr>
      <w:rFonts w:ascii="Calibri" w:hAnsi="Calibri" w:eastAsia="宋体" w:cs="Times New Roman"/>
      <w:kern w:val="2"/>
      <w:sz w:val="21"/>
      <w:szCs w:val="24"/>
      <w:lang w:val="en-US" w:eastAsia="zh-CN" w:bidi="ar-SA"/>
    </w:rPr>
  </w:style>
  <w:style w:type="paragraph" w:customStyle="1" w:styleId="278">
    <w:name w:val="正文首行缩进 21"/>
    <w:basedOn w:val="279"/>
    <w:next w:val="280"/>
    <w:qFormat/>
    <w:uiPriority w:val="0"/>
    <w:pPr>
      <w:ind w:left="0" w:leftChars="0"/>
    </w:pPr>
  </w:style>
  <w:style w:type="paragraph" w:customStyle="1" w:styleId="279">
    <w:name w:val="正文文本缩进1"/>
    <w:basedOn w:val="1"/>
    <w:qFormat/>
    <w:uiPriority w:val="0"/>
    <w:pPr>
      <w:spacing w:after="120"/>
      <w:ind w:left="420" w:leftChars="200"/>
    </w:pPr>
  </w:style>
  <w:style w:type="paragraph" w:customStyle="1" w:styleId="280">
    <w:name w:val="Normal Indent1"/>
    <w:basedOn w:val="1"/>
    <w:qFormat/>
    <w:uiPriority w:val="0"/>
    <w:pPr>
      <w:ind w:firstLine="420"/>
    </w:pPr>
  </w:style>
  <w:style w:type="paragraph" w:customStyle="1" w:styleId="281">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82">
    <w:name w:val="列出段落1"/>
    <w:basedOn w:val="1"/>
    <w:next w:val="1"/>
    <w:qFormat/>
    <w:uiPriority w:val="34"/>
    <w:pPr>
      <w:ind w:firstLine="420" w:firstLineChars="200"/>
    </w:pPr>
  </w:style>
  <w:style w:type="paragraph" w:customStyle="1" w:styleId="283">
    <w:name w:val="段"/>
    <w:next w:val="1"/>
    <w:autoRedefine/>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character" w:customStyle="1" w:styleId="284">
    <w:name w:val="正文文本首行缩进 2 字符"/>
    <w:basedOn w:val="70"/>
    <w:link w:val="2"/>
    <w:qFormat/>
    <w:uiPriority w:val="99"/>
    <w:rPr>
      <w:rFonts w:eastAsia="宋体"/>
      <w:kern w:val="2"/>
      <w:sz w:val="21"/>
      <w:szCs w:val="21"/>
      <w:lang w:val="en-US" w:eastAsia="zh-CN" w:bidi="ar-SA"/>
    </w:rPr>
  </w:style>
  <w:style w:type="paragraph" w:customStyle="1" w:styleId="285">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286">
    <w:name w:val="Table Text"/>
    <w:basedOn w:val="1"/>
    <w:qFormat/>
    <w:uiPriority w:val="0"/>
    <w:pPr>
      <w:widowControl/>
      <w:snapToGrid w:val="0"/>
      <w:spacing w:before="80" w:after="80"/>
      <w:jc w:val="left"/>
    </w:pPr>
    <w:rPr>
      <w:rFonts w:ascii="Arial" w:hAnsi="Arial"/>
      <w:kern w:val="0"/>
      <w:sz w:val="22"/>
      <w:szCs w:val="22"/>
    </w:rPr>
  </w:style>
  <w:style w:type="table" w:customStyle="1" w:styleId="287">
    <w:name w:val="网格型1"/>
    <w:basedOn w:val="47"/>
    <w:qFormat/>
    <w:uiPriority w:val="99"/>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88">
    <w:name w:val="Table Normal1"/>
    <w:basedOn w:val="47"/>
    <w:qFormat/>
    <w:uiPriority w:val="0"/>
    <w:rPr>
      <w:rFonts w:eastAsia="Times New Roman"/>
    </w:rPr>
    <w:tblPr>
      <w:tblCellMar>
        <w:left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jpeg"/><Relationship Id="rId17" Type="http://schemas.openxmlformats.org/officeDocument/2006/relationships/image" Target="media/image8.jpeg"/><Relationship Id="rId16" Type="http://schemas.openxmlformats.org/officeDocument/2006/relationships/image" Target="media/image7.jpe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58d1ebb8-0c52-4a76-a869-c601d1ed67ae</errorID>
      <errorWord>[2026]</errorWord>
      <group>L1_Punc</group>
      <groupName>标点问题</groupName>
      <ability>L2_Punc_CN</ability>
      <abilityName>标点符号检查</abilityName>
      <candidateList>
        <item>〔2026〕</item>
      </candidateList>
      <explain/>
      <paraID>58C22468</paraID>
      <start>9</start>
      <end>15</end>
      <status>unmodified</status>
      <modifiedWord/>
      <trackRevisions>false</trackRevisions>
    </reviewItem>
    <reviewItem>
      <errorID>97ded6eb-773a-4e6b-94e1-af98d95f80b6</errorID>
      <errorWord>[2026]</errorWord>
      <group>L1_Punc</group>
      <groupName>标点问题</groupName>
      <ability>L2_Punc_CN</ability>
      <abilityName>标点符号检查</abilityName>
      <candidateList>
        <item>〔2026〕</item>
      </candidateList>
      <explain/>
      <paraID>44D850D1</paraID>
      <start>11</start>
      <end>17</end>
      <status>unmodified</status>
      <modifiedWord/>
      <trackRevisions>false</trackRevisions>
    </reviewItem>
    <reviewItem>
      <errorID>2752a21c-3df4-4670-bbb5-0fe1e3b5165d</errorID>
      <errorWord>日至2026年</errorWord>
      <group>L1_Word</group>
      <groupName>字词问题</groupName>
      <ability>L2_Typo</ability>
      <abilityName>字词错误</abilityName>
      <candidateList>
        <item>日起至2026年</item>
      </candidateList>
      <explain/>
      <paraID>1ABE141B</paraID>
      <start>15</start>
      <end>22</end>
      <status>unmodified</status>
      <modifiedWord/>
      <trackRevisions>false</trackRevisions>
    </reviewItem>
    <reviewItem>
      <errorID>026b2f32-2919-478a-a10d-0d8e1b45bad7</errorID>
      <errorWord>，</errorWord>
      <group>L1_Word</group>
      <groupName>字词问题</groupName>
      <ability>L2_Typo</ability>
      <abilityName>字词错误</abilityName>
      <candidateList>
        <item>，以</item>
      </candidateList>
      <explain/>
      <paraID> 76A86F1</paraID>
      <start>70</start>
      <end>71</end>
      <status>unmodified</status>
      <modifiedWord/>
      <trackRevisions>false</trackRevisions>
    </reviewItem>
    <reviewItem>
      <errorID>d61fed73-2de3-4a66-9be3-c2fcd196b253</errorID>
      <errorWord>[2026]</errorWord>
      <group>L1_Punc</group>
      <groupName>标点问题</groupName>
      <ability>L2_Punc_CN</ability>
      <abilityName>标点符号检查</abilityName>
      <candidateList>
        <item>〔2026〕</item>
      </candidateList>
      <explain/>
      <paraID>4597C39F</paraID>
      <start>11</start>
      <end>17</end>
      <status>unmodified</status>
      <modifiedWord/>
      <trackRevisions>false</trackRevisions>
    </reviewItem>
    <reviewItem>
      <errorID>478e169d-df60-442e-bfa1-e93ca15a348c</errorID>
      <errorWord>等的</errorWord>
      <group>L1_Word</group>
      <groupName>字词问题</groupName>
      <ability>L2_Typo</ability>
      <abilityName>字词错误</abilityName>
      <candidateList>
        <item>等</item>
      </candidateList>
      <explain>〈助〉❶〈书〉用在人称代词或指人的名词后面，表示复数：我～｜彼～。❷表示列举未尽（可以叠用）：北京、天津～地｜纸张文具～～。❸列举后煞尾：长江、黄河、黑龙江、珠江～四大河流。</explain>
      <paraID>6B1BE06C</paraID>
      <start>11</start>
      <end>13</end>
      <status>unmodified</status>
      <modifiedWord/>
      <trackRevisions>false</trackRevisions>
    </reviewItem>
    <reviewItem>
      <errorID>a27cd677-8743-41d0-a778-49c7b2dfbfd0</errorID>
      <errorWord>创</errorWord>
      <group>L1_Word</group>
      <groupName>字词问题</groupName>
      <ability>L2_Typo</ability>
      <abilityName>字词错误</abilityName>
      <candidateList>
        <item>创建</item>
      </candidateList>
      <explain/>
      <paraID>1E2399CE</paraID>
      <start>31</start>
      <end>32</end>
      <status>unmodified</status>
      <modifiedWord/>
      <trackRevisions>false</trackRevisions>
    </reviewItem>
    <reviewItem>
      <errorID>4ec51691-e62a-4e23-b53b-1a9cd381fce6</errorID>
      <errorWord>【2025】32号</errorWord>
      <group>L1_Knowledge</group>
      <groupName>知识性问题</groupName>
      <ability>L2_Knowledge</ability>
      <abilityName>其他知识</abilityName>
      <candidateList>
        <item>〔2025〕32号</item>
      </candidateList>
      <explain>发文字号格式错误。</explain>
      <paraID>1FF09F92</paraID>
      <start>13</start>
      <end>22</end>
      <status>unmodified</status>
      <modifiedWord/>
      <trackRevisions>false</trackRevisions>
    </reviewItem>
    <reviewItem>
      <errorID>50faa588-5ab0-4c6f-9012-38877128473f</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1FF09F92</paraID>
      <start>30</start>
      <end>31</end>
      <status>unmodified</status>
      <modifiedWord/>
      <trackRevisions>false</trackRevisions>
    </reviewItem>
    <reviewItem>
      <errorID>8aebb7e2-30e1-485a-ac22-cd8207825a27</errorID>
      <errorWord>接</errorWord>
      <group>L1_Word</group>
      <groupName>字词问题</groupName>
      <ability>L2_Typo</ability>
      <abilityName>字词错误</abilityName>
      <candidateList>
        <item>接到</item>
      </candidateList>
      <explain/>
      <paraID>181B5960</paraID>
      <start>7</start>
      <end>9</end>
      <status>modified</status>
      <modifiedWord>接到</modifiedWord>
      <trackRevisions>false</trackRevisions>
    </reviewItem>
    <reviewItem>
      <errorID>1cdd29dc-ca22-41d0-b618-0ce99ac8a75c</errorID>
      <errorWord>)</errorWord>
      <group>L1_Format</group>
      <groupName>格式问题</groupName>
      <ability>L2_HalfPunc_CN</ability>
      <abilityName>全半角检查</abilityName>
      <candidateList>
        <item>）</item>
      </candidateList>
      <explain>文本全半角错误。</explain>
      <paraID>4C3CC1BA</paraID>
      <start>44</start>
      <end>45</end>
      <status>unmodified</status>
      <modifiedWord/>
      <trackRevisions>false</trackRevisions>
    </reviewItem>
    <reviewItem>
      <errorID>7fffdd31-e3b7-4602-8905-836aa3c02fc8</errorID>
      <errorWord>(</errorWord>
      <group>L1_Format</group>
      <groupName>格式问题</groupName>
      <ability>L2_HalfPunc_CN</ability>
      <abilityName>全半角检查</abilityName>
      <candidateList>
        <item>（</item>
      </candidateList>
      <explain>文本全半角错误。</explain>
      <paraID>4CCA230A</paraID>
      <start>5</start>
      <end>6</end>
      <status>unmodified</status>
      <modifiedWord/>
      <trackRevisions>false</trackRevisions>
    </reviewItem>
    <reviewItem>
      <errorID>58f78577-f360-4cdb-ae73-39e5b9e3587d</errorID>
      <errorWord>)</errorWord>
      <group>L1_Format</group>
      <groupName>格式问题</groupName>
      <ability>L2_HalfPunc_CN</ability>
      <abilityName>全半角检查</abilityName>
      <candidateList>
        <item>）</item>
      </candidateList>
      <explain>文本全半角错误。</explain>
      <paraID>4CCA230A</paraID>
      <start>8</start>
      <end>9</end>
      <status>unmodified</status>
      <modifiedWord/>
      <trackRevisions>false</trackRevisions>
    </reviewItem>
    <reviewItem>
      <errorID>2dd2e2f4-c3ce-4c5f-8744-c12ee7a8dbb8</errorID>
      <errorWord>(</errorWord>
      <group>L1_Format</group>
      <groupName>格式问题</groupName>
      <ability>L2_HalfPunc_CN</ability>
      <abilityName>全半角检查</abilityName>
      <candidateList>
        <item>（</item>
      </candidateList>
      <explain>文本全半角错误。</explain>
      <paraID>4CCA230A</paraID>
      <start>33</start>
      <end>34</end>
      <status>unmodified</status>
      <modifiedWord/>
      <trackRevisions>false</trackRevisions>
    </reviewItem>
    <reviewItem>
      <errorID>553b2beb-7174-4c1d-bf67-7d0694c4a29a</errorID>
      <errorWord>)</errorWord>
      <group>L1_Format</group>
      <groupName>格式问题</groupName>
      <ability>L2_HalfPunc_CN</ability>
      <abilityName>全半角检查</abilityName>
      <candidateList>
        <item>）</item>
      </candidateList>
      <explain>文本全半角错误。</explain>
      <paraID>4CCA230A</paraID>
      <start>36</start>
      <end>37</end>
      <status>unmodified</status>
      <modifiedWord/>
      <trackRevisions>false</trackRevisions>
    </reviewItem>
    <reviewItem>
      <errorID>763f756b-ff14-4a35-847a-6e2ba4029d94</errorID>
      <errorWord>（</errorWord>
      <group>L1_Format</group>
      <groupName>格式问题</groupName>
      <ability>L2_HalfPunc_CN</ability>
      <abilityName>全半角检查</abilityName>
      <candidateList>
        <item>(</item>
      </candidateList>
      <explain>文本全半角错误。</explain>
      <paraID> 6FAACA1</paraID>
      <start>0</start>
      <end>1</end>
      <status>unmodified</status>
      <modifiedWord/>
      <trackRevisions>false</trackRevisions>
    </reviewItem>
    <reviewItem>
      <errorID>8a54d82d-efbb-4cad-9cf6-96f8efff1f2b</errorID>
      <errorWord>）</errorWord>
      <group>L1_Format</group>
      <groupName>格式问题</groupName>
      <ability>L2_HalfPunc_CN</ability>
      <abilityName>全半角检查</abilityName>
      <candidateList>
        <item>)</item>
      </candidateList>
      <explain>文本全半角错误。</explain>
      <paraID> 6FAACA1</paraID>
      <start>2</start>
      <end>3</end>
      <status>unmodified</status>
      <modifiedWord/>
      <trackRevisions>false</trackRevisions>
    </reviewItem>
    <reviewItem>
      <errorID>3cd10aba-1e6d-4ce1-92b3-0ebdfb7fe231</errorID>
      <errorWord>（</errorWord>
      <group>L1_Format</group>
      <groupName>格式问题</groupName>
      <ability>L2_HalfPunc_CN</ability>
      <abilityName>全半角检查</abilityName>
      <candidateList>
        <item>(</item>
      </candidateList>
      <explain>文本全半角错误。</explain>
      <paraID> 67FB108</paraID>
      <start>0</start>
      <end>1</end>
      <status>unmodified</status>
      <modifiedWord/>
      <trackRevisions>false</trackRevisions>
    </reviewItem>
    <reviewItem>
      <errorID>87ec8053-351d-4f17-83dd-2a6a8aaf7339</errorID>
      <errorWord>）</errorWord>
      <group>L1_Format</group>
      <groupName>格式问题</groupName>
      <ability>L2_HalfPunc_CN</ability>
      <abilityName>全半角检查</abilityName>
      <candidateList>
        <item>)</item>
      </candidateList>
      <explain>文本全半角错误。</explain>
      <paraID> 67FB108</paraID>
      <start>2</start>
      <end>3</end>
      <status>unmodified</status>
      <modifiedWord/>
      <trackRevisions>false</trackRevisions>
    </reviewItem>
    <reviewItem>
      <errorID>b3481da5-10ec-4802-b59a-6f24065e9f85</errorID>
      <errorWord>；</errorWord>
      <group>L1_Format</group>
      <groupName>格式问题</groupName>
      <ability>L2_HalfPunc_CN</ability>
      <abilityName>全半角检查</abilityName>
      <candidateList>
        <item>;</item>
      </candidateList>
      <explain>文本全半角错误。</explain>
      <paraID> 67FB108</paraID>
      <start>21</start>
      <end>22</end>
      <status>unmodified</status>
      <modifiedWord/>
      <trackRevisions>false</trackRevisions>
    </reviewItem>
    <reviewItem>
      <errorID>b2157928-8476-4626-8d88-e5c53984148e</errorID>
      <errorWord>（</errorWord>
      <group>L1_Format</group>
      <groupName>格式问题</groupName>
      <ability>L2_HalfPunc_CN</ability>
      <abilityName>全半角检查</abilityName>
      <candidateList>
        <item>(</item>
      </candidateList>
      <explain>文本全半角错误。</explain>
      <paraID>40884535</paraID>
      <start>0</start>
      <end>1</end>
      <status>unmodified</status>
      <modifiedWord/>
      <trackRevisions>false</trackRevisions>
    </reviewItem>
    <reviewItem>
      <errorID>39ad5e4d-2b7c-4c24-bf1f-8df57afe5035</errorID>
      <errorWord>）</errorWord>
      <group>L1_Format</group>
      <groupName>格式问题</groupName>
      <ability>L2_HalfPunc_CN</ability>
      <abilityName>全半角检查</abilityName>
      <candidateList>
        <item>)</item>
      </candidateList>
      <explain>文本全半角错误。</explain>
      <paraID>40884535</paraID>
      <start>2</start>
      <end>3</end>
      <status>unmodified</status>
      <modifiedWord/>
      <trackRevisions>false</trackRevisions>
    </reviewItem>
    <reviewItem>
      <errorID>6cf8a6b1-78e5-49aa-89f5-b5c23fface9b</errorID>
      <errorWord>。</errorWord>
      <group>L1_Format</group>
      <groupName>格式问题</groupName>
      <ability>L2_HalfPunc_CN</ability>
      <abilityName>全半角检查</abilityName>
      <candidateList>
        <item>.</item>
      </candidateList>
      <explain>文本全半角错误。</explain>
      <paraID>40884535</paraID>
      <start>21</start>
      <end>22</end>
      <status>unmodified</status>
      <modifiedWord/>
      <trackRevisions>false</trackRevisions>
    </reviewItem>
    <reviewItem>
      <errorID>290a1f36-aae7-49bf-8951-5808d01a536b</errorID>
      <errorWord>（</errorWord>
      <group>L1_Format</group>
      <groupName>格式问题</groupName>
      <ability>L2_HalfPunc_CN</ability>
      <abilityName>全半角检查</abilityName>
      <candidateList>
        <item>(</item>
      </candidateList>
      <explain>文本全半角错误。</explain>
      <paraID>49C297B5</paraID>
      <start>0</start>
      <end>1</end>
      <status>unmodified</status>
      <modifiedWord/>
      <trackRevisions>false</trackRevisions>
    </reviewItem>
    <reviewItem>
      <errorID>7a4b5628-14e7-4bb5-8296-da2817ccb335</errorID>
      <errorWord>）</errorWord>
      <group>L1_Format</group>
      <groupName>格式问题</groupName>
      <ability>L2_HalfPunc_CN</ability>
      <abilityName>全半角检查</abilityName>
      <candidateList>
        <item>)</item>
      </candidateList>
      <explain>文本全半角错误。</explain>
      <paraID>49C297B5</paraID>
      <start>2</start>
      <end>3</end>
      <status>unmodified</status>
      <modifiedWord/>
      <trackRevisions>false</trackRevisions>
    </reviewItem>
    <reviewItem>
      <errorID>3327fbd3-84e5-4731-8395-e51180c6826e</errorID>
      <errorWord>；</errorWord>
      <group>L1_Format</group>
      <groupName>格式问题</groupName>
      <ability>L2_HalfPunc_CN</ability>
      <abilityName>全半角检查</abilityName>
      <candidateList>
        <item>;</item>
      </candidateList>
      <explain>文本全半角错误。</explain>
      <paraID>49C297B5</paraID>
      <start>22</start>
      <end>23</end>
      <status>unmodified</status>
      <modifiedWord/>
      <trackRevisions>false</trackRevisions>
    </reviewItem>
    <reviewItem>
      <errorID>4e0d910c-abba-4db5-ab53-6a6462c6fc95</errorID>
      <errorWord>（</errorWord>
      <group>L1_Format</group>
      <groupName>格式问题</groupName>
      <ability>L2_HalfPunc_CN</ability>
      <abilityName>全半角检查</abilityName>
      <candidateList>
        <item>(</item>
      </candidateList>
      <explain>文本全半角错误。</explain>
      <paraID> 7139FEB</paraID>
      <start>0</start>
      <end>1</end>
      <status>unmodified</status>
      <modifiedWord/>
      <trackRevisions>false</trackRevisions>
    </reviewItem>
    <reviewItem>
      <errorID>c13c875f-3cff-473c-82b8-9aed44459ac9</errorID>
      <errorWord>）</errorWord>
      <group>L1_Format</group>
      <groupName>格式问题</groupName>
      <ability>L2_HalfPunc_CN</ability>
      <abilityName>全半角检查</abilityName>
      <candidateList>
        <item>)</item>
      </candidateList>
      <explain>文本全半角错误。</explain>
      <paraID> 7139FEB</paraID>
      <start>2</start>
      <end>3</end>
      <status>unmodified</status>
      <modifiedWord/>
      <trackRevisions>false</trackRevisions>
    </reviewItem>
    <reviewItem>
      <errorID>f346c55d-9906-4538-a011-c99faff6e8e3</errorID>
      <errorWord>；</errorWord>
      <group>L1_Format</group>
      <groupName>格式问题</groupName>
      <ability>L2_HalfPunc_CN</ability>
      <abilityName>全半角检查</abilityName>
      <candidateList>
        <item>;</item>
      </candidateList>
      <explain>文本全半角错误。</explain>
      <paraID> 7139FEB</paraID>
      <start>20</start>
      <end>21</end>
      <status>unmodified</status>
      <modifiedWord/>
      <trackRevisions>false</trackRevisions>
    </reviewItem>
    <reviewItem>
      <errorID>a61ee65d-86ce-4c37-94a4-105b22107e6e</errorID>
      <errorWord>（</errorWord>
      <group>L1_Format</group>
      <groupName>格式问题</groupName>
      <ability>L2_HalfPunc_CN</ability>
      <abilityName>全半角检查</abilityName>
      <candidateList>
        <item>(</item>
      </candidateList>
      <explain>文本全半角错误。</explain>
      <paraID>2C1E118D</paraID>
      <start>0</start>
      <end>1</end>
      <status>unmodified</status>
      <modifiedWord/>
      <trackRevisions>false</trackRevisions>
    </reviewItem>
    <reviewItem>
      <errorID>702cf4cd-e9c8-4282-a25a-4d3c5329b411</errorID>
      <errorWord>）</errorWord>
      <group>L1_Format</group>
      <groupName>格式问题</groupName>
      <ability>L2_HalfPunc_CN</ability>
      <abilityName>全半角检查</abilityName>
      <candidateList>
        <item>)</item>
      </candidateList>
      <explain>文本全半角错误。</explain>
      <paraID>2C1E118D</paraID>
      <start>2</start>
      <end>3</end>
      <status>unmodified</status>
      <modifiedWord/>
      <trackRevisions>false</trackRevisions>
    </reviewItem>
    <reviewItem>
      <errorID>7aede23a-69a7-43b6-8991-32a6765d2b85</errorID>
      <errorWord>。</errorWord>
      <group>L1_Format</group>
      <groupName>格式问题</groupName>
      <ability>L2_HalfPunc_CN</ability>
      <abilityName>全半角检查</abilityName>
      <candidateList>
        <item>.</item>
      </candidateList>
      <explain>文本全半角错误。</explain>
      <paraID>2C1E118D</paraID>
      <start>22</start>
      <end>23</end>
      <status>unmodified</status>
      <modifiedWord/>
      <trackRevisions>false</trackRevisions>
    </reviewItem>
    <reviewItem>
      <errorID>f2af6819-31a6-4cdc-9c73-6d9d93020f7d</errorID>
      <errorWord>变更的</errorWord>
      <group>L1_Word</group>
      <groupName>字词问题</groupName>
      <ability>L2_Typo</ability>
      <abilityName>字词错误</abilityName>
      <candidateList>
        <item>变更</item>
      </candidateList>
      <explain>〈动〉改变；变动：～原定赛程｜修订版的内容有些～。</explain>
      <paraID>661FAD8C</paraID>
      <start>2</start>
      <end>4</end>
      <status>modified</status>
      <modifiedWord>变更</modifiedWord>
      <trackRevisions>false</trackRevisions>
    </reviewItem>
    <reviewItem>
      <errorID>ec5d4485-86da-40dd-8774-79168bb6b3c2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4B9FEB94</paraID>
      <start>0</start>
      <end>2</end>
      <status>unmodified</status>
      <modifiedWord/>
      <trackRevisions>false</trackRevisions>
    </reviewItem>
    <reviewItem>
      <errorID>fdf92de7-bfa8-4a02-a0d5-21c5c08bc151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4854A0D5</paraID>
      <start>0</start>
      <end>2</end>
      <status>unmodified</status>
      <modifiedWord/>
      <trackRevisions>false</trackRevisions>
    </reviewItem>
    <reviewItem>
      <errorID>c0f079b3-6acb-40da-837b-e1f8919e5a39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72631B53</paraID>
      <start>0</start>
      <end>2</end>
      <status>unmodified</status>
      <modifiedWord/>
      <trackRevisions>false</trackRevisions>
    </reviewItem>
    <reviewItem>
      <errorID>64fc8eaa-4079-4691-9394-f044fb542d80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7F608906</paraID>
      <start>0</start>
      <end>2</end>
      <status>unmodified</status>
      <modifiedWord/>
      <trackRevisions>false</trackRevisions>
    </reviewItem>
    <reviewItem>
      <errorID>411c00bd-5f5d-4686-ab69-76472b5899e4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5738F537</paraID>
      <start>0</start>
      <end>2</end>
      <status>unmodified</status>
      <modifiedWord/>
      <trackRevisions>false</trackRevisions>
    </reviewItem>
    <reviewItem>
      <errorID>3934ed8b-8f0a-429b-9310-173936af3e4a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1CCE8B0E</paraID>
      <start>1</start>
      <end>3</end>
      <status>unmodified</status>
      <modifiedWord/>
      <trackRevisions>false</trackRevisions>
    </reviewItem>
    <reviewItem>
      <errorID>0cf21847-da85-4d68-be7f-03bc727d2636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68D3E3B8</paraID>
      <start>0</start>
      <end>2</end>
      <status>unmodified</status>
      <modifiedWord/>
      <trackRevisions>false</trackRevisions>
    </reviewItem>
    <reviewItem>
      <errorID>8e576896-c83a-4c98-adbf-8eb60384cc2c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4BD112E8</paraID>
      <start>0</start>
      <end>2</end>
      <status>unmodified</status>
      <modifiedWord/>
      <trackRevisions>false</trackRevisions>
    </reviewItem>
    <reviewItem>
      <errorID>dd2e593d-394d-4477-8e25-f20199bb6fa3</errorID>
      <errorWord>响应</errorWord>
      <group>L1_Word</group>
      <groupName>字词问题</groupName>
      <ability>L2_Typo</ability>
      <abilityName>字词错误</abilityName>
      <candidateList>
        <item>相应</item>
      </candidateList>
      <explain>〈动〉互相呼应或照应；相适应：这篇文章前后不～｜环境改变了，工作方法也要～地改变。</explain>
      <paraID>60B09ED4</paraID>
      <start>26</start>
      <end>28</end>
      <status>unmodified</status>
      <modifiedWord/>
      <trackRevisions>false</trackRevisions>
    </reviewItem>
    <reviewItem>
      <errorID>93ec9411-6236-47d6-8736-85c510922378</errorID>
      <errorWord>人</errorWord>
      <group>L1_Word</group>
      <groupName>字词问题</groupName>
      <ability>L2_Typo</ability>
      <abilityName>字词错误</abilityName>
      <candidateList>
        <item>人在</item>
      </candidateList>
      <explain/>
      <paraID>1FA69671</paraID>
      <start>16</start>
      <end>17</end>
      <status>unmodified</status>
      <modifiedWord/>
      <trackRevisions>false</trackRevisions>
    </reviewItem>
    <reviewItem>
      <errorID>19dcca18-8e04-4b36-a0e3-fdd4ddeca4bd</errorID>
      <errorWord>：/</errorWord>
      <group>L1_Punc</group>
      <groupName>标点问题</groupName>
      <ability>L2_Punc_CN</ability>
      <abilityName>标点符号检查</abilityName>
      <candidateList>
        <item>：</item>
      </candidateList>
      <explain/>
      <paraID>555BD47D</paraID>
      <start>30</start>
      <end>32</end>
      <status>unmodified</status>
      <modifiedWord/>
      <trackRevisions>false</trackRevisions>
    </reviewItem>
    <reviewItem>
      <errorID>ca0bc6aa-5e3f-4738-a384-d1210840862b</errorID>
      <errorWord>(</errorWord>
      <group>L1_Format</group>
      <groupName>格式问题</groupName>
      <ability>L2_HalfPunc_CN</ability>
      <abilityName>全半角检查</abilityName>
      <candidateList>
        <item>（</item>
      </candidateList>
      <explain>文本全半角错误。</explain>
      <paraID> E4DE25D</paraID>
      <start>3</start>
      <end>4</end>
      <status>unmodified</status>
      <modifiedWord/>
      <trackRevisions>false</trackRevisions>
    </reviewItem>
    <reviewItem>
      <errorID>26d5fa2c-c91d-4ad4-8dbe-c2e80a8d5c85</errorID>
      <errorWord>)</errorWord>
      <group>L1_Format</group>
      <groupName>格式问题</groupName>
      <ability>L2_HalfPunc_CN</ability>
      <abilityName>全半角检查</abilityName>
      <candidateList>
        <item>）</item>
      </candidateList>
      <explain>文本全半角错误。</explain>
      <paraID> E4DE25D</paraID>
      <start>6</start>
      <end>7</end>
      <status>unmodified</status>
      <modifiedWord/>
      <trackRevisions>false</trackRevisions>
    </reviewItem>
    <reviewItem>
      <errorID>405bb8f2-5302-441d-85a6-1ab8370ddd23</errorID>
      <errorWord>(</errorWord>
      <group>L1_Format</group>
      <groupName>格式问题</groupName>
      <ability>L2_HalfPunc_CN</ability>
      <abilityName>全半角检查</abilityName>
      <candidateList>
        <item>（</item>
      </candidateList>
      <explain>文本全半角错误。</explain>
      <paraID> E4DE25D</paraID>
      <start>28</start>
      <end>29</end>
      <status>unmodified</status>
      <modifiedWord/>
      <trackRevisions>false</trackRevisions>
    </reviewItem>
    <reviewItem>
      <errorID>2f5bf165-af9d-4134-a90c-42a88fbbd202</errorID>
      <errorWord>)</errorWord>
      <group>L1_Format</group>
      <groupName>格式问题</groupName>
      <ability>L2_HalfPunc_CN</ability>
      <abilityName>全半角检查</abilityName>
      <candidateList>
        <item>）</item>
      </candidateList>
      <explain>文本全半角错误。</explain>
      <paraID> E4DE25D</paraID>
      <start>31</start>
      <end>32</end>
      <status>unmodified</status>
      <modifiedWord/>
      <trackRevisions>false</trackRevisions>
    </reviewItem>
    <reviewItem>
      <errorID>2b6ff9af-72c6-4181-a2ae-93bb652a681f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145DCE6C</paraID>
      <start>0</start>
      <end>2</end>
      <status>unmodified</status>
      <modifiedWord/>
      <trackRevisions>false</trackRevisions>
    </reviewItem>
    <reviewItem>
      <errorID>71f5f20d-c029-4d8e-8d72-9837a07ee753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3041F169</paraID>
      <start>0</start>
      <end>2</end>
      <status>unmodified</status>
      <modifiedWord/>
      <trackRevisions>false</trackRevisions>
    </reviewItem>
    <reviewItem>
      <errorID>5bff8653-64ab-4912-a37f-b81e2eea8ca6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64C7F87F</paraID>
      <start>0</start>
      <end>2</end>
      <status>unmodified</status>
      <modifiedWord/>
      <trackRevisions>false</trackRevisions>
    </reviewItem>
    <reviewItem>
      <errorID>186d596c-ca4e-4a6e-bd10-399a57a0304a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21EE2B2A</paraID>
      <start>0</start>
      <end>2</end>
      <status>unmodified</status>
      <modifiedWord/>
      <trackRevisions>false</trackRevisions>
    </reviewItem>
    <reviewItem>
      <errorID>10e2a95f-350c-433e-ae58-9e2f8e474171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5671261C</paraID>
      <start>0</start>
      <end>2</end>
      <status>unmodified</status>
      <modifiedWord/>
      <trackRevisions>false</trackRevisions>
    </reviewItem>
    <reviewItem>
      <errorID>f1b6ef48-9bb0-48b4-987a-969c6f6184d4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CC573F1</paraID>
      <start>0</start>
      <end>2</end>
      <status>unmodified</status>
      <modifiedWord/>
      <trackRevisions>false</trackRevisions>
    </reviewItem>
    <reviewItem>
      <errorID>ec68b093-65b2-4f98-8b60-e4de384739af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575B937A</paraID>
      <start>0</start>
      <end>2</end>
      <status>unmodified</status>
      <modifiedWord/>
      <trackRevisions>false</trackRevisions>
    </reviewItem>
    <reviewItem>
      <errorID>5ec3b18b-5229-4b75-841c-a52c97d80256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39DE5961</paraID>
      <start>0</start>
      <end>2</end>
      <status>unmodified</status>
      <modifiedWord/>
      <trackRevisions>false</trackRevisions>
    </reviewItem>
    <reviewItem>
      <errorID>77c9c51e-c969-4fe9-b78d-227597ac7268</errorID>
      <errorWord>的</errorWord>
      <group>L1_Word</group>
      <groupName>字词问题</groupName>
      <ability>L2_Typo</ability>
      <abilityName>字词错误</abilityName>
      <candidateList>
        <item>的农</item>
      </candidateList>
      <explain/>
      <paraID>39DE5961</paraID>
      <start>38</start>
      <end>39</end>
      <status>unmodified</status>
      <modifiedWord/>
      <trackRevisions>false</trackRevisions>
    </reviewItem>
    <reviewItem>
      <errorID>305e68cd-5601-44ea-8d40-c5cf990729cb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27B0BE8C</paraID>
      <start>0</start>
      <end>2</end>
      <status>unmodified</status>
      <modifiedWord/>
      <trackRevisions>false</trackRevisions>
    </reviewItem>
    <reviewItem>
      <errorID>f9906815-978a-4d78-b2a3-59b7818fb48f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D875729</paraID>
      <start>0</start>
      <end>2</end>
      <status>unmodified</status>
      <modifiedWord/>
      <trackRevisions>false</trackRevisions>
    </reviewItem>
    <reviewItem>
      <errorID>d88f1323-97b6-4e3e-a8df-515bdb9c8e76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17E2D48D</paraID>
      <start>0</start>
      <end>2</end>
      <status>unmodified</status>
      <modifiedWord/>
      <trackRevisions>false</trackRevisions>
    </reviewItem>
    <reviewItem>
      <errorID>c0988bdd-0cf7-4ff4-a32c-7ce2cdac443b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36489D2A</paraID>
      <start>0</start>
      <end>2</end>
      <status>unmodified</status>
      <modifiedWord/>
      <trackRevisions>false</trackRevisions>
    </reviewItem>
    <reviewItem>
      <errorID>6218cf87-a594-43ec-b862-4763504c3990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5B97EF8B</paraID>
      <start>0</start>
      <end>2</end>
      <status>unmodified</status>
      <modifiedWord/>
      <trackRevisions>false</trackRevisions>
    </reviewItem>
    <reviewItem>
      <errorID>9ee84b69-b95c-4c9d-bf5b-4135fd2e0191</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20E7F1DE</paraID>
      <start>0</start>
      <end>2</end>
      <status>unmodified</status>
      <modifiedWord/>
      <trackRevisions>false</trackRevisions>
    </reviewItem>
    <reviewItem>
      <errorID>66f5907a-8cae-4e25-9227-643f8be74a09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10377AE1</paraID>
      <start>0</start>
      <end>3</end>
      <status>unmodified</status>
      <modifiedWord/>
      <trackRevisions>false</trackRevisions>
    </reviewItem>
    <reviewItem>
      <errorID>00fb18cd-73c0-4047-af36-d916de63ce8d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226C2AE9</paraID>
      <start>0</start>
      <end>3</end>
      <status>unmodified</status>
      <modifiedWord/>
      <trackRevisions>false</trackRevisions>
    </reviewItem>
    <reviewItem>
      <errorID>5cccfae7-074c-48b8-bffe-41e73527c04a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42B1C60A</paraID>
      <start>0</start>
      <end>2</end>
      <status>unmodified</status>
      <modifiedWord/>
      <trackRevisions>false</trackRevisions>
    </reviewItem>
    <reviewItem>
      <errorID>bafa4769-953a-4746-876c-55ae5be73108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14AA24A5</paraID>
      <start>0</start>
      <end>2</end>
      <status>unmodified</status>
      <modifiedWord/>
      <trackRevisions>false</trackRevisions>
    </reviewItem>
    <reviewItem>
      <errorID>5b652d7a-e762-4dd4-bba3-bab1b9af64b2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65A8C968</paraID>
      <start>0</start>
      <end>2</end>
      <status>unmodified</status>
      <modifiedWord/>
      <trackRevisions>false</trackRevisions>
    </reviewItem>
    <reviewItem>
      <errorID>8c2e22a7-91b5-45d7-b948-f36ccb9c85c5</errorID>
      <errorWord>(</errorWord>
      <group>L1_Format</group>
      <groupName>格式问题</groupName>
      <ability>L2_HalfPunc_CN</ability>
      <abilityName>全半角检查</abilityName>
      <candidateList>
        <item>（</item>
      </candidateList>
      <explain>文本全半角错误。</explain>
      <paraID>65A8C968</paraID>
      <start>27</start>
      <end>28</end>
      <status>unmodified</status>
      <modifiedWord/>
      <trackRevisions>false</trackRevisions>
    </reviewItem>
    <reviewItem>
      <errorID>0304aef4-f68b-4a3a-979d-cff498ab27ec</errorID>
      <errorWord>)</errorWord>
      <group>L1_Format</group>
      <groupName>格式问题</groupName>
      <ability>L2_HalfPunc_CN</ability>
      <abilityName>全半角检查</abilityName>
      <candidateList>
        <item>）</item>
      </candidateList>
      <explain>文本全半角错误。</explain>
      <paraID>65A8C968</paraID>
      <start>39</start>
      <end>40</end>
      <status>unmodified</status>
      <modifiedWord/>
      <trackRevisions>false</trackRevisions>
    </reviewItem>
    <reviewItem>
      <errorID>e7019212-1773-413b-b1c5-3a22fab30197</errorID>
      <errorWord>不得为</errorWord>
      <group>L1_Word</group>
      <groupName>字词问题</groupName>
      <ability>L2_Typo</ability>
      <abilityName>字词错误</abilityName>
      <candidateList>
        <item>不得</item>
      </candidateList>
      <explain>〈助〉用在动词、形容词后面，表示不可以或不能够：去～｜要～｜动弹～｜马虎～｜老虎屁股摸～｜科学上来～半点虚假。</explain>
      <paraID>65A8C968</paraID>
      <start>41</start>
      <end>44</end>
      <status>unmodified</status>
      <modifiedWord/>
      <trackRevisions>false</trackRevisions>
    </reviewItem>
    <reviewItem>
      <errorID>b8214e35-acf9-4162-8890-b36e11339390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7080D3B0</paraID>
      <start>0</start>
      <end>2</end>
      <status>unmodified</status>
      <modifiedWord/>
      <trackRevisions>false</trackRevisions>
    </reviewItem>
    <reviewItem>
      <errorID>ecdf1b08-db8b-4a02-85c5-b951bcef9d7e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3C2CAF3E</paraID>
      <start>0</start>
      <end>2</end>
      <status>unmodified</status>
      <modifiedWord/>
      <trackRevisions>false</trackRevisions>
    </reviewItem>
    <reviewItem>
      <errorID>24fcfaf2-e8d9-4ab0-bc0b-98a757cd90ca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4DFA8C9</paraID>
      <start>0</start>
      <end>2</end>
      <status>unmodified</status>
      <modifiedWord/>
      <trackRevisions>false</trackRevisions>
    </reviewItem>
    <reviewItem>
      <errorID>46073608-d6f5-4870-bdb4-706bb645ad06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1C0F31AE</paraID>
      <start>0</start>
      <end>2</end>
      <status>unmodified</status>
      <modifiedWord/>
      <trackRevisions>false</trackRevisions>
    </reviewItem>
    <reviewItem>
      <errorID>703e8a43-5ce9-43c2-8d2a-8d9a634edb54</errorID>
      <errorWord>(</errorWord>
      <group>L1_Format</group>
      <groupName>格式问题</groupName>
      <ability>L2_HalfPunc_CN</ability>
      <abilityName>全半角检查</abilityName>
      <candidateList>
        <item>（</item>
      </candidateList>
      <explain>文本全半角错误。</explain>
      <paraID>1C0F31AE</paraID>
      <start>46</start>
      <end>47</end>
      <status>unmodified</status>
      <modifiedWord/>
      <trackRevisions>false</trackRevisions>
    </reviewItem>
    <reviewItem>
      <errorID>eb395b19-c720-4cb9-bd35-f0bfbf1c5b5c</errorID>
      <errorWord>)</errorWord>
      <group>L1_Format</group>
      <groupName>格式问题</groupName>
      <ability>L2_HalfPunc_CN</ability>
      <abilityName>全半角检查</abilityName>
      <candidateList>
        <item>）</item>
      </candidateList>
      <explain>文本全半角错误。</explain>
      <paraID>1C0F31AE</paraID>
      <start>48</start>
      <end>49</end>
      <status>unmodified</status>
      <modifiedWord/>
      <trackRevisions>false</trackRevisions>
    </reviewItem>
    <reviewItem>
      <errorID>6896e46b-a3e2-435a-89e6-2c8da6656353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7F4610D7</paraID>
      <start>0</start>
      <end>2</end>
      <status>unmodified</status>
      <modifiedWord/>
      <trackRevisions>false</trackRevisions>
    </reviewItem>
    <reviewItem>
      <errorID>a293f29a-be46-424e-8010-19064e31dd72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18B99A6A</paraID>
      <start>0</start>
      <end>2</end>
      <status>unmodified</status>
      <modifiedWord/>
      <trackRevisions>false</trackRevisions>
    </reviewItem>
    <reviewItem>
      <errorID>470309d9-2ee6-4544-abb4-608e53e104ee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460D16CF</paraID>
      <start>0</start>
      <end>2</end>
      <status>unmodified</status>
      <modifiedWord/>
      <trackRevisions>false</trackRevisions>
    </reviewItem>
    <reviewItem>
      <errorID>b3ff4b4c-8cac-4dd8-b8bc-3eb55cebdc65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16449A89</paraID>
      <start>0</start>
      <end>2</end>
      <status>unmodified</status>
      <modifiedWord/>
      <trackRevisions>false</trackRevisions>
    </reviewItem>
    <reviewItem>
      <errorID>aa6ab38f-89e9-4edd-9367-c6594e3532fd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157F2892</paraID>
      <start>0</start>
      <end>2</end>
      <status>unmodified</status>
      <modifiedWord/>
      <trackRevisions>false</trackRevisions>
    </reviewItem>
    <reviewItem>
      <errorID>0cf407fe-7aad-4d49-ba77-89c9dc361169</errorID>
      <errorWord>(</errorWord>
      <group>L1_Format</group>
      <groupName>格式问题</groupName>
      <ability>L2_HalfPunc_CN</ability>
      <abilityName>全半角检查</abilityName>
      <candidateList>
        <item>（</item>
      </candidateList>
      <explain>文本全半角错误。</explain>
      <paraID>157F2892</paraID>
      <start>44</start>
      <end>45</end>
      <status>unmodified</status>
      <modifiedWord/>
      <trackRevisions>false</trackRevisions>
    </reviewItem>
    <reviewItem>
      <errorID>07854813-3fa1-4e01-834d-8a605a483ff8</errorID>
      <errorWord>)</errorWord>
      <group>L1_Format</group>
      <groupName>格式问题</groupName>
      <ability>L2_HalfPunc_CN</ability>
      <abilityName>全半角检查</abilityName>
      <candidateList>
        <item>）</item>
      </candidateList>
      <explain>文本全半角错误。</explain>
      <paraID>157F2892</paraID>
      <start>46</start>
      <end>47</end>
      <status>unmodified</status>
      <modifiedWord/>
      <trackRevisions>false</trackRevisions>
    </reviewItem>
    <reviewItem>
      <errorID>9bcdcd7e-ad62-471b-bb71-ffb8afce0cce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5DF76771</paraID>
      <start>0</start>
      <end>2</end>
      <status>unmodified</status>
      <modifiedWord/>
      <trackRevisions>false</trackRevisions>
    </reviewItem>
    <reviewItem>
      <errorID>89f9fc7f-6826-4830-a975-8c23e8da56f0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3E7B7BE</paraID>
      <start>0</start>
      <end>2</end>
      <status>unmodified</status>
      <modifiedWord/>
      <trackRevisions>false</trackRevisions>
    </reviewItem>
    <reviewItem>
      <errorID>81f96d31-7e7f-409f-a967-6c5353eeafbe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16DFCABC</paraID>
      <start>0</start>
      <end>2</end>
      <status>unmodified</status>
      <modifiedWord/>
      <trackRevisions>false</trackRevisions>
    </reviewItem>
    <reviewItem>
      <errorID>df7c00a7-4b87-4404-b27e-2bb822a26d63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596420AA</paraID>
      <start>0</start>
      <end>2</end>
      <status>unmodified</status>
      <modifiedWord/>
      <trackRevisions>false</trackRevisions>
    </reviewItem>
    <reviewItem>
      <errorID>8fb8ea30-250a-42d2-8486-0040621dfbab</errorID>
      <errorWord>一式二份，发包人</errorWord>
      <group>L1_Word</group>
      <groupName>字词问题</groupName>
      <ability>L2_Typo</ability>
      <abilityName>字词错误</abilityName>
      <candidateList>
        <item>一式两份，发包人</item>
      </candidateList>
      <explain/>
      <paraID>5DDAB209</paraID>
      <start>4</start>
      <end>12</end>
      <status>unmodified</status>
      <modifiedWord/>
      <trackRevisions>false</trackRevisions>
    </reviewItem>
    <reviewItem>
      <errorID>50c59847-9a1f-4c27-9d56-11ba0f045b4f</errorID>
      <errorWord>(</errorWord>
      <group>L1_Format</group>
      <groupName>格式问题</groupName>
      <ability>L2_HalfPunc_CN</ability>
      <abilityName>全半角检查</abilityName>
      <candidateList>
        <item>（</item>
      </candidateList>
      <explain>文本全半角错误。</explain>
      <paraID>1463D9E0</paraID>
      <start>4</start>
      <end>5</end>
      <status>unmodified</status>
      <modifiedWord/>
      <trackRevisions>false</trackRevisions>
    </reviewItem>
    <reviewItem>
      <errorID>82804a2a-be5a-46d5-bbf0-71f6d1a19c19</errorID>
      <errorWord>)</errorWord>
      <group>L1_Format</group>
      <groupName>格式问题</groupName>
      <ability>L2_HalfPunc_CN</ability>
      <abilityName>全半角检查</abilityName>
      <candidateList>
        <item>）</item>
      </candidateList>
      <explain>文本全半角错误。</explain>
      <paraID>1463D9E0</paraID>
      <start>7</start>
      <end>8</end>
      <status>unmodified</status>
      <modifiedWord/>
      <trackRevisions>false</trackRevisions>
    </reviewItem>
    <reviewItem>
      <errorID>77c78ed8-7800-41bb-8740-c2c98140c8aa</errorID>
      <errorWord>(</errorWord>
      <group>L1_Format</group>
      <groupName>格式问题</groupName>
      <ability>L2_HalfPunc_CN</ability>
      <abilityName>全半角检查</abilityName>
      <candidateList>
        <item>（</item>
      </candidateList>
      <explain>文本全半角错误。</explain>
      <paraID>1463D9E0</paraID>
      <start>30</start>
      <end>31</end>
      <status>unmodified</status>
      <modifiedWord/>
      <trackRevisions>false</trackRevisions>
    </reviewItem>
    <reviewItem>
      <errorID>644c2e73-b443-446a-956b-720de5f89e66</errorID>
      <errorWord>)</errorWord>
      <group>L1_Format</group>
      <groupName>格式问题</groupName>
      <ability>L2_HalfPunc_CN</ability>
      <abilityName>全半角检查</abilityName>
      <candidateList>
        <item>）</item>
      </candidateList>
      <explain>文本全半角错误。</explain>
      <paraID>1463D9E0</paraID>
      <start>33</start>
      <end>34</end>
      <status>unmodified</status>
      <modifiedWord/>
      <trackRevisions>false</trackRevisions>
    </reviewItem>
    <reviewItem>
      <errorID>2135acca-54dd-4ec8-b032-0304894839e1</errorID>
      <errorWord>(</errorWord>
      <group>L1_Format</group>
      <groupName>格式问题</groupName>
      <ability>L2_HalfPunc_CN</ability>
      <abilityName>全半角检查</abilityName>
      <candidateList>
        <item>（</item>
      </candidateList>
      <explain>文本全半角错误。</explain>
      <paraID>56F64A46</paraID>
      <start>6</start>
      <end>7</end>
      <status>unmodified</status>
      <modifiedWord/>
      <trackRevisions>false</trackRevisions>
    </reviewItem>
    <reviewItem>
      <errorID>addd0e61-6a00-474c-844e-90b975c00684</errorID>
      <errorWord>)</errorWord>
      <group>L1_Format</group>
      <groupName>格式问题</groupName>
      <ability>L2_HalfPunc_CN</ability>
      <abilityName>全半角检查</abilityName>
      <candidateList>
        <item>）</item>
      </candidateList>
      <explain>文本全半角错误。</explain>
      <paraID>56F64A46</paraID>
      <start>9</start>
      <end>10</end>
      <status>unmodified</status>
      <modifiedWord/>
      <trackRevisions>false</trackRevisions>
    </reviewItem>
    <reviewItem>
      <errorID>ceff351d-d739-4f8f-838b-1006e04cbbba</errorID>
      <errorWord>(</errorWord>
      <group>L1_Format</group>
      <groupName>格式问题</groupName>
      <ability>L2_HalfPunc_CN</ability>
      <abilityName>全半角检查</abilityName>
      <candidateList>
        <item>（</item>
      </candidateList>
      <explain>文本全半角错误。</explain>
      <paraID>56F64A46</paraID>
      <start>30</start>
      <end>31</end>
      <status>unmodified</status>
      <modifiedWord/>
      <trackRevisions>false</trackRevisions>
    </reviewItem>
    <reviewItem>
      <errorID>c3ace7a2-182b-4a64-a468-46da6ad05f6c</errorID>
      <errorWord>)</errorWord>
      <group>L1_Format</group>
      <groupName>格式问题</groupName>
      <ability>L2_HalfPunc_CN</ability>
      <abilityName>全半角检查</abilityName>
      <candidateList>
        <item>）</item>
      </candidateList>
      <explain>文本全半角错误。</explain>
      <paraID>56F64A46</paraID>
      <start>33</start>
      <end>34</end>
      <status>unmodified</status>
      <modifiedWord/>
      <trackRevisions>false</trackRevisions>
    </reviewItem>
    <reviewItem>
      <errorID>2ed2dbaf-fd46-4134-9154-a2196490cbe9</errorID>
      <errorWord>，</errorWord>
      <group>L1_Word</group>
      <groupName>字词问题</groupName>
      <ability>L2_Typo</ability>
      <abilityName>字词错误</abilityName>
      <candidateList>
        <item>，以</item>
      </candidateList>
      <explain/>
      <paraID>7101BB18</paraID>
      <start>69</start>
      <end>70</end>
      <status>unmodified</status>
      <modifiedWord/>
      <trackRevisions>false</trackRevisions>
    </reviewItem>
    <reviewItem>
      <errorID>059c804c-6070-40cc-9b4b-0b83d0fb7b4c</errorID>
      <errorWord>创</errorWord>
      <group>L1_Word</group>
      <groupName>字词问题</groupName>
      <ability>L2_Typo</ability>
      <abilityName>字词错误</abilityName>
      <candidateList>
        <item>创建</item>
      </candidateList>
      <explain/>
      <paraID>638F95B6</paraID>
      <start>1</start>
      <end>2</end>
      <status>unmodified</status>
      <modifiedWord/>
      <trackRevisions>false</trackRevisions>
    </reviewItem>
    <reviewItem>
      <errorID>86785be3-edcd-4020-b167-1a1d1433b9e9</errorID>
      <errorWord>，</errorWord>
      <group>L1_Word</group>
      <groupName>字词问题</groupName>
      <ability>L2_Typo</ability>
      <abilityName>字词错误</abilityName>
      <candidateList>
        <item>，有</item>
      </candidateList>
      <explain/>
      <paraID>638F95B6</paraID>
      <start>25</start>
      <end>26</end>
      <status>unmodified</status>
      <modifiedWord/>
      <trackRevisions>false</trackRevisions>
    </reviewItem>
    <reviewItem>
      <errorID>35d2c46e-c4e9-447a-a80e-bb4c6121440e</errorID>
      <errorWord>创</errorWord>
      <group>L1_Word</group>
      <groupName>字词问题</groupName>
      <ability>L2_Typo</ability>
      <abilityName>字词错误</abilityName>
      <candidateList>
        <item>创建</item>
      </candidateList>
      <explain/>
      <paraID>21F8684A</paraID>
      <start>1</start>
      <end>2</end>
      <status>unmodified</status>
      <modifiedWord/>
      <trackRevisions>false</trackRevisions>
    </reviewItem>
    <reviewItem>
      <errorID>e9a4beeb-ab3f-405e-b540-c5f63d9b81d0</errorID>
      <errorWord>)</errorWord>
      <group>L1_Format</group>
      <groupName>格式问题</groupName>
      <ability>L2_HalfPunc_CN</ability>
      <abilityName>全半角检查</abilityName>
      <candidateList>
        <item>）</item>
      </candidateList>
      <explain>文本全半角错误。</explain>
      <paraID>69B17D2B</paraID>
      <start>3</start>
      <end>4</end>
      <status>unmodified</status>
      <modifiedWord/>
      <trackRevisions>false</trackRevisions>
    </reviewItem>
    <reviewItem>
      <errorID>3e05bb3d-a306-4a38-a6d5-fe0001bbd065</errorID>
      <errorWord>只要是</errorWord>
      <group>L1_Word</group>
      <groupName>字词问题</groupName>
      <ability>L2_Typo</ability>
      <abilityName>字词错误</abilityName>
      <candidateList>
        <item>只要</item>
      </candidateList>
      <explain/>
      <paraID>1274366F</paraID>
      <start>60</start>
      <end>63</end>
      <status>unmodified</status>
      <modifiedWord/>
      <trackRevisions>false</trackRevisions>
    </reviewItem>
    <reviewItem>
      <errorID>9f086704-2712-415b-b483-e4e3002c859b</errorID>
      <errorWord>要求只</errorWord>
      <group>L1_Word</group>
      <groupName>字词问题</groupName>
      <ability>L2_Typo</ability>
      <abilityName>字词错误</abilityName>
      <candidateList>
        <item>要求</item>
      </candidateList>
      <explain>❶〈动〉提出具体愿望或条件，希望得到满足或实现：～转学｜～进步｜严格～自己。❷〈名〉所提出的具体愿望或条件：满足了他的～｜符合规定的～。</explain>
      <paraID>66323F65</paraID>
      <start>135</start>
      <end>138</end>
      <status>unmodified</status>
      <modifiedWord/>
      <trackRevisions>false</trackRevisions>
    </reviewItem>
    <reviewItem>
      <errorID>d1ebaada-dab1-493c-aa14-477066a92ef6</errorID>
      <errorWord>[2026]</errorWord>
      <group>L1_Punc</group>
      <groupName>标点问题</groupName>
      <ability>L2_Punc_CN</ability>
      <abilityName>标点符号检查</abilityName>
      <candidateList>
        <item>〔2026〕</item>
      </candidateList>
      <explain/>
      <paraID>72A309C4</paraID>
      <start>9</start>
      <end>15</end>
      <status>unmodified</status>
      <modifiedWord/>
      <trackRevisions>false</trackRevisions>
    </reviewItem>
    <reviewItem>
      <errorID>1d386591-fdc2-4077-83e5-78da3dd6338d</errorID>
      <errorWord>，</errorWord>
      <group>L1_Word</group>
      <groupName>字词问题</groupName>
      <ability>L2_Typo</ability>
      <abilityName>字词错误</abilityName>
      <candidateList>
        <item>，以</item>
      </candidateList>
      <explain/>
      <paraID>6AE5039C</paraID>
      <start>70</start>
      <end>71</end>
      <status>unmodified</status>
      <modifiedWord/>
      <trackRevisions>false</trackRevisions>
    </reviewItem>
    <reviewItem>
      <errorID>88841083-e26e-4097-b123-06609b40d411</errorID>
      <errorWord>按《中华人民共和国</errorWord>
      <group>L1_Political</group>
      <groupName>政治性问题</groupName>
      <ability>L2_Unpolitical</ability>
      <abilityName>政治敏感错误</abilityName>
      <candidateList>
        <item>按照《中华人民共和国</item>
      </candidateList>
      <explain/>
      <paraID>698358D5</paraID>
      <start>7</start>
      <end>16</end>
      <status>unmodified</status>
      <modifiedWord/>
      <trackRevisions>false</trackRevisions>
    </reviewItem>
    <reviewItem>
      <errorID>9289438e-9f25-4e3f-8c5c-d7e4f920f513</errorID>
      <errorWord>......</errorWord>
      <group>L1_Punc</group>
      <groupName>标点问题</groupName>
      <ability>L2_Punc_CN</ability>
      <abilityName>标点符号检查</abilityName>
      <candidateList>
        <item>……</item>
      </candidateList>
      <explain/>
      <paraID>7C246436</paraID>
      <start>0</start>
      <end>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B754582-A452-4B10-B530-955E770BF398}">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125</Pages>
  <Words>9623</Words>
  <Characters>10749</Characters>
  <Lines>552</Lines>
  <Paragraphs>155</Paragraphs>
  <TotalTime>1</TotalTime>
  <ScaleCrop>false</ScaleCrop>
  <LinksUpToDate>false</LinksUpToDate>
  <CharactersWithSpaces>10889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2026-05-15T09:43:00Z</dcterms:created>
  <dc:creator>刘阳</dc:creator>
  <cp:lastModifiedBy>张莉娜</cp:lastModifiedBy>
  <cp:lastPrinted>2026-02-11T00:50:00Z</cp:lastPrinted>
  <dcterms:modified xsi:type="dcterms:W3CDTF">2026-10-13T09:21:22Z</dcterms:modified>
  <dc:title>（填写招标项目名称）</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eyJoZGlkIjoiNTU1YTRiMTg5MDI2ZGQ5MTcwNGVlYzY4MDc4YmQ3OTkiLCJ1c2VySWQiOiI1MzQxNzk2ODIifQ==</vt:lpwstr>
  </property>
  <property fmtid="{D5CDD505-2E9C-101B-9397-08002B2CF9AE}" pid="3" name="KSOProductBuildVer">
    <vt:lpwstr>2052-12.1.0.28505</vt:lpwstr>
  </property>
  <property fmtid="{D5CDD505-2E9C-101B-9397-08002B2CF9AE}" pid="4" name="ICV">
    <vt:lpwstr>79DF5D9355D0456CBA56605382D92066_13</vt:lpwstr>
  </property>
</Properties>
</file>